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B51F89">
      <w:pP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36"/>
          <w:szCs w:val="36"/>
          <w:lang w:eastAsia="zh-CN"/>
        </w:rPr>
        <w:drawing>
          <wp:anchor distT="0" distB="0" distL="114300" distR="114300" simplePos="0" relativeHeight="251673600" behindDoc="0" locked="0" layoutInCell="1" allowOverlap="1">
            <wp:simplePos x="0" y="0"/>
            <wp:positionH relativeFrom="column">
              <wp:posOffset>0</wp:posOffset>
            </wp:positionH>
            <wp:positionV relativeFrom="page">
              <wp:posOffset>899795</wp:posOffset>
            </wp:positionV>
            <wp:extent cx="5999480" cy="8484870"/>
            <wp:effectExtent l="0" t="0" r="1270" b="11430"/>
            <wp:wrapNone/>
            <wp:docPr id="5" name="图片 5" descr="建设项目环境影响报告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项目环境影响报告表(1)_01"/>
                    <pic:cNvPicPr>
                      <a:picLocks noChangeAspect="1"/>
                    </pic:cNvPicPr>
                  </pic:nvPicPr>
                  <pic:blipFill>
                    <a:blip r:embed="rId9"/>
                    <a:stretch>
                      <a:fillRect/>
                    </a:stretch>
                  </pic:blipFill>
                  <pic:spPr>
                    <a:xfrm>
                      <a:off x="0" y="0"/>
                      <a:ext cx="5999480" cy="8484870"/>
                    </a:xfrm>
                    <a:prstGeom prst="rect">
                      <a:avLst/>
                    </a:prstGeom>
                  </pic:spPr>
                </pic:pic>
              </a:graphicData>
            </a:graphic>
          </wp:anchor>
        </w:drawing>
      </w:r>
    </w:p>
    <w:p w14:paraId="19F20820">
      <w:pPr>
        <w:rPr>
          <w:rFonts w:hint="default" w:ascii="Times New Roman" w:hAnsi="Times New Roman" w:eastAsia="宋体" w:cs="Times New Roman"/>
          <w:color w:val="auto"/>
          <w:sz w:val="36"/>
          <w:szCs w:val="36"/>
          <w:lang w:eastAsia="zh-CN"/>
        </w:rPr>
      </w:pPr>
    </w:p>
    <w:p w14:paraId="28C1E266">
      <w:pPr>
        <w:rPr>
          <w:rFonts w:hint="eastAsia" w:ascii="Times New Roman" w:hAnsi="Times New Roman" w:eastAsia="宋体" w:cs="Times New Roman"/>
          <w:color w:val="auto"/>
          <w:sz w:val="36"/>
          <w:szCs w:val="36"/>
          <w:lang w:eastAsia="zh-CN"/>
        </w:rPr>
      </w:pPr>
    </w:p>
    <w:p w14:paraId="47EE4C4D">
      <w:pPr>
        <w:rPr>
          <w:rFonts w:hint="eastAsia" w:ascii="Times New Roman" w:hAnsi="Times New Roman" w:eastAsia="宋体" w:cs="Times New Roman"/>
          <w:color w:val="auto"/>
          <w:sz w:val="36"/>
          <w:szCs w:val="36"/>
          <w:lang w:eastAsia="zh-CN"/>
        </w:rPr>
      </w:pPr>
    </w:p>
    <w:p w14:paraId="5FF69BFC">
      <w:pPr>
        <w:pStyle w:val="16"/>
        <w:rPr>
          <w:rFonts w:hint="eastAsia" w:ascii="Times New Roman" w:hAnsi="Times New Roman" w:eastAsia="宋体"/>
          <w:color w:val="auto"/>
          <w:lang w:eastAsia="zh-CN"/>
        </w:rPr>
      </w:pPr>
    </w:p>
    <w:p w14:paraId="1AFCB696">
      <w:pPr>
        <w:rPr>
          <w:rFonts w:hint="default" w:ascii="Times New Roman" w:hAnsi="Times New Roman" w:eastAsia="宋体" w:cs="Times New Roman"/>
          <w:color w:val="auto"/>
          <w:sz w:val="36"/>
          <w:szCs w:val="36"/>
        </w:rPr>
      </w:pPr>
    </w:p>
    <w:p w14:paraId="34AC7362">
      <w:pPr>
        <w:widowControl w:val="0"/>
        <w:autoSpaceDE w:val="0"/>
        <w:autoSpaceDN w:val="0"/>
        <w:spacing w:before="0" w:after="0" w:line="240" w:lineRule="auto"/>
        <w:ind w:left="426" w:right="428"/>
        <w:jc w:val="center"/>
        <w:rPr>
          <w:rFonts w:ascii="PMingLiU" w:hAnsi="PMingLiU" w:eastAsia="PMingLiU" w:cs="PMingLiU"/>
          <w:sz w:val="72"/>
          <w:szCs w:val="72"/>
          <w:lang w:val="en-US" w:eastAsia="zh-CN" w:bidi="ar-SA"/>
        </w:rPr>
      </w:pPr>
      <w:r>
        <w:rPr>
          <w:rFonts w:ascii="PMingLiU" w:hAnsi="PMingLiU" w:eastAsia="PMingLiU" w:cs="PMingLiU"/>
          <w:spacing w:val="-1"/>
          <w:sz w:val="72"/>
          <w:szCs w:val="72"/>
          <w:lang w:val="en-US" w:eastAsia="zh-CN" w:bidi="ar-SA"/>
        </w:rPr>
        <w:t>建设项目环境影响报告表</w:t>
      </w:r>
    </w:p>
    <w:p w14:paraId="692F2638">
      <w:pPr>
        <w:pStyle w:val="21"/>
        <w:bidi w:val="0"/>
        <w:rPr>
          <w:rFonts w:hint="default"/>
        </w:rPr>
      </w:pPr>
    </w:p>
    <w:p w14:paraId="0309CFCA">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11EC9EC1">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14:paraId="18AAA7F7">
      <w:pPr>
        <w:jc w:val="center"/>
        <w:rPr>
          <w:rFonts w:hint="default" w:ascii="Times New Roman" w:hAnsi="Times New Roman" w:eastAsia="宋体" w:cs="Times New Roman"/>
          <w:color w:val="auto"/>
          <w:sz w:val="52"/>
          <w:szCs w:val="52"/>
        </w:rPr>
      </w:pPr>
    </w:p>
    <w:p w14:paraId="5D576291">
      <w:pPr>
        <w:ind w:firstLine="1040"/>
        <w:rPr>
          <w:rFonts w:hint="eastAsia" w:ascii="Times New Roman" w:hAnsi="Times New Roman" w:eastAsia="宋体" w:cs="Times New Roman"/>
          <w:color w:val="auto"/>
          <w:sz w:val="44"/>
          <w:szCs w:val="44"/>
          <w:lang w:val="en-US" w:eastAsia="zh-CN"/>
        </w:rPr>
      </w:pPr>
    </w:p>
    <w:p w14:paraId="3EE9B865">
      <w:pPr>
        <w:ind w:firstLine="1040"/>
        <w:rPr>
          <w:rFonts w:hint="default" w:ascii="Times New Roman" w:hAnsi="Times New Roman" w:eastAsia="宋体" w:cs="Times New Roman"/>
          <w:color w:val="auto"/>
          <w:sz w:val="44"/>
          <w:szCs w:val="44"/>
        </w:rPr>
      </w:pPr>
    </w:p>
    <w:p w14:paraId="7FDEAF52">
      <w:pPr>
        <w:ind w:firstLine="1040"/>
        <w:rPr>
          <w:rFonts w:hint="default" w:ascii="Times New Roman" w:hAnsi="Times New Roman" w:eastAsia="宋体" w:cs="Times New Roman"/>
          <w:color w:val="auto"/>
          <w:sz w:val="44"/>
          <w:szCs w:val="44"/>
        </w:rPr>
      </w:pPr>
    </w:p>
    <w:p w14:paraId="62658932">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lang w:eastAsia="zh-CN"/>
        </w:rPr>
      </w:pPr>
    </w:p>
    <w:p w14:paraId="5FAE3FBD">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eastAsia="zh-CN"/>
        </w:rPr>
        <w:t>项目</w:t>
      </w:r>
      <w:r>
        <w:rPr>
          <w:rFonts w:hint="default" w:ascii="Times New Roman" w:hAnsi="Times New Roman" w:eastAsia="宋体" w:cs="Times New Roman"/>
          <w:color w:val="auto"/>
          <w:sz w:val="36"/>
          <w:szCs w:val="36"/>
          <w:u w:val="none"/>
          <w:lang w:eastAsia="zh-CN"/>
        </w:rPr>
        <w:t>名称：</w:t>
      </w:r>
      <w:r>
        <w:rPr>
          <w:rFonts w:hint="eastAsia" w:cs="Times New Roman"/>
          <w:color w:val="auto"/>
          <w:sz w:val="36"/>
          <w:szCs w:val="36"/>
          <w:u w:val="single"/>
          <w:lang w:eastAsia="zh-CN"/>
        </w:rPr>
        <w:t>福州景卓汽车零部件有限公司年加工汽车座椅骨架12万套项目</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14:paraId="4605E11C">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建设单位（盖章）：</w:t>
      </w:r>
      <w:r>
        <w:rPr>
          <w:rFonts w:hint="eastAsia" w:cs="Times New Roman"/>
          <w:color w:val="auto"/>
          <w:sz w:val="36"/>
          <w:szCs w:val="36"/>
          <w:u w:val="single"/>
          <w:lang w:val="en-US" w:eastAsia="zh-CN"/>
        </w:rPr>
        <w:t>福州景卓汽车零部件有限公司</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14:paraId="357C83E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eastAsia"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eastAsia" w:ascii="Times New Roman" w:hAnsi="Times New Roman" w:eastAsia="宋体" w:cs="Times New Roman"/>
          <w:color w:val="auto"/>
          <w:sz w:val="36"/>
          <w:szCs w:val="36"/>
          <w:highlight w:val="none"/>
          <w:u w:val="single"/>
          <w:lang w:val="en-US" w:eastAsia="zh-CN"/>
        </w:rPr>
        <w:t xml:space="preserve">               2</w:t>
      </w:r>
      <w:r>
        <w:rPr>
          <w:rFonts w:hint="default" w:ascii="Times New Roman" w:hAnsi="Times New Roman" w:eastAsia="宋体" w:cs="Times New Roman"/>
          <w:color w:val="auto"/>
          <w:sz w:val="36"/>
          <w:szCs w:val="36"/>
          <w:highlight w:val="none"/>
          <w:u w:val="single"/>
          <w:lang w:val="en-US" w:eastAsia="zh-CN"/>
        </w:rPr>
        <w:t>0</w:t>
      </w:r>
      <w:r>
        <w:rPr>
          <w:rFonts w:hint="eastAsia" w:ascii="Times New Roman" w:hAnsi="Times New Roman" w:eastAsia="宋体" w:cs="Times New Roman"/>
          <w:color w:val="auto"/>
          <w:sz w:val="36"/>
          <w:szCs w:val="36"/>
          <w:highlight w:val="none"/>
          <w:u w:val="single"/>
          <w:lang w:val="en-US" w:eastAsia="zh-CN"/>
        </w:rPr>
        <w:t>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w:t>
      </w:r>
      <w:r>
        <w:rPr>
          <w:rFonts w:hint="default" w:ascii="Times New Roman" w:hAnsi="Times New Roman" w:eastAsia="宋体" w:cs="Times New Roman"/>
          <w:color w:val="auto"/>
          <w:sz w:val="36"/>
          <w:szCs w:val="36"/>
          <w:highlight w:val="none"/>
          <w:u w:val="single"/>
          <w:lang w:val="en-US" w:eastAsia="zh-CN"/>
        </w:rPr>
        <w:t>月</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p>
    <w:p w14:paraId="244EACF3">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14:paraId="025DCF65">
      <w:pPr>
        <w:adjustRightInd w:val="0"/>
        <w:snapToGrid w:val="0"/>
        <w:spacing w:line="288" w:lineRule="auto"/>
        <w:ind w:firstLine="1040"/>
        <w:rPr>
          <w:rFonts w:hint="default" w:ascii="Times New Roman" w:hAnsi="Times New Roman" w:eastAsia="宋体" w:cs="Times New Roman"/>
          <w:color w:val="auto"/>
          <w:sz w:val="36"/>
          <w:szCs w:val="36"/>
        </w:rPr>
      </w:pPr>
    </w:p>
    <w:p w14:paraId="30DEDE9A">
      <w:pPr>
        <w:adjustRightInd w:val="0"/>
        <w:snapToGrid w:val="0"/>
        <w:spacing w:line="288" w:lineRule="auto"/>
        <w:ind w:firstLine="1040"/>
        <w:rPr>
          <w:rFonts w:hint="default" w:ascii="Times New Roman" w:hAnsi="Times New Roman" w:eastAsia="宋体" w:cs="Times New Roman"/>
          <w:color w:val="auto"/>
          <w:sz w:val="36"/>
          <w:szCs w:val="36"/>
        </w:rPr>
      </w:pPr>
    </w:p>
    <w:p w14:paraId="649931E1">
      <w:pPr>
        <w:pStyle w:val="16"/>
        <w:rPr>
          <w:rFonts w:hint="default" w:ascii="Times New Roman" w:hAnsi="Times New Roman" w:eastAsia="宋体"/>
          <w:color w:val="auto"/>
        </w:rPr>
      </w:pPr>
    </w:p>
    <w:p w14:paraId="586A1E79">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2654100B">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1FE8BBF9">
      <w:pPr>
        <w:adjustRightInd w:val="0"/>
        <w:snapToGrid w:val="0"/>
        <w:spacing w:line="288" w:lineRule="auto"/>
        <w:jc w:val="both"/>
        <w:rPr>
          <w:rFonts w:hint="eastAsia" w:ascii="Times New Roman" w:hAnsi="Times New Roman" w:eastAsia="宋体" w:cs="Times New Roman"/>
          <w:color w:val="auto"/>
          <w:sz w:val="36"/>
          <w:szCs w:val="36"/>
          <w:lang w:eastAsia="zh-CN"/>
        </w:rPr>
      </w:pPr>
    </w:p>
    <w:p w14:paraId="7D7A72FB">
      <w:pPr>
        <w:rPr>
          <w:rFonts w:ascii="Times New Roman" w:hAnsi="Times New Roman" w:eastAsia="宋体" w:cs="Times New Roman"/>
          <w:b/>
          <w:color w:val="auto"/>
          <w:highlight w:val="none"/>
        </w:rPr>
      </w:pPr>
      <w:bookmarkStart w:id="1" w:name="_Toc19820"/>
      <w:bookmarkStart w:id="2" w:name="_Toc8499"/>
      <w:bookmarkStart w:id="3" w:name="_Toc15935"/>
      <w:bookmarkStart w:id="4" w:name="_Toc26120"/>
      <w:bookmarkStart w:id="5" w:name="_Toc3548"/>
      <w:r>
        <w:rPr>
          <w:rFonts w:ascii="Times New Roman" w:hAnsi="Times New Roman" w:eastAsia="宋体" w:cs="Times New Roman"/>
          <w:b/>
          <w:color w:val="auto"/>
          <w:highlight w:val="none"/>
        </w:rPr>
        <w:br w:type="page"/>
      </w:r>
    </w:p>
    <w:p w14:paraId="2EB2856C">
      <w:r>
        <w:br w:type="page"/>
      </w:r>
    </w:p>
    <w:p w14:paraId="2E7393DF">
      <w:pPr>
        <w:sectPr>
          <w:footerReference r:id="rId3"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14:paraId="6C353095">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建设项目基本情况</w:t>
      </w:r>
      <w:bookmarkEnd w:id="1"/>
      <w:bookmarkEnd w:id="2"/>
      <w:bookmarkEnd w:id="3"/>
      <w:bookmarkEnd w:id="4"/>
      <w:bookmarkEnd w:id="5"/>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72"/>
        <w:gridCol w:w="2744"/>
        <w:gridCol w:w="1742"/>
        <w:gridCol w:w="3012"/>
      </w:tblGrid>
      <w:tr w14:paraId="3D0F4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21C86565">
            <w:pPr>
              <w:adjustRightInd w:val="0"/>
              <w:snapToGrid w:val="0"/>
              <w:jc w:val="center"/>
              <w:rPr>
                <w:color w:val="auto"/>
                <w:highlight w:val="none"/>
              </w:rPr>
            </w:pPr>
            <w:r>
              <w:rPr>
                <w:rFonts w:hint="eastAsia"/>
                <w:color w:val="auto"/>
                <w:highlight w:val="none"/>
              </w:rPr>
              <w:t>项目名称</w:t>
            </w:r>
          </w:p>
        </w:tc>
        <w:tc>
          <w:tcPr>
            <w:tcW w:w="7498" w:type="dxa"/>
            <w:gridSpan w:val="3"/>
            <w:vAlign w:val="center"/>
          </w:tcPr>
          <w:p w14:paraId="664F221E">
            <w:pPr>
              <w:adjustRightInd w:val="0"/>
              <w:snapToGrid w:val="0"/>
              <w:jc w:val="center"/>
              <w:rPr>
                <w:rFonts w:hint="default" w:eastAsia="宋体"/>
                <w:color w:val="auto"/>
                <w:szCs w:val="21"/>
                <w:highlight w:val="none"/>
                <w:lang w:val="en-US" w:eastAsia="zh-CN"/>
              </w:rPr>
            </w:pPr>
            <w:r>
              <w:rPr>
                <w:rFonts w:hint="eastAsia"/>
                <w:color w:val="auto"/>
                <w:szCs w:val="21"/>
                <w:highlight w:val="none"/>
                <w:lang w:eastAsia="zh-CN"/>
              </w:rPr>
              <w:t>福州景卓汽车零部件有限公司年加工汽车座椅骨架12万套项目</w:t>
            </w:r>
          </w:p>
        </w:tc>
      </w:tr>
      <w:tr w14:paraId="12789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2CA65C9D">
            <w:pPr>
              <w:adjustRightInd w:val="0"/>
              <w:snapToGrid w:val="0"/>
              <w:jc w:val="center"/>
              <w:rPr>
                <w:color w:val="auto"/>
                <w:szCs w:val="21"/>
                <w:highlight w:val="none"/>
              </w:rPr>
            </w:pPr>
            <w:r>
              <w:rPr>
                <w:color w:val="auto"/>
                <w:szCs w:val="21"/>
                <w:highlight w:val="none"/>
              </w:rPr>
              <w:t>项目代码</w:t>
            </w:r>
          </w:p>
        </w:tc>
        <w:tc>
          <w:tcPr>
            <w:tcW w:w="7498" w:type="dxa"/>
            <w:gridSpan w:val="3"/>
            <w:vAlign w:val="center"/>
          </w:tcPr>
          <w:p w14:paraId="7549D37A">
            <w:pPr>
              <w:adjustRightInd w:val="0"/>
              <w:snapToGrid w:val="0"/>
              <w:jc w:val="center"/>
              <w:rPr>
                <w:rFonts w:hint="default" w:eastAsia="宋体"/>
                <w:color w:val="auto"/>
                <w:szCs w:val="21"/>
                <w:highlight w:val="none"/>
                <w:lang w:val="en-US" w:eastAsia="zh-CN"/>
              </w:rPr>
            </w:pPr>
            <w:r>
              <w:rPr>
                <w:rFonts w:hint="default" w:eastAsia="宋体"/>
                <w:color w:val="auto"/>
                <w:szCs w:val="21"/>
                <w:highlight w:val="none"/>
                <w:shd w:val="clear"/>
                <w:lang w:val="en-US" w:eastAsia="zh-CN"/>
              </w:rPr>
              <w:t>2507-350181-04-01-203769</w:t>
            </w:r>
          </w:p>
        </w:tc>
      </w:tr>
      <w:tr w14:paraId="0BE75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03FCCD60">
            <w:pPr>
              <w:adjustRightInd w:val="0"/>
              <w:snapToGrid w:val="0"/>
              <w:jc w:val="center"/>
              <w:rPr>
                <w:color w:val="auto"/>
                <w:szCs w:val="21"/>
                <w:highlight w:val="none"/>
              </w:rPr>
            </w:pPr>
            <w:r>
              <w:rPr>
                <w:color w:val="auto"/>
                <w:szCs w:val="21"/>
                <w:highlight w:val="none"/>
              </w:rPr>
              <w:t>建设单位联系人</w:t>
            </w:r>
          </w:p>
        </w:tc>
        <w:tc>
          <w:tcPr>
            <w:tcW w:w="2744" w:type="dxa"/>
            <w:vAlign w:val="center"/>
          </w:tcPr>
          <w:p w14:paraId="0F54E76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景**</w:t>
            </w:r>
          </w:p>
        </w:tc>
        <w:tc>
          <w:tcPr>
            <w:tcW w:w="1742" w:type="dxa"/>
            <w:vAlign w:val="center"/>
          </w:tcPr>
          <w:p w14:paraId="3C61111C">
            <w:pPr>
              <w:adjustRightInd w:val="0"/>
              <w:snapToGrid w:val="0"/>
              <w:jc w:val="center"/>
              <w:rPr>
                <w:color w:val="auto"/>
                <w:szCs w:val="21"/>
                <w:highlight w:val="none"/>
              </w:rPr>
            </w:pPr>
            <w:r>
              <w:rPr>
                <w:color w:val="auto"/>
                <w:szCs w:val="21"/>
                <w:highlight w:val="none"/>
              </w:rPr>
              <w:t>联系方式</w:t>
            </w:r>
          </w:p>
        </w:tc>
        <w:tc>
          <w:tcPr>
            <w:tcW w:w="3012" w:type="dxa"/>
            <w:vAlign w:val="center"/>
          </w:tcPr>
          <w:p w14:paraId="692D3D8D">
            <w:pPr>
              <w:adjustRightInd w:val="0"/>
              <w:snapToGrid w:val="0"/>
              <w:jc w:val="center"/>
              <w:rPr>
                <w:color w:val="auto"/>
                <w:szCs w:val="21"/>
                <w:highlight w:val="none"/>
              </w:rPr>
            </w:pPr>
            <w:r>
              <w:rPr>
                <w:rFonts w:hint="eastAsia"/>
              </w:rPr>
              <w:t>133</w:t>
            </w:r>
            <w:r>
              <w:rPr>
                <w:rFonts w:hint="eastAsia"/>
                <w:lang w:val="en-US" w:eastAsia="zh-CN"/>
              </w:rPr>
              <w:t>*****</w:t>
            </w:r>
            <w:r>
              <w:rPr>
                <w:rFonts w:hint="eastAsia"/>
              </w:rPr>
              <w:t>68</w:t>
            </w:r>
          </w:p>
        </w:tc>
      </w:tr>
      <w:tr w14:paraId="00E4E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2E60C517">
            <w:pPr>
              <w:adjustRightInd w:val="0"/>
              <w:snapToGrid w:val="0"/>
              <w:jc w:val="center"/>
              <w:rPr>
                <w:color w:val="auto"/>
                <w:szCs w:val="21"/>
                <w:highlight w:val="none"/>
              </w:rPr>
            </w:pPr>
            <w:r>
              <w:rPr>
                <w:color w:val="auto"/>
                <w:szCs w:val="21"/>
                <w:highlight w:val="none"/>
              </w:rPr>
              <w:t>建设地点</w:t>
            </w:r>
          </w:p>
        </w:tc>
        <w:tc>
          <w:tcPr>
            <w:tcW w:w="7498" w:type="dxa"/>
            <w:gridSpan w:val="3"/>
            <w:vAlign w:val="center"/>
          </w:tcPr>
          <w:p w14:paraId="74C77C67">
            <w:pPr>
              <w:adjustRightInd w:val="0"/>
              <w:snapToGrid w:val="0"/>
              <w:jc w:val="center"/>
              <w:rPr>
                <w:rFonts w:hint="default"/>
                <w:color w:val="auto"/>
                <w:szCs w:val="21"/>
                <w:highlight w:val="none"/>
                <w:lang w:val="en-US"/>
              </w:rPr>
            </w:pPr>
            <w:r>
              <w:rPr>
                <w:rFonts w:hint="eastAsia"/>
                <w:color w:val="auto"/>
                <w:lang w:val="en-US" w:eastAsia="zh-CN"/>
              </w:rPr>
              <w:t>福建省福州市福清市镜洋镇工业区（租赁福州鼎力机械有限公司内铸造车间1号）</w:t>
            </w:r>
          </w:p>
        </w:tc>
      </w:tr>
      <w:tr w14:paraId="6F2CF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0E93886E">
            <w:pPr>
              <w:adjustRightInd w:val="0"/>
              <w:snapToGrid w:val="0"/>
              <w:jc w:val="center"/>
              <w:rPr>
                <w:color w:val="auto"/>
                <w:szCs w:val="21"/>
                <w:highlight w:val="none"/>
              </w:rPr>
            </w:pPr>
            <w:r>
              <w:rPr>
                <w:color w:val="auto"/>
                <w:szCs w:val="21"/>
                <w:highlight w:val="none"/>
              </w:rPr>
              <w:t>地理坐标</w:t>
            </w:r>
          </w:p>
        </w:tc>
        <w:tc>
          <w:tcPr>
            <w:tcW w:w="7498" w:type="dxa"/>
            <w:gridSpan w:val="3"/>
            <w:vAlign w:val="center"/>
          </w:tcPr>
          <w:p w14:paraId="18FEAB85">
            <w:pPr>
              <w:jc w:val="center"/>
              <w:rPr>
                <w:color w:val="auto"/>
                <w:szCs w:val="21"/>
                <w:highlight w:val="none"/>
              </w:rPr>
            </w:pPr>
            <w:r>
              <w:rPr>
                <w:rFonts w:hint="eastAsia"/>
                <w:color w:val="auto"/>
                <w:szCs w:val="21"/>
                <w:highlight w:val="none"/>
              </w:rPr>
              <w:t>经度</w:t>
            </w:r>
            <w:r>
              <w:rPr>
                <w:rFonts w:hint="eastAsia"/>
                <w:color w:val="auto"/>
                <w:szCs w:val="21"/>
                <w:highlight w:val="none"/>
                <w:lang w:eastAsia="zh-CN"/>
              </w:rPr>
              <w:t>：</w:t>
            </w:r>
            <w:r>
              <w:rPr>
                <w:rFonts w:hint="eastAsia"/>
                <w:color w:val="auto"/>
                <w:szCs w:val="21"/>
                <w:highlight w:val="none"/>
              </w:rPr>
              <w:t>119.292262529°</w:t>
            </w:r>
            <w:r>
              <w:rPr>
                <w:color w:val="auto"/>
                <w:szCs w:val="21"/>
                <w:highlight w:val="none"/>
              </w:rPr>
              <w:t>，</w:t>
            </w:r>
            <w:r>
              <w:rPr>
                <w:rFonts w:hint="eastAsia"/>
                <w:color w:val="auto"/>
                <w:szCs w:val="21"/>
                <w:highlight w:val="none"/>
              </w:rPr>
              <w:t>纬度</w:t>
            </w:r>
            <w:r>
              <w:rPr>
                <w:rFonts w:hint="eastAsia"/>
                <w:color w:val="auto"/>
                <w:szCs w:val="21"/>
                <w:highlight w:val="none"/>
                <w:lang w:eastAsia="zh-CN"/>
              </w:rPr>
              <w:t>：</w:t>
            </w:r>
            <w:r>
              <w:rPr>
                <w:rFonts w:hint="eastAsia"/>
                <w:color w:val="auto"/>
                <w:szCs w:val="21"/>
                <w:highlight w:val="none"/>
              </w:rPr>
              <w:t>25.805902193°</w:t>
            </w:r>
          </w:p>
        </w:tc>
      </w:tr>
      <w:tr w14:paraId="63EE5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372" w:type="dxa"/>
            <w:tcMar>
              <w:top w:w="16" w:type="dxa"/>
              <w:left w:w="16" w:type="dxa"/>
              <w:right w:w="16" w:type="dxa"/>
            </w:tcMar>
            <w:vAlign w:val="center"/>
          </w:tcPr>
          <w:p w14:paraId="05841010">
            <w:pPr>
              <w:adjustRightInd w:val="0"/>
              <w:snapToGrid w:val="0"/>
              <w:jc w:val="center"/>
              <w:rPr>
                <w:color w:val="auto"/>
                <w:szCs w:val="21"/>
                <w:highlight w:val="none"/>
              </w:rPr>
            </w:pPr>
            <w:r>
              <w:rPr>
                <w:color w:val="auto"/>
                <w:szCs w:val="21"/>
                <w:highlight w:val="none"/>
              </w:rPr>
              <w:t>国民经济</w:t>
            </w:r>
          </w:p>
          <w:p w14:paraId="34896F7E">
            <w:pPr>
              <w:adjustRightInd w:val="0"/>
              <w:snapToGrid w:val="0"/>
              <w:jc w:val="center"/>
              <w:rPr>
                <w:color w:val="auto"/>
                <w:szCs w:val="21"/>
                <w:highlight w:val="none"/>
              </w:rPr>
            </w:pPr>
            <w:r>
              <w:rPr>
                <w:color w:val="auto"/>
                <w:szCs w:val="21"/>
                <w:highlight w:val="none"/>
              </w:rPr>
              <w:t>行业类别</w:t>
            </w:r>
          </w:p>
        </w:tc>
        <w:tc>
          <w:tcPr>
            <w:tcW w:w="2744" w:type="dxa"/>
            <w:vAlign w:val="center"/>
          </w:tcPr>
          <w:p w14:paraId="5B924E23">
            <w:pPr>
              <w:pStyle w:val="46"/>
              <w:spacing w:line="240" w:lineRule="auto"/>
              <w:ind w:firstLine="0" w:firstLineChars="0"/>
              <w:jc w:val="center"/>
              <w:rPr>
                <w:rFonts w:hint="eastAsia"/>
                <w:color w:val="auto"/>
                <w:sz w:val="21"/>
                <w:szCs w:val="21"/>
                <w:highlight w:val="none"/>
              </w:rPr>
            </w:pPr>
            <w:r>
              <w:rPr>
                <w:rFonts w:hint="eastAsia"/>
                <w:color w:val="auto"/>
                <w:sz w:val="21"/>
                <w:szCs w:val="21"/>
                <w:highlight w:val="none"/>
              </w:rPr>
              <w:t>C3670汽车零部件及配件制造</w:t>
            </w:r>
          </w:p>
          <w:p w14:paraId="4AD8F53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C3360金属表面处理及热处理加工</w:t>
            </w:r>
          </w:p>
          <w:p w14:paraId="54BD6EAC">
            <w:pPr>
              <w:pStyle w:val="46"/>
              <w:spacing w:line="240" w:lineRule="auto"/>
              <w:ind w:firstLine="0" w:firstLineChars="0"/>
              <w:jc w:val="center"/>
              <w:rPr>
                <w:rFonts w:hint="eastAsia"/>
                <w:color w:val="auto"/>
                <w:sz w:val="21"/>
                <w:szCs w:val="21"/>
                <w:highlight w:val="none"/>
              </w:rPr>
            </w:pPr>
          </w:p>
        </w:tc>
        <w:tc>
          <w:tcPr>
            <w:tcW w:w="1742" w:type="dxa"/>
            <w:vAlign w:val="center"/>
          </w:tcPr>
          <w:p w14:paraId="123F371E">
            <w:pPr>
              <w:adjustRightInd w:val="0"/>
              <w:snapToGrid w:val="0"/>
              <w:jc w:val="center"/>
              <w:rPr>
                <w:color w:val="auto"/>
                <w:szCs w:val="21"/>
                <w:highlight w:val="none"/>
              </w:rPr>
            </w:pPr>
            <w:bookmarkStart w:id="6" w:name="_Hlk49843745"/>
            <w:r>
              <w:rPr>
                <w:color w:val="auto"/>
                <w:szCs w:val="21"/>
                <w:highlight w:val="none"/>
              </w:rPr>
              <w:t>建设项目</w:t>
            </w:r>
          </w:p>
          <w:p w14:paraId="74677ACB">
            <w:pPr>
              <w:adjustRightInd w:val="0"/>
              <w:snapToGrid w:val="0"/>
              <w:jc w:val="center"/>
              <w:rPr>
                <w:color w:val="auto"/>
                <w:szCs w:val="21"/>
                <w:highlight w:val="none"/>
              </w:rPr>
            </w:pPr>
            <w:r>
              <w:rPr>
                <w:color w:val="auto"/>
                <w:szCs w:val="21"/>
                <w:highlight w:val="none"/>
              </w:rPr>
              <w:t>行业类别</w:t>
            </w:r>
            <w:bookmarkEnd w:id="6"/>
          </w:p>
        </w:tc>
        <w:tc>
          <w:tcPr>
            <w:tcW w:w="3012" w:type="dxa"/>
            <w:vAlign w:val="center"/>
          </w:tcPr>
          <w:p w14:paraId="551221B6">
            <w:pPr>
              <w:pStyle w:val="46"/>
              <w:spacing w:line="240" w:lineRule="auto"/>
              <w:ind w:firstLine="0" w:firstLineChars="0"/>
              <w:rPr>
                <w:rFonts w:hint="default"/>
                <w:color w:val="auto"/>
                <w:sz w:val="21"/>
                <w:szCs w:val="21"/>
                <w:highlight w:val="none"/>
                <w:lang w:val="en-US"/>
              </w:rPr>
            </w:pPr>
            <w:r>
              <w:rPr>
                <w:rFonts w:hint="default"/>
                <w:color w:val="auto"/>
                <w:sz w:val="21"/>
                <w:szCs w:val="21"/>
                <w:highlight w:val="none"/>
                <w:lang w:val="en-US"/>
              </w:rPr>
              <w:t>三十三、汽车制造业36—71、汽车零部件及配件制造367</w:t>
            </w:r>
          </w:p>
          <w:p w14:paraId="19075B34">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三十、金属制品业33-67金属表面处理及热处理加工</w:t>
            </w:r>
          </w:p>
          <w:p w14:paraId="66F9A38D">
            <w:pPr>
              <w:adjustRightInd w:val="0"/>
              <w:snapToGrid w:val="0"/>
              <w:jc w:val="center"/>
              <w:rPr>
                <w:rFonts w:hint="default"/>
                <w:color w:val="auto"/>
                <w:sz w:val="21"/>
                <w:szCs w:val="21"/>
                <w:highlight w:val="none"/>
                <w:lang w:val="en-US"/>
              </w:rPr>
            </w:pPr>
            <w:r>
              <w:rPr>
                <w:rFonts w:hint="eastAsia" w:ascii="Times New Roman" w:hAnsi="Times New Roman" w:eastAsia="宋体" w:cs="Times New Roman"/>
                <w:color w:val="auto"/>
                <w:szCs w:val="21"/>
                <w:lang w:val="en-US" w:eastAsia="zh-CN"/>
              </w:rPr>
              <w:t>其他（年用非溶剂型低VOCs含量涂料10吨以下的除外）</w:t>
            </w:r>
          </w:p>
        </w:tc>
      </w:tr>
      <w:tr w14:paraId="023E4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2" w:type="dxa"/>
            <w:tcMar>
              <w:top w:w="16" w:type="dxa"/>
              <w:left w:w="16" w:type="dxa"/>
              <w:right w:w="16" w:type="dxa"/>
            </w:tcMar>
            <w:vAlign w:val="center"/>
          </w:tcPr>
          <w:p w14:paraId="1C3A04A0">
            <w:pPr>
              <w:adjustRightInd w:val="0"/>
              <w:snapToGrid w:val="0"/>
              <w:jc w:val="center"/>
              <w:rPr>
                <w:color w:val="auto"/>
                <w:szCs w:val="21"/>
                <w:highlight w:val="none"/>
              </w:rPr>
            </w:pPr>
            <w:r>
              <w:rPr>
                <w:color w:val="auto"/>
                <w:szCs w:val="21"/>
                <w:highlight w:val="none"/>
              </w:rPr>
              <w:t>建设性质</w:t>
            </w:r>
          </w:p>
        </w:tc>
        <w:tc>
          <w:tcPr>
            <w:tcW w:w="2744" w:type="dxa"/>
            <w:vAlign w:val="center"/>
          </w:tcPr>
          <w:p w14:paraId="19404AAA">
            <w:pPr>
              <w:jc w:val="left"/>
              <w:rPr>
                <w:color w:val="auto"/>
                <w:szCs w:val="21"/>
                <w:highlight w:val="none"/>
              </w:rPr>
            </w:pPr>
            <w:r>
              <w:rPr>
                <w:color w:val="auto"/>
                <w:szCs w:val="21"/>
                <w:highlight w:val="none"/>
              </w:rPr>
              <w:sym w:font="Wingdings 2" w:char="0052"/>
            </w:r>
            <w:r>
              <w:rPr>
                <w:color w:val="auto"/>
                <w:szCs w:val="21"/>
                <w:highlight w:val="none"/>
              </w:rPr>
              <w:t>新建（迁建）</w:t>
            </w:r>
          </w:p>
          <w:p w14:paraId="38DB8746">
            <w:pPr>
              <w:jc w:val="left"/>
              <w:rPr>
                <w:color w:val="auto"/>
                <w:szCs w:val="21"/>
                <w:highlight w:val="none"/>
              </w:rPr>
            </w:pPr>
            <w:r>
              <w:rPr>
                <w:color w:val="auto"/>
                <w:szCs w:val="21"/>
                <w:highlight w:val="none"/>
              </w:rPr>
              <w:sym w:font="Wingdings 2" w:char="00A3"/>
            </w:r>
            <w:r>
              <w:rPr>
                <w:color w:val="auto"/>
                <w:szCs w:val="21"/>
                <w:highlight w:val="none"/>
              </w:rPr>
              <w:t>改建</w:t>
            </w:r>
          </w:p>
          <w:p w14:paraId="470267EF">
            <w:pPr>
              <w:jc w:val="left"/>
              <w:rPr>
                <w:color w:val="auto"/>
                <w:szCs w:val="21"/>
                <w:highlight w:val="none"/>
              </w:rPr>
            </w:pPr>
            <w:r>
              <w:rPr>
                <w:color w:val="auto"/>
                <w:szCs w:val="21"/>
                <w:highlight w:val="none"/>
              </w:rPr>
              <w:sym w:font="Wingdings 2" w:char="00A3"/>
            </w:r>
            <w:r>
              <w:rPr>
                <w:color w:val="auto"/>
                <w:szCs w:val="21"/>
                <w:highlight w:val="none"/>
              </w:rPr>
              <w:t>扩建</w:t>
            </w:r>
          </w:p>
          <w:p w14:paraId="471D7208">
            <w:pPr>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1742" w:type="dxa"/>
            <w:vAlign w:val="center"/>
          </w:tcPr>
          <w:p w14:paraId="4D90218C">
            <w:pPr>
              <w:adjustRightInd w:val="0"/>
              <w:snapToGrid w:val="0"/>
              <w:jc w:val="center"/>
              <w:rPr>
                <w:color w:val="auto"/>
                <w:szCs w:val="21"/>
                <w:highlight w:val="none"/>
              </w:rPr>
            </w:pPr>
            <w:r>
              <w:rPr>
                <w:color w:val="auto"/>
                <w:szCs w:val="21"/>
                <w:highlight w:val="none"/>
              </w:rPr>
              <w:t>建设项目</w:t>
            </w:r>
          </w:p>
          <w:p w14:paraId="15CEE945">
            <w:pPr>
              <w:adjustRightInd w:val="0"/>
              <w:snapToGrid w:val="0"/>
              <w:jc w:val="center"/>
              <w:rPr>
                <w:color w:val="auto"/>
                <w:szCs w:val="21"/>
                <w:highlight w:val="none"/>
              </w:rPr>
            </w:pPr>
            <w:r>
              <w:rPr>
                <w:color w:val="auto"/>
                <w:szCs w:val="21"/>
                <w:highlight w:val="none"/>
              </w:rPr>
              <w:t>申报情形</w:t>
            </w:r>
          </w:p>
        </w:tc>
        <w:tc>
          <w:tcPr>
            <w:tcW w:w="3012" w:type="dxa"/>
            <w:vAlign w:val="center"/>
          </w:tcPr>
          <w:p w14:paraId="61C83391">
            <w:pPr>
              <w:jc w:val="left"/>
              <w:rPr>
                <w:color w:val="auto"/>
                <w:szCs w:val="21"/>
                <w:highlight w:val="none"/>
              </w:rPr>
            </w:pPr>
            <w:r>
              <w:rPr>
                <w:color w:val="auto"/>
                <w:szCs w:val="21"/>
                <w:highlight w:val="none"/>
              </w:rPr>
              <w:sym w:font="Wingdings 2" w:char="0052"/>
            </w:r>
            <w:r>
              <w:rPr>
                <w:color w:val="auto"/>
                <w:szCs w:val="21"/>
                <w:highlight w:val="none"/>
              </w:rPr>
              <w:t xml:space="preserve">首次申报项目             </w:t>
            </w:r>
          </w:p>
          <w:p w14:paraId="3924AA92">
            <w:pPr>
              <w:jc w:val="left"/>
              <w:rPr>
                <w:color w:val="auto"/>
                <w:szCs w:val="21"/>
                <w:highlight w:val="none"/>
              </w:rPr>
            </w:pPr>
            <w:r>
              <w:rPr>
                <w:rFonts w:hint="eastAsia"/>
                <w:color w:val="auto"/>
                <w:szCs w:val="21"/>
                <w:highlight w:val="none"/>
              </w:rPr>
              <w:t>□</w:t>
            </w:r>
            <w:r>
              <w:rPr>
                <w:color w:val="auto"/>
                <w:szCs w:val="21"/>
                <w:highlight w:val="none"/>
              </w:rPr>
              <w:t>不予批准后再次申报项目</w:t>
            </w:r>
          </w:p>
          <w:p w14:paraId="4F7EBAB4">
            <w:pPr>
              <w:jc w:val="left"/>
              <w:rPr>
                <w:color w:val="auto"/>
                <w:szCs w:val="21"/>
                <w:highlight w:val="none"/>
              </w:rPr>
            </w:pPr>
            <w:r>
              <w:rPr>
                <w:rFonts w:hint="eastAsia"/>
                <w:color w:val="auto"/>
                <w:szCs w:val="21"/>
                <w:highlight w:val="none"/>
                <w:lang w:eastAsia="zh-CN"/>
              </w:rPr>
              <w:t>□</w:t>
            </w:r>
            <w:r>
              <w:rPr>
                <w:color w:val="auto"/>
                <w:szCs w:val="21"/>
                <w:highlight w:val="none"/>
              </w:rPr>
              <w:t xml:space="preserve">超五年重新审核项目     </w:t>
            </w:r>
          </w:p>
          <w:p w14:paraId="3644E5B9">
            <w:pPr>
              <w:jc w:val="left"/>
              <w:rPr>
                <w:color w:val="auto"/>
                <w:szCs w:val="21"/>
                <w:highlight w:val="none"/>
              </w:rPr>
            </w:pPr>
            <w:r>
              <w:rPr>
                <w:rFonts w:hint="eastAsia"/>
                <w:color w:val="auto"/>
                <w:szCs w:val="21"/>
                <w:highlight w:val="none"/>
                <w:lang w:eastAsia="zh-CN"/>
              </w:rPr>
              <w:t>□</w:t>
            </w:r>
            <w:r>
              <w:rPr>
                <w:color w:val="auto"/>
                <w:szCs w:val="21"/>
                <w:highlight w:val="none"/>
              </w:rPr>
              <w:t>重大变动重新报批项目</w:t>
            </w:r>
          </w:p>
        </w:tc>
      </w:tr>
      <w:tr w14:paraId="58B2A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2" w:type="dxa"/>
            <w:tcMar>
              <w:top w:w="16" w:type="dxa"/>
              <w:left w:w="16" w:type="dxa"/>
              <w:right w:w="16" w:type="dxa"/>
            </w:tcMar>
            <w:vAlign w:val="center"/>
          </w:tcPr>
          <w:p w14:paraId="7F02B016">
            <w:pPr>
              <w:adjustRightInd w:val="0"/>
              <w:snapToGrid w:val="0"/>
              <w:jc w:val="center"/>
              <w:rPr>
                <w:color w:val="auto"/>
                <w:szCs w:val="21"/>
                <w:highlight w:val="none"/>
              </w:rPr>
            </w:pPr>
            <w:r>
              <w:rPr>
                <w:color w:val="auto"/>
                <w:szCs w:val="21"/>
                <w:highlight w:val="none"/>
              </w:rPr>
              <w:t>项目审批（核准/</w:t>
            </w:r>
          </w:p>
          <w:p w14:paraId="02A6DB74">
            <w:pPr>
              <w:adjustRightInd w:val="0"/>
              <w:snapToGrid w:val="0"/>
              <w:jc w:val="both"/>
              <w:rPr>
                <w:color w:val="auto"/>
                <w:szCs w:val="21"/>
                <w:highlight w:val="none"/>
              </w:rPr>
            </w:pPr>
            <w:r>
              <w:rPr>
                <w:color w:val="auto"/>
                <w:szCs w:val="21"/>
                <w:highlight w:val="none"/>
              </w:rPr>
              <w:t>备案）部门（选填）</w:t>
            </w:r>
          </w:p>
        </w:tc>
        <w:tc>
          <w:tcPr>
            <w:tcW w:w="2744" w:type="dxa"/>
            <w:vAlign w:val="center"/>
          </w:tcPr>
          <w:p w14:paraId="5FA3500A">
            <w:pPr>
              <w:pStyle w:val="46"/>
              <w:ind w:firstLine="0" w:firstLineChars="0"/>
              <w:jc w:val="center"/>
              <w:rPr>
                <w:rFonts w:hint="default" w:eastAsia="宋体"/>
                <w:color w:val="auto"/>
                <w:szCs w:val="21"/>
                <w:highlight w:val="none"/>
                <w:lang w:val="en-US" w:eastAsia="zh-CN"/>
              </w:rPr>
            </w:pPr>
            <w:r>
              <w:rPr>
                <w:rFonts w:hint="eastAsia"/>
                <w:color w:val="auto"/>
                <w:sz w:val="21"/>
                <w:szCs w:val="21"/>
                <w:highlight w:val="none"/>
                <w:shd w:val="clear"/>
                <w:lang w:val="en-US" w:eastAsia="zh-CN"/>
              </w:rPr>
              <w:t>福清市发展和改革局</w:t>
            </w:r>
          </w:p>
        </w:tc>
        <w:tc>
          <w:tcPr>
            <w:tcW w:w="1742" w:type="dxa"/>
            <w:vAlign w:val="center"/>
          </w:tcPr>
          <w:p w14:paraId="1B71D6B3">
            <w:pPr>
              <w:adjustRightInd w:val="0"/>
              <w:snapToGrid w:val="0"/>
              <w:jc w:val="center"/>
              <w:rPr>
                <w:color w:val="auto"/>
                <w:szCs w:val="21"/>
                <w:highlight w:val="none"/>
              </w:rPr>
            </w:pPr>
            <w:r>
              <w:rPr>
                <w:color w:val="auto"/>
                <w:szCs w:val="21"/>
                <w:highlight w:val="none"/>
              </w:rPr>
              <w:t>项目审批（核准/</w:t>
            </w:r>
          </w:p>
          <w:p w14:paraId="5CC41000">
            <w:pPr>
              <w:adjustRightInd w:val="0"/>
              <w:snapToGrid w:val="0"/>
              <w:jc w:val="center"/>
              <w:rPr>
                <w:color w:val="auto"/>
                <w:szCs w:val="21"/>
                <w:highlight w:val="none"/>
              </w:rPr>
            </w:pPr>
            <w:r>
              <w:rPr>
                <w:color w:val="auto"/>
                <w:szCs w:val="21"/>
                <w:highlight w:val="none"/>
              </w:rPr>
              <w:t>备案）文号（选填）</w:t>
            </w:r>
          </w:p>
        </w:tc>
        <w:tc>
          <w:tcPr>
            <w:tcW w:w="3012" w:type="dxa"/>
            <w:vAlign w:val="center"/>
          </w:tcPr>
          <w:p w14:paraId="5C0B5205">
            <w:pPr>
              <w:adjustRightInd w:val="0"/>
              <w:snapToGrid w:val="0"/>
              <w:jc w:val="center"/>
              <w:rPr>
                <w:rFonts w:hint="eastAsia" w:eastAsia="宋体"/>
                <w:color w:val="auto"/>
                <w:szCs w:val="21"/>
                <w:highlight w:val="none"/>
                <w:lang w:eastAsia="zh-CN"/>
              </w:rPr>
            </w:pPr>
            <w:r>
              <w:rPr>
                <w:rFonts w:hint="eastAsia"/>
                <w:color w:val="auto"/>
                <w:szCs w:val="21"/>
                <w:highlight w:val="none"/>
                <w:shd w:val="clear"/>
                <w:lang w:eastAsia="zh-CN"/>
              </w:rPr>
              <w:t>闽发改备[2025]A060497号</w:t>
            </w:r>
          </w:p>
        </w:tc>
      </w:tr>
      <w:tr w14:paraId="29425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4E47C3CC">
            <w:pPr>
              <w:adjustRightInd w:val="0"/>
              <w:snapToGrid w:val="0"/>
              <w:jc w:val="center"/>
              <w:rPr>
                <w:color w:val="auto"/>
                <w:szCs w:val="21"/>
                <w:highlight w:val="none"/>
              </w:rPr>
            </w:pPr>
            <w:r>
              <w:rPr>
                <w:color w:val="auto"/>
                <w:szCs w:val="21"/>
                <w:highlight w:val="none"/>
              </w:rPr>
              <w:t>总投资（万元）</w:t>
            </w:r>
          </w:p>
        </w:tc>
        <w:tc>
          <w:tcPr>
            <w:tcW w:w="2744" w:type="dxa"/>
            <w:vAlign w:val="center"/>
          </w:tcPr>
          <w:p w14:paraId="6E8B915C">
            <w:pPr>
              <w:adjustRightInd w:val="0"/>
              <w:snapToGrid w:val="0"/>
              <w:jc w:val="center"/>
              <w:rPr>
                <w:rFonts w:hint="default" w:eastAsia="宋体"/>
                <w:color w:val="auto"/>
                <w:szCs w:val="21"/>
                <w:highlight w:val="none"/>
                <w:lang w:val="en-US" w:eastAsia="zh-CN"/>
              </w:rPr>
            </w:pPr>
            <w:r>
              <w:rPr>
                <w:rFonts w:hint="eastAsia"/>
                <w:color w:val="auto"/>
                <w:szCs w:val="21"/>
                <w:highlight w:val="none"/>
                <w:shd w:val="clear"/>
                <w:lang w:val="en-US" w:eastAsia="zh-CN"/>
              </w:rPr>
              <w:t>360</w:t>
            </w:r>
          </w:p>
        </w:tc>
        <w:tc>
          <w:tcPr>
            <w:tcW w:w="1742" w:type="dxa"/>
            <w:tcMar>
              <w:top w:w="16" w:type="dxa"/>
              <w:left w:w="16" w:type="dxa"/>
              <w:right w:w="16" w:type="dxa"/>
            </w:tcMar>
            <w:vAlign w:val="center"/>
          </w:tcPr>
          <w:p w14:paraId="527C9423">
            <w:pPr>
              <w:adjustRightInd w:val="0"/>
              <w:snapToGrid w:val="0"/>
              <w:jc w:val="center"/>
              <w:rPr>
                <w:color w:val="auto"/>
                <w:szCs w:val="21"/>
                <w:highlight w:val="none"/>
              </w:rPr>
            </w:pPr>
            <w:r>
              <w:rPr>
                <w:color w:val="auto"/>
                <w:szCs w:val="21"/>
                <w:highlight w:val="none"/>
              </w:rPr>
              <w:t>环保投资（万元）</w:t>
            </w:r>
          </w:p>
        </w:tc>
        <w:tc>
          <w:tcPr>
            <w:tcW w:w="3012" w:type="dxa"/>
            <w:vAlign w:val="center"/>
          </w:tcPr>
          <w:p w14:paraId="4A7EEB4F">
            <w:pPr>
              <w:adjustRightInd w:val="0"/>
              <w:snapToGrid w:val="0"/>
              <w:jc w:val="center"/>
              <w:rPr>
                <w:rFonts w:hint="default" w:eastAsia="宋体"/>
                <w:color w:val="auto"/>
                <w:szCs w:val="21"/>
                <w:highlight w:val="none"/>
                <w:lang w:val="en-US" w:eastAsia="zh-CN"/>
              </w:rPr>
            </w:pPr>
            <w:r>
              <w:rPr>
                <w:rFonts w:hint="eastAsia"/>
                <w:color w:val="auto"/>
                <w:szCs w:val="21"/>
                <w:highlight w:val="none"/>
                <w:shd w:val="clear"/>
                <w:lang w:val="en-US" w:eastAsia="zh-CN"/>
              </w:rPr>
              <w:t>95</w:t>
            </w:r>
          </w:p>
        </w:tc>
      </w:tr>
      <w:tr w14:paraId="441AC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676F0443">
            <w:pPr>
              <w:adjustRightInd w:val="0"/>
              <w:snapToGrid w:val="0"/>
              <w:jc w:val="center"/>
              <w:rPr>
                <w:color w:val="auto"/>
                <w:szCs w:val="21"/>
                <w:highlight w:val="none"/>
              </w:rPr>
            </w:pPr>
            <w:r>
              <w:rPr>
                <w:color w:val="auto"/>
                <w:szCs w:val="21"/>
                <w:highlight w:val="none"/>
              </w:rPr>
              <w:t>环保投资占比（%）</w:t>
            </w:r>
          </w:p>
        </w:tc>
        <w:tc>
          <w:tcPr>
            <w:tcW w:w="2744" w:type="dxa"/>
            <w:vAlign w:val="center"/>
          </w:tcPr>
          <w:p w14:paraId="18696B7F">
            <w:pPr>
              <w:adjustRightInd w:val="0"/>
              <w:snapToGrid w:val="0"/>
              <w:jc w:val="center"/>
              <w:rPr>
                <w:rFonts w:hint="default"/>
                <w:color w:val="auto"/>
                <w:szCs w:val="21"/>
                <w:highlight w:val="none"/>
                <w:lang w:val="en-US" w:eastAsia="zh-CN"/>
              </w:rPr>
            </w:pPr>
            <w:r>
              <w:rPr>
                <w:rFonts w:hint="eastAsia"/>
                <w:color w:val="auto"/>
                <w:szCs w:val="21"/>
                <w:highlight w:val="none"/>
                <w:shd w:val="clear"/>
                <w:lang w:val="en-US" w:eastAsia="zh-CN"/>
              </w:rPr>
              <w:t>26.38%</w:t>
            </w:r>
          </w:p>
        </w:tc>
        <w:tc>
          <w:tcPr>
            <w:tcW w:w="1742" w:type="dxa"/>
            <w:tcMar>
              <w:top w:w="16" w:type="dxa"/>
              <w:left w:w="16" w:type="dxa"/>
              <w:right w:w="16" w:type="dxa"/>
            </w:tcMar>
            <w:vAlign w:val="center"/>
          </w:tcPr>
          <w:p w14:paraId="7B7CFC90">
            <w:pPr>
              <w:adjustRightInd w:val="0"/>
              <w:snapToGrid w:val="0"/>
              <w:jc w:val="center"/>
              <w:rPr>
                <w:color w:val="auto"/>
                <w:szCs w:val="21"/>
                <w:highlight w:val="none"/>
              </w:rPr>
            </w:pPr>
            <w:r>
              <w:rPr>
                <w:color w:val="auto"/>
                <w:szCs w:val="21"/>
                <w:highlight w:val="none"/>
              </w:rPr>
              <w:t>施工工期</w:t>
            </w:r>
          </w:p>
        </w:tc>
        <w:tc>
          <w:tcPr>
            <w:tcW w:w="3012" w:type="dxa"/>
            <w:vAlign w:val="center"/>
          </w:tcPr>
          <w:p w14:paraId="0CDAE6E2">
            <w:pPr>
              <w:adjustRightInd w:val="0"/>
              <w:snapToGrid w:val="0"/>
              <w:jc w:val="center"/>
              <w:rPr>
                <w:color w:val="auto"/>
                <w:szCs w:val="21"/>
                <w:highlight w:val="none"/>
              </w:rPr>
            </w:pPr>
            <w:r>
              <w:rPr>
                <w:rFonts w:hint="eastAsia"/>
                <w:color w:val="auto"/>
                <w:szCs w:val="21"/>
                <w:highlight w:val="none"/>
                <w:lang w:val="en-US" w:eastAsia="zh-CN"/>
              </w:rPr>
              <w:t>12</w:t>
            </w:r>
            <w:r>
              <w:rPr>
                <w:color w:val="auto"/>
                <w:szCs w:val="21"/>
                <w:highlight w:val="none"/>
              </w:rPr>
              <w:t>个月</w:t>
            </w:r>
          </w:p>
        </w:tc>
      </w:tr>
      <w:tr w14:paraId="1DAFE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05C551A1">
            <w:pPr>
              <w:adjustRightInd w:val="0"/>
              <w:snapToGrid w:val="0"/>
              <w:jc w:val="center"/>
              <w:rPr>
                <w:color w:val="auto"/>
                <w:szCs w:val="21"/>
                <w:highlight w:val="none"/>
              </w:rPr>
            </w:pPr>
            <w:r>
              <w:rPr>
                <w:color w:val="auto"/>
                <w:szCs w:val="21"/>
                <w:highlight w:val="none"/>
              </w:rPr>
              <w:t>是否开工建设</w:t>
            </w:r>
          </w:p>
        </w:tc>
        <w:tc>
          <w:tcPr>
            <w:tcW w:w="2744" w:type="dxa"/>
            <w:vAlign w:val="center"/>
          </w:tcPr>
          <w:p w14:paraId="580B5CDC">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14:paraId="268A168A">
            <w:pPr>
              <w:adjustRightInd w:val="0"/>
              <w:snapToGrid w:val="0"/>
              <w:rPr>
                <w:color w:val="auto"/>
                <w:szCs w:val="21"/>
                <w:highlight w:val="none"/>
              </w:rPr>
            </w:pPr>
            <w:r>
              <w:rPr>
                <w:color w:val="auto"/>
                <w:szCs w:val="21"/>
                <w:highlight w:val="none"/>
              </w:rPr>
              <w:sym w:font="Wingdings 2" w:char="00A3"/>
            </w:r>
            <w:r>
              <w:rPr>
                <w:color w:val="auto"/>
                <w:szCs w:val="21"/>
                <w:highlight w:val="none"/>
              </w:rPr>
              <w:t>是：</w:t>
            </w:r>
            <w:r>
              <w:rPr>
                <w:rFonts w:hint="eastAsia"/>
                <w:color w:val="auto"/>
                <w:szCs w:val="21"/>
                <w:highlight w:val="none"/>
                <w:u w:val="single"/>
              </w:rPr>
              <w:t xml:space="preserve">             </w:t>
            </w:r>
            <w:r>
              <w:rPr>
                <w:color w:val="auto"/>
                <w:szCs w:val="21"/>
                <w:highlight w:val="none"/>
                <w:u w:val="single"/>
              </w:rPr>
              <w:t xml:space="preserve">   </w:t>
            </w:r>
          </w:p>
        </w:tc>
        <w:tc>
          <w:tcPr>
            <w:tcW w:w="1742" w:type="dxa"/>
            <w:tcMar>
              <w:top w:w="16" w:type="dxa"/>
              <w:left w:w="16" w:type="dxa"/>
              <w:right w:w="16" w:type="dxa"/>
            </w:tcMar>
            <w:vAlign w:val="center"/>
          </w:tcPr>
          <w:p w14:paraId="1741C631">
            <w:pPr>
              <w:adjustRightInd w:val="0"/>
              <w:snapToGrid w:val="0"/>
              <w:jc w:val="center"/>
              <w:rPr>
                <w:color w:val="auto"/>
                <w:spacing w:val="-6"/>
                <w:szCs w:val="21"/>
                <w:highlight w:val="none"/>
              </w:rPr>
            </w:pPr>
            <w:r>
              <w:rPr>
                <w:color w:val="auto"/>
                <w:spacing w:val="-6"/>
                <w:szCs w:val="21"/>
                <w:highlight w:val="none"/>
              </w:rPr>
              <w:t>用地（用海）</w:t>
            </w:r>
          </w:p>
          <w:p w14:paraId="303CA7DD">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3012" w:type="dxa"/>
            <w:vAlign w:val="center"/>
          </w:tcPr>
          <w:p w14:paraId="391636F4">
            <w:pPr>
              <w:adjustRightInd w:val="0"/>
              <w:snapToGrid w:val="0"/>
              <w:jc w:val="center"/>
              <w:rPr>
                <w:rFonts w:hint="default"/>
                <w:color w:val="auto"/>
                <w:szCs w:val="21"/>
                <w:highlight w:val="none"/>
                <w:lang w:val="en-US"/>
              </w:rPr>
            </w:pPr>
            <w:r>
              <w:rPr>
                <w:rFonts w:hint="eastAsia"/>
                <w:color w:val="auto"/>
                <w:szCs w:val="21"/>
                <w:highlight w:val="none"/>
                <w:shd w:val="clear"/>
                <w:lang w:val="en-US" w:eastAsia="zh-CN"/>
              </w:rPr>
              <w:t>3456</w:t>
            </w:r>
          </w:p>
        </w:tc>
      </w:tr>
      <w:tr w14:paraId="5E345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1372" w:type="dxa"/>
            <w:vAlign w:val="center"/>
          </w:tcPr>
          <w:p w14:paraId="332F5CFE">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498" w:type="dxa"/>
            <w:gridSpan w:val="3"/>
            <w:vAlign w:val="center"/>
          </w:tcPr>
          <w:p w14:paraId="4D96B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对照《建设项目环境影响报告表编制</w:t>
            </w:r>
            <w:r>
              <w:rPr>
                <w:rFonts w:hint="eastAsia" w:ascii="Times New Roman" w:hAnsi="Times New Roman" w:eastAsia="宋体" w:cs="Times New Roman"/>
                <w:color w:val="auto"/>
                <w:sz w:val="24"/>
                <w:szCs w:val="24"/>
                <w:highlight w:val="none"/>
                <w:lang w:val="en-US" w:eastAsia="zh-CN"/>
              </w:rPr>
              <w:t>技术</w:t>
            </w:r>
            <w:r>
              <w:rPr>
                <w:rFonts w:hint="default" w:ascii="Times New Roman" w:hAnsi="Times New Roman" w:eastAsia="宋体" w:cs="Times New Roman"/>
                <w:color w:val="auto"/>
                <w:sz w:val="24"/>
                <w:szCs w:val="24"/>
                <w:highlight w:val="none"/>
              </w:rPr>
              <w:t>指南——污染影响类》专题评价设置原则表，本项目专题评价设置情况判定如下：</w:t>
            </w:r>
          </w:p>
          <w:p w14:paraId="4AB72D5D">
            <w:pPr>
              <w:pStyle w:val="44"/>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专项评价设置原则表</w:t>
            </w:r>
          </w:p>
          <w:tbl>
            <w:tblPr>
              <w:tblStyle w:val="34"/>
              <w:tblW w:w="72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093"/>
              <w:gridCol w:w="4083"/>
              <w:gridCol w:w="553"/>
            </w:tblGrid>
            <w:tr w14:paraId="426DA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0" w:hRule="atLeast"/>
                <w:tblHeader/>
                <w:jc w:val="center"/>
              </w:trPr>
              <w:tc>
                <w:tcPr>
                  <w:tcW w:w="553" w:type="dxa"/>
                  <w:tcBorders>
                    <w:tl2br w:val="nil"/>
                    <w:tr2bl w:val="nil"/>
                  </w:tcBorders>
                  <w:vAlign w:val="center"/>
                </w:tcPr>
                <w:p w14:paraId="5FCE7A0A">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专项评价类别</w:t>
                  </w:r>
                </w:p>
              </w:tc>
              <w:tc>
                <w:tcPr>
                  <w:tcW w:w="2093" w:type="dxa"/>
                  <w:tcBorders>
                    <w:tl2br w:val="nil"/>
                    <w:tr2bl w:val="nil"/>
                  </w:tcBorders>
                  <w:vAlign w:val="center"/>
                </w:tcPr>
                <w:p w14:paraId="79C303A3">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设置原则</w:t>
                  </w:r>
                </w:p>
              </w:tc>
              <w:tc>
                <w:tcPr>
                  <w:tcW w:w="4083" w:type="dxa"/>
                  <w:tcBorders>
                    <w:tl2br w:val="nil"/>
                    <w:tr2bl w:val="nil"/>
                  </w:tcBorders>
                  <w:vAlign w:val="center"/>
                </w:tcPr>
                <w:p w14:paraId="28499329">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项目情况</w:t>
                  </w:r>
                </w:p>
              </w:tc>
              <w:tc>
                <w:tcPr>
                  <w:tcW w:w="553" w:type="dxa"/>
                  <w:tcBorders>
                    <w:tl2br w:val="nil"/>
                    <w:tr2bl w:val="nil"/>
                  </w:tcBorders>
                  <w:vAlign w:val="center"/>
                </w:tcPr>
                <w:p w14:paraId="75995E0D">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是否设置专项</w:t>
                  </w:r>
                </w:p>
              </w:tc>
            </w:tr>
            <w:tr w14:paraId="22FDB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9" w:hRule="atLeast"/>
                <w:tblHeader/>
                <w:jc w:val="center"/>
              </w:trPr>
              <w:tc>
                <w:tcPr>
                  <w:tcW w:w="553" w:type="dxa"/>
                  <w:tcBorders>
                    <w:tl2br w:val="nil"/>
                    <w:tr2bl w:val="nil"/>
                  </w:tcBorders>
                  <w:vAlign w:val="center"/>
                </w:tcPr>
                <w:p w14:paraId="7F217207">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2093" w:type="dxa"/>
                  <w:tcBorders>
                    <w:tl2br w:val="nil"/>
                    <w:tr2bl w:val="nil"/>
                  </w:tcBorders>
                  <w:vAlign w:val="center"/>
                </w:tcPr>
                <w:p w14:paraId="19EBB3DD">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排放废气含有毒有害污染物、二噁英、苯并芘、氰化物、氯气</w:t>
                  </w:r>
                  <w:r>
                    <w:rPr>
                      <w:rFonts w:hint="eastAsia" w:cs="Times New Roman"/>
                      <w:color w:val="auto"/>
                      <w:sz w:val="21"/>
                      <w:szCs w:val="21"/>
                      <w:highlight w:val="none"/>
                      <w:lang w:eastAsia="zh-CN"/>
                    </w:rPr>
                    <w:t>且</w:t>
                  </w:r>
                  <w:r>
                    <w:rPr>
                      <w:rFonts w:hint="default" w:ascii="Times New Roman" w:hAnsi="Times New Roman" w:eastAsia="宋体" w:cs="Times New Roman"/>
                      <w:color w:val="auto"/>
                      <w:sz w:val="21"/>
                      <w:szCs w:val="21"/>
                      <w:highlight w:val="none"/>
                    </w:rPr>
                    <w:t>厂界外500米范围内有环境空气保护目标的项目</w:t>
                  </w:r>
                </w:p>
              </w:tc>
              <w:tc>
                <w:tcPr>
                  <w:tcW w:w="4083" w:type="dxa"/>
                  <w:tcBorders>
                    <w:tl2br w:val="nil"/>
                    <w:tr2bl w:val="nil"/>
                  </w:tcBorders>
                  <w:vAlign w:val="center"/>
                </w:tcPr>
                <w:p w14:paraId="069DB4E4">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本项目排放废气</w:t>
                  </w:r>
                  <w:r>
                    <w:rPr>
                      <w:rFonts w:hint="eastAsia"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eastAsia="zh-CN"/>
                    </w:rPr>
                    <w:t>含有毒有害污染物。根据建设单位提供的</w:t>
                  </w:r>
                  <w:r>
                    <w:rPr>
                      <w:rFonts w:hint="eastAsia" w:cs="Times New Roman"/>
                      <w:color w:val="auto"/>
                      <w:sz w:val="21"/>
                      <w:szCs w:val="21"/>
                      <w:highlight w:val="none"/>
                      <w:lang w:val="en-US" w:eastAsia="zh-CN"/>
                    </w:rPr>
                    <w:t>涂料</w:t>
                  </w:r>
                  <w:r>
                    <w:rPr>
                      <w:rFonts w:hint="default" w:ascii="Times New Roman" w:hAnsi="Times New Roman" w:eastAsia="宋体" w:cs="Times New Roman"/>
                      <w:color w:val="auto"/>
                      <w:sz w:val="21"/>
                      <w:szCs w:val="21"/>
                      <w:highlight w:val="none"/>
                      <w:lang w:val="en-US" w:eastAsia="zh-CN"/>
                    </w:rPr>
                    <w:t>MSDS可知，项目使用的涂料均不含甲醛成分，根据项目</w:t>
                  </w:r>
                  <w:r>
                    <w:rPr>
                      <w:rFonts w:hint="eastAsia" w:cs="Times New Roman"/>
                      <w:color w:val="auto"/>
                      <w:sz w:val="21"/>
                      <w:szCs w:val="21"/>
                      <w:highlight w:val="none"/>
                      <w:lang w:val="en-US" w:eastAsia="zh-CN"/>
                    </w:rPr>
                    <w:t>涂料</w:t>
                  </w:r>
                  <w:r>
                    <w:rPr>
                      <w:rFonts w:hint="default" w:ascii="Times New Roman" w:hAnsi="Times New Roman" w:eastAsia="宋体" w:cs="Times New Roman"/>
                      <w:color w:val="auto"/>
                      <w:sz w:val="21"/>
                      <w:szCs w:val="21"/>
                      <w:highlight w:val="none"/>
                      <w:lang w:val="en-US" w:eastAsia="zh-CN"/>
                    </w:rPr>
                    <w:t>VOCs含量检测报告可知，甲醛含量为未检出，因此，本评价不考虑涂料、胶粘剂的甲醛成分；本</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排放的废气主要为颗粒物、非甲烷总烃等，不涉及左列</w:t>
                  </w:r>
                  <w:r>
                    <w:rPr>
                      <w:rFonts w:hint="eastAsia" w:cs="Times New Roman"/>
                      <w:color w:val="auto"/>
                      <w:sz w:val="21"/>
                      <w:szCs w:val="21"/>
                      <w:highlight w:val="none"/>
                      <w:lang w:val="en-US" w:eastAsia="zh-CN"/>
                    </w:rPr>
                    <w:t>所述</w:t>
                  </w:r>
                  <w:r>
                    <w:rPr>
                      <w:rFonts w:hint="default" w:ascii="Times New Roman" w:hAnsi="Times New Roman" w:eastAsia="宋体" w:cs="Times New Roman"/>
                      <w:color w:val="auto"/>
                      <w:sz w:val="21"/>
                      <w:szCs w:val="21"/>
                      <w:highlight w:val="none"/>
                      <w:lang w:val="en-US" w:eastAsia="zh-CN"/>
                    </w:rPr>
                    <w:t>废气污染物。</w:t>
                  </w:r>
                </w:p>
              </w:tc>
              <w:tc>
                <w:tcPr>
                  <w:tcW w:w="553" w:type="dxa"/>
                  <w:tcBorders>
                    <w:tl2br w:val="nil"/>
                    <w:tr2bl w:val="nil"/>
                  </w:tcBorders>
                  <w:vAlign w:val="center"/>
                </w:tcPr>
                <w:p w14:paraId="792F0559">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否</w:t>
                  </w:r>
                </w:p>
              </w:tc>
            </w:tr>
            <w:tr w14:paraId="0E99E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53" w:type="dxa"/>
                  <w:tcBorders>
                    <w:tl2br w:val="nil"/>
                    <w:tr2bl w:val="nil"/>
                  </w:tcBorders>
                  <w:vAlign w:val="center"/>
                </w:tcPr>
                <w:p w14:paraId="4139F48E">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093" w:type="dxa"/>
                  <w:tcBorders>
                    <w:tl2br w:val="nil"/>
                    <w:tr2bl w:val="nil"/>
                  </w:tcBorders>
                  <w:vAlign w:val="center"/>
                </w:tcPr>
                <w:p w14:paraId="17733ADA">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4083" w:type="dxa"/>
                  <w:tcBorders>
                    <w:tl2br w:val="nil"/>
                    <w:tr2bl w:val="nil"/>
                  </w:tcBorders>
                  <w:vAlign w:val="center"/>
                </w:tcPr>
                <w:p w14:paraId="53A1AD50">
                  <w:pPr>
                    <w:pStyle w:val="136"/>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本项目不涉及新增工业废水直排</w:t>
                  </w:r>
                  <w:r>
                    <w:rPr>
                      <w:rFonts w:hint="eastAsia" w:ascii="Times New Roman" w:hAnsi="Times New Roman" w:eastAsia="宋体"/>
                      <w:bCs/>
                      <w:color w:val="auto"/>
                      <w:sz w:val="21"/>
                      <w:szCs w:val="21"/>
                      <w:highlight w:val="none"/>
                      <w:lang w:eastAsia="zh-CN"/>
                    </w:rPr>
                    <w:t>。</w:t>
                  </w:r>
                </w:p>
              </w:tc>
              <w:tc>
                <w:tcPr>
                  <w:tcW w:w="553" w:type="dxa"/>
                  <w:tcBorders>
                    <w:tl2br w:val="nil"/>
                    <w:tr2bl w:val="nil"/>
                  </w:tcBorders>
                  <w:vAlign w:val="center"/>
                </w:tcPr>
                <w:p w14:paraId="6AC45158">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456D9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53" w:type="dxa"/>
                  <w:tcBorders>
                    <w:tl2br w:val="nil"/>
                    <w:tr2bl w:val="nil"/>
                  </w:tcBorders>
                  <w:vAlign w:val="center"/>
                </w:tcPr>
                <w:p w14:paraId="4C6E5CF4">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513252C3">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w:t>
                  </w:r>
                </w:p>
              </w:tc>
              <w:tc>
                <w:tcPr>
                  <w:tcW w:w="2093" w:type="dxa"/>
                  <w:tcBorders>
                    <w:tl2br w:val="nil"/>
                    <w:tr2bl w:val="nil"/>
                  </w:tcBorders>
                  <w:vAlign w:val="center"/>
                </w:tcPr>
                <w:p w14:paraId="7AA11295">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4083" w:type="dxa"/>
                  <w:tcBorders>
                    <w:tl2br w:val="nil"/>
                    <w:tr2bl w:val="nil"/>
                  </w:tcBorders>
                  <w:vAlign w:val="center"/>
                </w:tcPr>
                <w:p w14:paraId="064D2868">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本项目有毒有害</w:t>
                  </w:r>
                  <w:r>
                    <w:rPr>
                      <w:rFonts w:hint="eastAsia" w:ascii="Times New Roman" w:hAnsi="Times New Roman" w:eastAsia="宋体" w:cs="Times New Roman"/>
                      <w:color w:val="auto"/>
                      <w:sz w:val="21"/>
                      <w:szCs w:val="21"/>
                      <w:highlight w:val="none"/>
                      <w:lang w:val="en-US" w:eastAsia="zh-CN"/>
                    </w:rPr>
                    <w:t>和易燃易爆危险物质</w:t>
                  </w:r>
                  <w:r>
                    <w:rPr>
                      <w:rFonts w:hint="eastAsia" w:cs="Times New Roman"/>
                      <w:color w:val="auto"/>
                      <w:sz w:val="21"/>
                      <w:szCs w:val="21"/>
                      <w:highlight w:val="none"/>
                      <w:lang w:val="en-US" w:eastAsia="zh-CN"/>
                    </w:rPr>
                    <w:t>存储量不超过该临界值</w:t>
                  </w:r>
                  <w:r>
                    <w:rPr>
                      <w:rFonts w:hint="eastAsia" w:ascii="Times New Roman" w:hAnsi="Times New Roman" w:eastAsia="宋体" w:cs="Times New Roman"/>
                      <w:color w:val="auto"/>
                      <w:sz w:val="21"/>
                      <w:szCs w:val="21"/>
                      <w:highlight w:val="none"/>
                      <w:lang w:val="en-US" w:eastAsia="zh-CN"/>
                    </w:rPr>
                    <w:t>。</w:t>
                  </w:r>
                </w:p>
              </w:tc>
              <w:tc>
                <w:tcPr>
                  <w:tcW w:w="553" w:type="dxa"/>
                  <w:tcBorders>
                    <w:tl2br w:val="nil"/>
                    <w:tr2bl w:val="nil"/>
                  </w:tcBorders>
                  <w:vAlign w:val="center"/>
                </w:tcPr>
                <w:p w14:paraId="43D937F0">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7C68A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53" w:type="dxa"/>
                  <w:tcBorders>
                    <w:tl2br w:val="nil"/>
                    <w:tr2bl w:val="nil"/>
                  </w:tcBorders>
                  <w:vAlign w:val="center"/>
                </w:tcPr>
                <w:p w14:paraId="1BA33B68">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2093" w:type="dxa"/>
                  <w:tcBorders>
                    <w:tl2br w:val="nil"/>
                    <w:tr2bl w:val="nil"/>
                  </w:tcBorders>
                  <w:vAlign w:val="center"/>
                </w:tcPr>
                <w:p w14:paraId="546CA404">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4083" w:type="dxa"/>
                  <w:tcBorders>
                    <w:tl2br w:val="nil"/>
                    <w:tr2bl w:val="nil"/>
                  </w:tcBorders>
                  <w:vAlign w:val="center"/>
                </w:tcPr>
                <w:p w14:paraId="30835F76">
                  <w:pPr>
                    <w:pStyle w:val="136"/>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用水</w:t>
                  </w:r>
                  <w:r>
                    <w:rPr>
                      <w:rFonts w:hint="default" w:ascii="Times New Roman" w:hAnsi="Times New Roman" w:eastAsia="宋体" w:cs="Times New Roman"/>
                      <w:b w:val="0"/>
                      <w:bCs w:val="0"/>
                      <w:iCs/>
                      <w:color w:val="auto"/>
                      <w:kern w:val="2"/>
                      <w:sz w:val="21"/>
                      <w:szCs w:val="21"/>
                      <w:highlight w:val="none"/>
                      <w:lang w:val="en-US" w:eastAsia="zh-CN" w:bidi="ar-SA"/>
                    </w:rPr>
                    <w:t>由市政给水管</w:t>
                  </w:r>
                  <w:r>
                    <w:rPr>
                      <w:rFonts w:hint="eastAsia" w:cs="Times New Roman"/>
                      <w:b w:val="0"/>
                      <w:bCs w:val="0"/>
                      <w:iCs/>
                      <w:color w:val="auto"/>
                      <w:kern w:val="2"/>
                      <w:sz w:val="21"/>
                      <w:szCs w:val="21"/>
                      <w:highlight w:val="none"/>
                      <w:lang w:val="en-US" w:eastAsia="zh-CN" w:bidi="ar-SA"/>
                    </w:rPr>
                    <w:t>网</w:t>
                  </w:r>
                  <w:r>
                    <w:rPr>
                      <w:rFonts w:hint="default" w:ascii="Times New Roman" w:hAnsi="Times New Roman" w:eastAsia="宋体" w:cs="Times New Roman"/>
                      <w:b w:val="0"/>
                      <w:bCs w:val="0"/>
                      <w:iCs/>
                      <w:color w:val="auto"/>
                      <w:kern w:val="2"/>
                      <w:sz w:val="21"/>
                      <w:szCs w:val="21"/>
                      <w:highlight w:val="none"/>
                      <w:lang w:val="en-US" w:eastAsia="zh-CN" w:bidi="ar-SA"/>
                    </w:rPr>
                    <w:t>供给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设置取水口</w:t>
                  </w:r>
                  <w:r>
                    <w:rPr>
                      <w:rFonts w:hint="eastAsia" w:ascii="Times New Roman" w:hAnsi="Times New Roman" w:eastAsia="宋体" w:cs="Times New Roman"/>
                      <w:color w:val="auto"/>
                      <w:sz w:val="21"/>
                      <w:szCs w:val="21"/>
                      <w:highlight w:val="none"/>
                      <w:lang w:eastAsia="zh-CN"/>
                    </w:rPr>
                    <w:t>。</w:t>
                  </w:r>
                </w:p>
              </w:tc>
              <w:tc>
                <w:tcPr>
                  <w:tcW w:w="553" w:type="dxa"/>
                  <w:tcBorders>
                    <w:tl2br w:val="nil"/>
                    <w:tr2bl w:val="nil"/>
                  </w:tcBorders>
                  <w:vAlign w:val="center"/>
                </w:tcPr>
                <w:p w14:paraId="7FDBD71B">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624E1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tblHeader/>
                <w:jc w:val="center"/>
              </w:trPr>
              <w:tc>
                <w:tcPr>
                  <w:tcW w:w="553" w:type="dxa"/>
                  <w:tcBorders>
                    <w:tl2br w:val="nil"/>
                    <w:tr2bl w:val="nil"/>
                  </w:tcBorders>
                  <w:vAlign w:val="center"/>
                </w:tcPr>
                <w:p w14:paraId="70063766">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2093" w:type="dxa"/>
                  <w:tcBorders>
                    <w:tl2br w:val="nil"/>
                    <w:tr2bl w:val="nil"/>
                  </w:tcBorders>
                  <w:vAlign w:val="center"/>
                </w:tcPr>
                <w:p w14:paraId="0160F9E3">
                  <w:pPr>
                    <w:pStyle w:val="136"/>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直接向海排放污染物的海洋工程建设项目</w:t>
                  </w:r>
                </w:p>
              </w:tc>
              <w:tc>
                <w:tcPr>
                  <w:tcW w:w="4083" w:type="dxa"/>
                  <w:tcBorders>
                    <w:tl2br w:val="nil"/>
                    <w:tr2bl w:val="nil"/>
                  </w:tcBorders>
                  <w:vAlign w:val="center"/>
                </w:tcPr>
                <w:p w14:paraId="1A3BF3D8">
                  <w:pPr>
                    <w:pStyle w:val="136"/>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本项目不属于海洋工程建设项目</w:t>
                  </w:r>
                  <w:r>
                    <w:rPr>
                      <w:rFonts w:hint="eastAsia" w:ascii="Times New Roman" w:hAnsi="Times New Roman" w:eastAsia="宋体" w:cs="Times New Roman"/>
                      <w:color w:val="auto"/>
                      <w:sz w:val="21"/>
                      <w:szCs w:val="21"/>
                      <w:highlight w:val="none"/>
                      <w:lang w:eastAsia="zh-CN"/>
                    </w:rPr>
                    <w:t>。</w:t>
                  </w:r>
                </w:p>
              </w:tc>
              <w:tc>
                <w:tcPr>
                  <w:tcW w:w="553" w:type="dxa"/>
                  <w:tcBorders>
                    <w:tl2br w:val="nil"/>
                    <w:tr2bl w:val="nil"/>
                  </w:tcBorders>
                  <w:vAlign w:val="center"/>
                </w:tcPr>
                <w:p w14:paraId="2EEA2117">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bl>
          <w:p w14:paraId="129EF091">
            <w:pPr>
              <w:autoSpaceDE w:val="0"/>
              <w:autoSpaceDN w:val="0"/>
              <w:adjustRightInd w:val="0"/>
              <w:snapToGrid w:val="0"/>
              <w:jc w:val="center"/>
              <w:rPr>
                <w:color w:val="auto"/>
                <w:kern w:val="0"/>
                <w:szCs w:val="21"/>
                <w:highlight w:val="none"/>
              </w:rPr>
            </w:pPr>
          </w:p>
        </w:tc>
      </w:tr>
      <w:tr w14:paraId="3AFEF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372" w:type="dxa"/>
            <w:vAlign w:val="center"/>
          </w:tcPr>
          <w:p w14:paraId="3D774C61">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498" w:type="dxa"/>
            <w:gridSpan w:val="3"/>
            <w:vAlign w:val="center"/>
          </w:tcPr>
          <w:p w14:paraId="6A746581">
            <w:pPr>
              <w:pStyle w:val="46"/>
              <w:spacing w:line="360" w:lineRule="auto"/>
              <w:ind w:firstLine="0" w:firstLineChars="0"/>
              <w:rPr>
                <w:rFonts w:hint="eastAsia"/>
                <w:color w:val="auto"/>
                <w:sz w:val="24"/>
                <w:szCs w:val="24"/>
                <w:highlight w:val="none"/>
              </w:rPr>
            </w:pPr>
            <w:r>
              <w:rPr>
                <w:rFonts w:hint="eastAsia"/>
                <w:color w:val="auto"/>
                <w:sz w:val="24"/>
                <w:szCs w:val="24"/>
                <w:highlight w:val="none"/>
              </w:rPr>
              <w:t>《福清市镜洋镇镇区及北部片区控制性详细规划》</w:t>
            </w:r>
          </w:p>
          <w:p w14:paraId="2E7FADD8">
            <w:pPr>
              <w:pStyle w:val="46"/>
              <w:spacing w:line="360" w:lineRule="auto"/>
              <w:ind w:firstLine="0" w:firstLineChars="0"/>
              <w:rPr>
                <w:rFonts w:hint="eastAsia"/>
                <w:color w:val="auto"/>
                <w:sz w:val="24"/>
                <w:szCs w:val="24"/>
                <w:highlight w:val="none"/>
              </w:rPr>
            </w:pPr>
            <w:r>
              <w:rPr>
                <w:rFonts w:hint="eastAsia"/>
                <w:color w:val="auto"/>
                <w:sz w:val="24"/>
                <w:szCs w:val="24"/>
                <w:highlight w:val="none"/>
              </w:rPr>
              <w:t>审批机关</w:t>
            </w:r>
            <w:r>
              <w:rPr>
                <w:rFonts w:hint="eastAsia"/>
                <w:color w:val="auto"/>
                <w:sz w:val="24"/>
                <w:szCs w:val="24"/>
                <w:highlight w:val="none"/>
                <w:lang w:eastAsia="zh-CN"/>
              </w:rPr>
              <w:t>：</w:t>
            </w:r>
            <w:r>
              <w:rPr>
                <w:rFonts w:hint="eastAsia"/>
                <w:color w:val="auto"/>
                <w:sz w:val="24"/>
                <w:szCs w:val="24"/>
                <w:highlight w:val="none"/>
                <w:lang w:val="en-US" w:eastAsia="zh-CN"/>
              </w:rPr>
              <w:t>福清市</w:t>
            </w:r>
            <w:r>
              <w:rPr>
                <w:rFonts w:hint="eastAsia"/>
                <w:color w:val="auto"/>
                <w:sz w:val="24"/>
                <w:szCs w:val="24"/>
                <w:highlight w:val="none"/>
              </w:rPr>
              <w:t>人民政府</w:t>
            </w:r>
          </w:p>
          <w:p w14:paraId="5D3E9E1C">
            <w:pPr>
              <w:pStyle w:val="46"/>
              <w:spacing w:line="360" w:lineRule="auto"/>
              <w:ind w:firstLine="0" w:firstLineChars="0"/>
              <w:rPr>
                <w:rFonts w:hint="eastAsia"/>
                <w:color w:val="auto"/>
                <w:sz w:val="24"/>
                <w:szCs w:val="24"/>
                <w:highlight w:val="none"/>
                <w:lang w:val="en-US" w:eastAsia="zh-CN"/>
              </w:rPr>
            </w:pPr>
            <w:r>
              <w:rPr>
                <w:rFonts w:hint="eastAsia"/>
                <w:color w:val="auto"/>
                <w:sz w:val="24"/>
                <w:szCs w:val="24"/>
                <w:highlight w:val="none"/>
                <w:lang w:val="en-US" w:eastAsia="zh-CN"/>
              </w:rPr>
              <w:t>审批文件名称及文号：融政土[2022</w:t>
            </w:r>
            <w:r>
              <w:rPr>
                <w:rFonts w:hint="eastAsia" w:ascii="微软雅黑" w:hAnsi="微软雅黑" w:eastAsia="微软雅黑" w:cs="微软雅黑"/>
                <w:color w:val="auto"/>
                <w:sz w:val="24"/>
                <w:szCs w:val="24"/>
                <w:highlight w:val="none"/>
                <w:lang w:val="en-US" w:eastAsia="zh-CN"/>
              </w:rPr>
              <w:t>］</w:t>
            </w:r>
            <w:r>
              <w:rPr>
                <w:rFonts w:hint="eastAsia"/>
                <w:color w:val="auto"/>
                <w:sz w:val="24"/>
                <w:szCs w:val="24"/>
                <w:highlight w:val="none"/>
                <w:lang w:val="en-US" w:eastAsia="zh-CN"/>
              </w:rPr>
              <w:t>311号</w:t>
            </w:r>
          </w:p>
        </w:tc>
      </w:tr>
      <w:tr w14:paraId="3DBF3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dxa"/>
            <w:vAlign w:val="center"/>
          </w:tcPr>
          <w:p w14:paraId="3B934C40">
            <w:pPr>
              <w:adjustRightInd w:val="0"/>
              <w:snapToGrid w:val="0"/>
              <w:jc w:val="center"/>
              <w:rPr>
                <w:color w:val="auto"/>
                <w:szCs w:val="21"/>
                <w:highlight w:val="none"/>
              </w:rPr>
            </w:pPr>
            <w:r>
              <w:rPr>
                <w:color w:val="auto"/>
                <w:szCs w:val="21"/>
                <w:highlight w:val="none"/>
              </w:rPr>
              <w:t>规划环境影响</w:t>
            </w:r>
          </w:p>
          <w:p w14:paraId="66245F32">
            <w:pPr>
              <w:adjustRightInd w:val="0"/>
              <w:snapToGrid w:val="0"/>
              <w:jc w:val="center"/>
              <w:rPr>
                <w:color w:val="auto"/>
                <w:kern w:val="0"/>
                <w:szCs w:val="21"/>
                <w:highlight w:val="none"/>
              </w:rPr>
            </w:pPr>
            <w:r>
              <w:rPr>
                <w:color w:val="auto"/>
                <w:szCs w:val="21"/>
                <w:highlight w:val="none"/>
              </w:rPr>
              <w:t>评价情况</w:t>
            </w:r>
          </w:p>
        </w:tc>
        <w:tc>
          <w:tcPr>
            <w:tcW w:w="7498" w:type="dxa"/>
            <w:gridSpan w:val="3"/>
            <w:vAlign w:val="center"/>
          </w:tcPr>
          <w:p w14:paraId="461A22DB">
            <w:pPr>
              <w:pStyle w:val="46"/>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无</w:t>
            </w:r>
          </w:p>
        </w:tc>
      </w:tr>
      <w:tr w14:paraId="4B9E8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dxa"/>
            <w:vAlign w:val="center"/>
          </w:tcPr>
          <w:p w14:paraId="14AFDDBB">
            <w:pPr>
              <w:autoSpaceDE w:val="0"/>
              <w:autoSpaceDN w:val="0"/>
              <w:adjustRightInd w:val="0"/>
              <w:snapToGrid w:val="0"/>
              <w:jc w:val="center"/>
              <w:rPr>
                <w:color w:val="auto"/>
                <w:szCs w:val="21"/>
                <w:highlight w:val="none"/>
              </w:rPr>
            </w:pPr>
            <w:r>
              <w:rPr>
                <w:color w:val="auto"/>
                <w:kern w:val="0"/>
                <w:szCs w:val="21"/>
                <w:highlight w:val="none"/>
              </w:rPr>
              <w:t>规划及规划环境影响评价符合性分析</w:t>
            </w:r>
          </w:p>
        </w:tc>
        <w:tc>
          <w:tcPr>
            <w:tcW w:w="7498" w:type="dxa"/>
            <w:gridSpan w:val="3"/>
            <w:vAlign w:val="center"/>
          </w:tcPr>
          <w:p w14:paraId="5DAA0EFC">
            <w:pPr>
              <w:pStyle w:val="3"/>
              <w:numPr>
                <w:ilvl w:val="1"/>
                <w:numId w:val="0"/>
              </w:numPr>
              <w:bidi w:val="0"/>
              <w:ind w:leftChars="0"/>
              <w:rPr>
                <w:color w:val="auto"/>
              </w:rPr>
            </w:pPr>
            <w:r>
              <w:rPr>
                <w:rFonts w:hint="eastAsia"/>
                <w:color w:val="auto"/>
                <w:lang w:val="en-US" w:eastAsia="zh-CN"/>
              </w:rPr>
              <w:t>1.1</w:t>
            </w:r>
            <w:r>
              <w:rPr>
                <w:rFonts w:hint="eastAsia"/>
                <w:color w:val="auto"/>
              </w:rPr>
              <w:t>与《福清市镜洋镇镇区及北部片区控制性详细规划》符合性分析</w:t>
            </w:r>
          </w:p>
          <w:p w14:paraId="07D301FB">
            <w:pPr>
              <w:pStyle w:val="46"/>
              <w:keepNext w:val="0"/>
              <w:keepLines w:val="0"/>
              <w:pageBreakBefore w:val="0"/>
              <w:widowControl w:val="0"/>
              <w:kinsoku/>
              <w:wordWrap/>
              <w:overflowPunct/>
              <w:topLinePunct w:val="0"/>
              <w:bidi w:val="0"/>
              <w:adjustRightInd/>
              <w:snapToGrid/>
              <w:ind w:firstLine="480"/>
              <w:textAlignment w:val="auto"/>
              <w:rPr>
                <w:rFonts w:hint="eastAsia"/>
                <w:color w:val="auto"/>
                <w:sz w:val="24"/>
                <w:highlight w:val="none"/>
                <w:lang w:val="en-US" w:eastAsia="zh-CN"/>
              </w:rPr>
            </w:pPr>
            <w:r>
              <w:rPr>
                <w:rFonts w:hint="eastAsia"/>
                <w:color w:val="auto"/>
                <w:sz w:val="24"/>
                <w:highlight w:val="none"/>
                <w:lang w:val="en-US" w:eastAsia="zh-CN"/>
              </w:rPr>
              <w:t>（1）规划范围</w:t>
            </w:r>
          </w:p>
          <w:p w14:paraId="2428B266">
            <w:pPr>
              <w:pStyle w:val="46"/>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规划区位于镜洋镇东部，整体形态呈长条状，G104国道从镇区中部穿过。北至丹坑底水库南侧，东至沈海高速，南至县道X174，西至齐云山东侧，规划总面积462.04公顷。</w:t>
            </w:r>
          </w:p>
          <w:p w14:paraId="3160D496">
            <w:pPr>
              <w:pStyle w:val="46"/>
              <w:keepNext w:val="0"/>
              <w:keepLines w:val="0"/>
              <w:pageBreakBefore w:val="0"/>
              <w:widowControl w:val="0"/>
              <w:kinsoku/>
              <w:wordWrap/>
              <w:overflowPunct/>
              <w:topLinePunct w:val="0"/>
              <w:bidi w:val="0"/>
              <w:adjustRightInd/>
              <w:snapToGrid/>
              <w:ind w:firstLine="480"/>
              <w:textAlignment w:val="auto"/>
              <w:rPr>
                <w:rFonts w:hint="eastAsia"/>
                <w:color w:val="auto"/>
                <w:sz w:val="24"/>
                <w:highlight w:val="none"/>
                <w:lang w:val="en-US" w:eastAsia="zh-CN"/>
              </w:rPr>
            </w:pPr>
            <w:r>
              <w:rPr>
                <w:rFonts w:hint="eastAsia"/>
                <w:color w:val="auto"/>
                <w:sz w:val="24"/>
                <w:highlight w:val="none"/>
                <w:lang w:val="en-US" w:eastAsia="zh-CN"/>
              </w:rPr>
              <w:t>（2）功能定位</w:t>
            </w:r>
          </w:p>
          <w:p w14:paraId="361334C4">
            <w:pPr>
              <w:pStyle w:val="46"/>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承接《福清市国土空间总体规划</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2020-2035年</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》，结合《福清市国民经济和社会发展第十四个五年规划和</w:t>
            </w:r>
            <w:r>
              <w:rPr>
                <w:rFonts w:hint="eastAsia"/>
                <w:color w:val="auto"/>
                <w:sz w:val="24"/>
                <w:highlight w:val="none"/>
                <w:lang w:val="en-US" w:eastAsia="zh-CN"/>
              </w:rPr>
              <w:t>二〇三五年远景目标</w:t>
            </w:r>
            <w:r>
              <w:rPr>
                <w:rFonts w:hint="eastAsia" w:ascii="Times New Roman" w:hAnsi="Times New Roman" w:eastAsia="宋体"/>
                <w:color w:val="auto"/>
                <w:sz w:val="24"/>
                <w:highlight w:val="none"/>
                <w:lang w:val="en-US" w:eastAsia="zh-CN"/>
              </w:rPr>
              <w:t>的建议》，全面落实高质量发展超越，将规划区打造为</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福清市北门户、镜洋镇行政与公共服务中心、融侨经济技术开发区产业腹地</w:t>
            </w:r>
            <w:r>
              <w:rPr>
                <w:rFonts w:hint="eastAsia"/>
                <w:color w:val="auto"/>
                <w:sz w:val="24"/>
                <w:highlight w:val="none"/>
                <w:lang w:val="en-US" w:eastAsia="zh-CN"/>
              </w:rPr>
              <w:t>。</w:t>
            </w:r>
          </w:p>
          <w:p w14:paraId="401B5F61">
            <w:pPr>
              <w:pStyle w:val="46"/>
              <w:ind w:firstLine="480"/>
              <w:rPr>
                <w:rFonts w:hint="eastAsia"/>
                <w:color w:val="auto"/>
                <w:sz w:val="24"/>
                <w:highlight w:val="none"/>
                <w:lang w:val="en-US" w:eastAsia="zh-CN"/>
              </w:rPr>
            </w:pPr>
            <w:r>
              <w:rPr>
                <w:rFonts w:hint="eastAsia"/>
                <w:color w:val="auto"/>
                <w:sz w:val="24"/>
                <w:highlight w:val="none"/>
                <w:lang w:val="en-US" w:eastAsia="zh-CN"/>
              </w:rPr>
              <w:t>（3）用地布局</w:t>
            </w:r>
          </w:p>
          <w:p w14:paraId="3BADC052">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①北部工业区、中部工业区、南部工业区借势融侨经济开发区龙头企业的强劲动力，重点发展与电子信息、汽车部件、光学仪器及智能制造等相关配套的上下游产业，推动镜洋工业集中区产业结构优化升级，培育福清市区域发展新的经济增长极。</w:t>
            </w:r>
          </w:p>
          <w:p w14:paraId="5CBE0BE1">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②宜居生活区</w:t>
            </w:r>
          </w:p>
          <w:p w14:paraId="1DCAFFC7">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通过梳理完善路网系统、整治城镇面貌、推进民生设施补短提质，改善人居生态环境，提升镇区生活品质，构建为功能完善、配套齐全、环境优美的生活区。</w:t>
            </w:r>
          </w:p>
          <w:p w14:paraId="23260195">
            <w:pPr>
              <w:pStyle w:val="46"/>
              <w:keepNext w:val="0"/>
              <w:keepLines w:val="0"/>
              <w:pageBreakBefore w:val="0"/>
              <w:widowControl w:val="0"/>
              <w:kinsoku/>
              <w:wordWrap/>
              <w:overflowPunct/>
              <w:topLinePunct w:val="0"/>
              <w:bidi w:val="0"/>
              <w:adjustRightInd/>
              <w:snapToGrid/>
              <w:ind w:firstLine="480" w:firstLineChars="200"/>
              <w:textAlignment w:val="auto"/>
              <w:rPr>
                <w:rFonts w:hint="eastAsia"/>
                <w:color w:val="auto"/>
                <w:sz w:val="24"/>
                <w:szCs w:val="24"/>
                <w:highlight w:val="none"/>
                <w:lang w:val="en-US" w:eastAsia="zh-CN"/>
              </w:rPr>
            </w:pPr>
            <w:r>
              <w:rPr>
                <w:rFonts w:hint="default"/>
                <w:color w:val="auto"/>
                <w:sz w:val="24"/>
                <w:highlight w:val="none"/>
                <w:lang w:val="en-US" w:eastAsia="zh-CN"/>
              </w:rPr>
              <w:t>本项目位于福建省福州市福清市镜洋镇工业区（租赁福州鼎力机械有限公司内铸造车间1号），属于</w:t>
            </w:r>
            <w:r>
              <w:rPr>
                <w:rFonts w:hint="eastAsia"/>
                <w:color w:val="auto"/>
                <w:sz w:val="24"/>
                <w:highlight w:val="none"/>
                <w:lang w:val="en-US" w:eastAsia="zh-CN"/>
              </w:rPr>
              <w:t>北</w:t>
            </w:r>
            <w:r>
              <w:rPr>
                <w:rFonts w:hint="default"/>
                <w:color w:val="auto"/>
                <w:sz w:val="24"/>
                <w:highlight w:val="none"/>
                <w:lang w:val="en-US" w:eastAsia="zh-CN"/>
              </w:rPr>
              <w:t>部工业区</w:t>
            </w:r>
            <w:r>
              <w:rPr>
                <w:rFonts w:hint="eastAsia"/>
                <w:color w:val="auto"/>
                <w:sz w:val="24"/>
                <w:highlight w:val="none"/>
                <w:lang w:val="en-US" w:eastAsia="zh-CN"/>
              </w:rPr>
              <w:t>（项目在规划中的位置详见附图9）</w:t>
            </w:r>
            <w:r>
              <w:rPr>
                <w:rFonts w:hint="default"/>
                <w:color w:val="auto"/>
                <w:sz w:val="24"/>
                <w:highlight w:val="none"/>
                <w:lang w:val="en-US" w:eastAsia="zh-CN"/>
              </w:rPr>
              <w:t>，行业属于C3670汽车零部件及配件制造，用地选址为“控制性详细规划”中的工业用地，符合《福清市镜洋镇镇区及北部片区控制性详细规划》的用地布局要求。</w:t>
            </w:r>
          </w:p>
        </w:tc>
      </w:tr>
      <w:tr w14:paraId="087D6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7" w:hRule="atLeast"/>
          <w:jc w:val="center"/>
        </w:trPr>
        <w:tc>
          <w:tcPr>
            <w:tcW w:w="1372" w:type="dxa"/>
            <w:vAlign w:val="center"/>
          </w:tcPr>
          <w:p w14:paraId="0BAF9484">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498" w:type="dxa"/>
            <w:gridSpan w:val="3"/>
            <w:vAlign w:val="center"/>
          </w:tcPr>
          <w:p w14:paraId="38595907">
            <w:pPr>
              <w:pStyle w:val="3"/>
              <w:bidi w:val="0"/>
              <w:rPr>
                <w:color w:val="auto"/>
              </w:rPr>
            </w:pPr>
            <w:r>
              <w:rPr>
                <w:rFonts w:hint="eastAsia"/>
                <w:color w:val="auto"/>
              </w:rPr>
              <w:t>产业政策</w:t>
            </w:r>
            <w:r>
              <w:rPr>
                <w:color w:val="auto"/>
              </w:rPr>
              <w:t>项目符合性分析</w:t>
            </w:r>
          </w:p>
          <w:p w14:paraId="035EF5CA">
            <w:pPr>
              <w:spacing w:line="360" w:lineRule="auto"/>
              <w:ind w:firstLine="480" w:firstLineChars="200"/>
              <w:rPr>
                <w:color w:val="auto"/>
                <w:sz w:val="24"/>
                <w:highlight w:val="none"/>
              </w:rPr>
            </w:pPr>
            <w:r>
              <w:rPr>
                <w:color w:val="auto"/>
                <w:sz w:val="24"/>
                <w:highlight w:val="none"/>
              </w:rPr>
              <w:t>项目主要</w:t>
            </w:r>
            <w:r>
              <w:rPr>
                <w:color w:val="auto"/>
                <w:sz w:val="24"/>
                <w:highlight w:val="none"/>
                <w:shd w:val="clear"/>
              </w:rPr>
              <w:t>从事</w:t>
            </w:r>
            <w:r>
              <w:rPr>
                <w:rFonts w:hint="eastAsia"/>
                <w:color w:val="auto"/>
                <w:sz w:val="24"/>
                <w:highlight w:val="none"/>
                <w:shd w:val="clear"/>
                <w:lang w:eastAsia="zh-CN"/>
              </w:rPr>
              <w:t>汽车座椅骨架</w:t>
            </w:r>
            <w:r>
              <w:rPr>
                <w:color w:val="auto"/>
                <w:sz w:val="24"/>
                <w:highlight w:val="none"/>
              </w:rPr>
              <w:t>的加工生产，项目不属于《产业结构调整指导目录</w:t>
            </w:r>
            <w:r>
              <w:rPr>
                <w:rFonts w:hint="eastAsia"/>
                <w:color w:val="auto"/>
                <w:sz w:val="24"/>
                <w:highlight w:val="none"/>
                <w:lang w:eastAsia="zh-CN"/>
              </w:rPr>
              <w:t>（</w:t>
            </w:r>
            <w:r>
              <w:rPr>
                <w:color w:val="auto"/>
                <w:sz w:val="24"/>
                <w:highlight w:val="none"/>
              </w:rPr>
              <w:t>2024年本</w:t>
            </w:r>
            <w:r>
              <w:rPr>
                <w:rFonts w:hint="eastAsia"/>
                <w:color w:val="auto"/>
                <w:sz w:val="24"/>
                <w:highlight w:val="none"/>
                <w:lang w:eastAsia="zh-CN"/>
              </w:rPr>
              <w:t>）</w:t>
            </w:r>
            <w:r>
              <w:rPr>
                <w:color w:val="auto"/>
                <w:sz w:val="24"/>
                <w:highlight w:val="none"/>
              </w:rPr>
              <w:t>》中限制和淘汰类的项目，属于允许类</w:t>
            </w:r>
            <w:r>
              <w:rPr>
                <w:rFonts w:hint="eastAsia"/>
                <w:color w:val="auto"/>
                <w:sz w:val="24"/>
                <w:highlight w:val="none"/>
                <w:lang w:eastAsia="zh-CN"/>
              </w:rPr>
              <w:t>且</w:t>
            </w:r>
            <w:r>
              <w:rPr>
                <w:color w:val="auto"/>
                <w:sz w:val="24"/>
                <w:highlight w:val="none"/>
              </w:rPr>
              <w:t>该项目</w:t>
            </w:r>
            <w:r>
              <w:rPr>
                <w:color w:val="auto"/>
                <w:sz w:val="24"/>
                <w:highlight w:val="none"/>
                <w:shd w:val="clear"/>
              </w:rPr>
              <w:t>于202</w:t>
            </w:r>
            <w:r>
              <w:rPr>
                <w:rFonts w:hint="eastAsia"/>
                <w:color w:val="auto"/>
                <w:sz w:val="24"/>
                <w:highlight w:val="none"/>
                <w:shd w:val="clear"/>
                <w:lang w:val="en-US" w:eastAsia="zh-CN"/>
              </w:rPr>
              <w:t>5</w:t>
            </w:r>
            <w:r>
              <w:rPr>
                <w:color w:val="auto"/>
                <w:sz w:val="24"/>
                <w:highlight w:val="none"/>
                <w:shd w:val="clear"/>
              </w:rPr>
              <w:t>年</w:t>
            </w:r>
            <w:r>
              <w:rPr>
                <w:rFonts w:hint="eastAsia"/>
                <w:color w:val="auto"/>
                <w:sz w:val="24"/>
                <w:highlight w:val="none"/>
                <w:shd w:val="clear"/>
                <w:lang w:val="en-US" w:eastAsia="zh-CN"/>
              </w:rPr>
              <w:t>12</w:t>
            </w:r>
            <w:r>
              <w:rPr>
                <w:color w:val="auto"/>
                <w:sz w:val="24"/>
                <w:highlight w:val="none"/>
                <w:shd w:val="clear"/>
              </w:rPr>
              <w:t>月</w:t>
            </w:r>
            <w:r>
              <w:rPr>
                <w:rFonts w:hint="eastAsia"/>
                <w:color w:val="auto"/>
                <w:sz w:val="24"/>
                <w:highlight w:val="none"/>
                <w:shd w:val="clear"/>
                <w:lang w:val="en-US" w:eastAsia="zh-CN"/>
              </w:rPr>
              <w:t>31</w:t>
            </w:r>
            <w:r>
              <w:rPr>
                <w:color w:val="auto"/>
                <w:sz w:val="24"/>
                <w:highlight w:val="none"/>
                <w:shd w:val="clear"/>
              </w:rPr>
              <w:t>日通过了福清市发展和改革局的备案</w:t>
            </w:r>
            <w:r>
              <w:rPr>
                <w:rFonts w:hint="eastAsia"/>
                <w:color w:val="auto"/>
                <w:sz w:val="24"/>
                <w:highlight w:val="none"/>
                <w:shd w:val="clear"/>
                <w:lang w:eastAsia="zh-CN"/>
              </w:rPr>
              <w:t>（闽发改备[2025]A060497号</w:t>
            </w:r>
            <w:r>
              <w:rPr>
                <w:color w:val="auto"/>
                <w:sz w:val="24"/>
                <w:highlight w:val="none"/>
                <w:shd w:val="clear"/>
              </w:rPr>
              <w:t>，详见附件</w:t>
            </w:r>
            <w:r>
              <w:rPr>
                <w:rFonts w:hint="eastAsia"/>
                <w:color w:val="auto"/>
                <w:sz w:val="24"/>
                <w:highlight w:val="none"/>
                <w:shd w:val="clear"/>
                <w:lang w:val="en-US" w:eastAsia="zh-CN"/>
              </w:rPr>
              <w:t>2），</w:t>
            </w:r>
            <w:r>
              <w:rPr>
                <w:color w:val="auto"/>
                <w:sz w:val="24"/>
                <w:highlight w:val="none"/>
              </w:rPr>
              <w:t>因此项目的建设内容符合当前国家和地方的产业政策。</w:t>
            </w:r>
          </w:p>
          <w:p w14:paraId="5D9068DA">
            <w:pPr>
              <w:pStyle w:val="3"/>
              <w:bidi w:val="0"/>
              <w:rPr>
                <w:color w:val="auto"/>
              </w:rPr>
            </w:pPr>
            <w:r>
              <w:rPr>
                <w:color w:val="auto"/>
              </w:rPr>
              <w:t>与城市土地利用规划符合性分析</w:t>
            </w:r>
          </w:p>
          <w:p w14:paraId="0EA77D14">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z w:val="24"/>
                <w:szCs w:val="24"/>
              </w:rPr>
            </w:pPr>
            <w:r>
              <w:rPr>
                <w:rFonts w:ascii="Times New Roman" w:hAnsi="Times New Roman"/>
                <w:color w:val="auto"/>
                <w:sz w:val="24"/>
                <w:szCs w:val="24"/>
              </w:rPr>
              <w:t>本项目位于</w:t>
            </w:r>
            <w:r>
              <w:rPr>
                <w:rFonts w:hint="eastAsia" w:ascii="Times New Roman" w:hAnsi="Times New Roman"/>
                <w:color w:val="auto"/>
                <w:sz w:val="24"/>
                <w:szCs w:val="24"/>
                <w:lang w:eastAsia="zh-CN"/>
              </w:rPr>
              <w:t>福建省福州市福清市镜洋镇工业区（租赁福州鼎力机械有限公司内铸造车间1号）</w:t>
            </w:r>
            <w:r>
              <w:rPr>
                <w:rFonts w:ascii="Times New Roman" w:hAnsi="Times New Roman"/>
                <w:color w:val="auto"/>
                <w:sz w:val="24"/>
                <w:szCs w:val="24"/>
              </w:rPr>
              <w:t>，根据《关于规范融侨开</w:t>
            </w:r>
            <w:r>
              <w:rPr>
                <w:rFonts w:ascii="Times New Roman" w:hAnsi="Times New Roman"/>
                <w:color w:val="auto"/>
                <w:spacing w:val="5"/>
                <w:sz w:val="24"/>
                <w:szCs w:val="24"/>
              </w:rPr>
              <w:t>发区工业企业准入产业的函》</w:t>
            </w:r>
            <w:r>
              <w:rPr>
                <w:rFonts w:hint="eastAsia" w:ascii="Times New Roman" w:hAnsi="Times New Roman"/>
                <w:color w:val="auto"/>
                <w:spacing w:val="5"/>
                <w:sz w:val="24"/>
                <w:szCs w:val="24"/>
                <w:lang w:val="en-US" w:eastAsia="zh-CN"/>
              </w:rPr>
              <w:t>：</w:t>
            </w:r>
            <w:r>
              <w:rPr>
                <w:rFonts w:ascii="Times New Roman" w:hAnsi="Times New Roman"/>
                <w:color w:val="auto"/>
                <w:spacing w:val="5"/>
                <w:sz w:val="24"/>
                <w:szCs w:val="24"/>
              </w:rPr>
              <w:t>“融侨开发区含音西街道、宏</w:t>
            </w:r>
            <w:r>
              <w:rPr>
                <w:rFonts w:ascii="Times New Roman" w:hAnsi="Times New Roman"/>
                <w:color w:val="auto"/>
                <w:spacing w:val="-11"/>
                <w:sz w:val="24"/>
                <w:szCs w:val="24"/>
              </w:rPr>
              <w:t>路街道、石竹街道、阳下街道、镜洋镇</w:t>
            </w:r>
            <w:r>
              <w:rPr>
                <w:rFonts w:hint="eastAsia" w:ascii="微软雅黑" w:hAnsi="微软雅黑" w:eastAsia="微软雅黑" w:cs="微软雅黑"/>
                <w:color w:val="auto"/>
                <w:spacing w:val="-11"/>
                <w:sz w:val="24"/>
                <w:szCs w:val="24"/>
              </w:rPr>
              <w:t>…</w:t>
            </w:r>
            <w:r>
              <w:rPr>
                <w:rFonts w:ascii="Times New Roman" w:hAnsi="Times New Roman"/>
                <w:color w:val="auto"/>
                <w:spacing w:val="-11"/>
                <w:sz w:val="24"/>
                <w:szCs w:val="24"/>
              </w:rPr>
              <w:t>”</w:t>
            </w:r>
            <w:r>
              <w:rPr>
                <w:rFonts w:hint="eastAsia" w:ascii="Times New Roman" w:hAnsi="Times New Roman"/>
                <w:color w:val="auto"/>
                <w:spacing w:val="-11"/>
                <w:sz w:val="24"/>
                <w:szCs w:val="24"/>
                <w:lang w:eastAsia="zh-CN"/>
              </w:rPr>
              <w:t>，</w:t>
            </w:r>
            <w:r>
              <w:rPr>
                <w:rFonts w:ascii="Times New Roman" w:hAnsi="Times New Roman"/>
                <w:color w:val="auto"/>
                <w:spacing w:val="-11"/>
                <w:sz w:val="24"/>
                <w:szCs w:val="24"/>
              </w:rPr>
              <w:t>因此镜洋镇已</w:t>
            </w:r>
            <w:r>
              <w:rPr>
                <w:rFonts w:ascii="Times New Roman" w:hAnsi="Times New Roman"/>
                <w:color w:val="auto"/>
                <w:spacing w:val="5"/>
                <w:sz w:val="24"/>
                <w:szCs w:val="24"/>
              </w:rPr>
              <w:t>纳入福清融侨经济开发区管理</w:t>
            </w:r>
            <w:r>
              <w:rPr>
                <w:rFonts w:hint="eastAsia" w:ascii="Times New Roman" w:hAnsi="Times New Roman"/>
                <w:color w:val="auto"/>
                <w:spacing w:val="5"/>
                <w:sz w:val="24"/>
                <w:szCs w:val="24"/>
                <w:lang w:eastAsia="zh-CN"/>
              </w:rPr>
              <w:t>（</w:t>
            </w:r>
            <w:r>
              <w:rPr>
                <w:rFonts w:ascii="Times New Roman" w:hAnsi="Times New Roman"/>
                <w:color w:val="auto"/>
                <w:spacing w:val="5"/>
                <w:sz w:val="24"/>
                <w:szCs w:val="24"/>
              </w:rPr>
              <w:t>托管</w:t>
            </w:r>
            <w:r>
              <w:rPr>
                <w:rFonts w:hint="eastAsia" w:ascii="Times New Roman" w:hAnsi="Times New Roman"/>
                <w:color w:val="auto"/>
                <w:spacing w:val="5"/>
                <w:sz w:val="24"/>
                <w:szCs w:val="24"/>
                <w:lang w:eastAsia="zh-CN"/>
              </w:rPr>
              <w:t>），</w:t>
            </w:r>
            <w:r>
              <w:rPr>
                <w:rFonts w:hint="eastAsia" w:ascii="Times New Roman" w:hAnsi="Times New Roman"/>
                <w:color w:val="auto"/>
                <w:spacing w:val="5"/>
                <w:sz w:val="24"/>
                <w:szCs w:val="24"/>
                <w:lang w:val="en-US" w:eastAsia="zh-CN"/>
              </w:rPr>
              <w:t>故</w:t>
            </w:r>
            <w:r>
              <w:rPr>
                <w:rFonts w:ascii="Times New Roman" w:hAnsi="Times New Roman"/>
                <w:color w:val="auto"/>
                <w:spacing w:val="4"/>
                <w:sz w:val="24"/>
                <w:szCs w:val="24"/>
              </w:rPr>
              <w:t>本项目位于福清融</w:t>
            </w:r>
            <w:r>
              <w:rPr>
                <w:rFonts w:ascii="Times New Roman" w:hAnsi="Times New Roman"/>
                <w:color w:val="auto"/>
                <w:spacing w:val="3"/>
                <w:sz w:val="24"/>
                <w:szCs w:val="24"/>
              </w:rPr>
              <w:t>侨经济技术开发区内</w:t>
            </w:r>
            <w:r>
              <w:rPr>
                <w:rFonts w:hint="eastAsia" w:ascii="Times New Roman" w:hAnsi="Times New Roman"/>
                <w:color w:val="auto"/>
                <w:spacing w:val="3"/>
                <w:sz w:val="24"/>
                <w:szCs w:val="24"/>
                <w:lang w:eastAsia="zh-CN"/>
              </w:rPr>
              <w:t>且</w:t>
            </w:r>
            <w:r>
              <w:rPr>
                <w:rFonts w:ascii="Times New Roman" w:hAnsi="Times New Roman"/>
                <w:color w:val="auto"/>
                <w:spacing w:val="3"/>
                <w:sz w:val="24"/>
                <w:szCs w:val="24"/>
              </w:rPr>
              <w:t>租赁</w:t>
            </w:r>
            <w:r>
              <w:rPr>
                <w:rFonts w:hint="eastAsia" w:ascii="Times New Roman" w:hAnsi="Times New Roman"/>
                <w:color w:val="auto"/>
                <w:spacing w:val="3"/>
                <w:sz w:val="24"/>
                <w:szCs w:val="24"/>
                <w:lang w:eastAsia="zh-CN"/>
              </w:rPr>
              <w:t>福州鼎力机械有限公司</w:t>
            </w:r>
            <w:r>
              <w:rPr>
                <w:rFonts w:ascii="Times New Roman" w:hAnsi="Times New Roman"/>
                <w:color w:val="auto"/>
                <w:spacing w:val="8"/>
                <w:sz w:val="24"/>
                <w:szCs w:val="24"/>
                <w:shd w:val="clear"/>
              </w:rPr>
              <w:t>的</w:t>
            </w:r>
            <w:r>
              <w:rPr>
                <w:rFonts w:hint="eastAsia" w:ascii="Times New Roman" w:hAnsi="Times New Roman"/>
                <w:color w:val="auto"/>
                <w:spacing w:val="8"/>
                <w:sz w:val="24"/>
                <w:szCs w:val="24"/>
                <w:shd w:val="clear"/>
                <w:lang w:val="en-US" w:eastAsia="zh-CN"/>
              </w:rPr>
              <w:t>现有</w:t>
            </w:r>
            <w:r>
              <w:rPr>
                <w:rFonts w:ascii="Times New Roman" w:hAnsi="Times New Roman"/>
                <w:color w:val="auto"/>
                <w:spacing w:val="8"/>
                <w:sz w:val="24"/>
                <w:szCs w:val="24"/>
                <w:shd w:val="clear"/>
              </w:rPr>
              <w:t>厂房，</w:t>
            </w:r>
            <w:r>
              <w:rPr>
                <w:rFonts w:ascii="Times New Roman" w:hAnsi="Times New Roman"/>
                <w:color w:val="auto"/>
                <w:spacing w:val="8"/>
                <w:sz w:val="24"/>
                <w:szCs w:val="24"/>
              </w:rPr>
              <w:t>未新增用地，根据出租方提供的</w:t>
            </w:r>
            <w:r>
              <w:rPr>
                <w:rFonts w:ascii="Times New Roman" w:hAnsi="Times New Roman"/>
                <w:color w:val="auto"/>
                <w:spacing w:val="7"/>
                <w:sz w:val="24"/>
                <w:szCs w:val="24"/>
              </w:rPr>
              <w:t>不动产权证</w:t>
            </w:r>
            <w:r>
              <w:rPr>
                <w:rFonts w:hint="eastAsia" w:ascii="Times New Roman" w:hAnsi="Times New Roman"/>
                <w:color w:val="auto"/>
                <w:spacing w:val="7"/>
                <w:sz w:val="24"/>
                <w:szCs w:val="24"/>
                <w:lang w:eastAsia="zh-CN"/>
              </w:rPr>
              <w:t>（</w:t>
            </w:r>
            <w:r>
              <w:rPr>
                <w:rFonts w:ascii="Times New Roman" w:hAnsi="Times New Roman"/>
                <w:color w:val="auto"/>
                <w:sz w:val="24"/>
                <w:szCs w:val="24"/>
              </w:rPr>
              <w:t>详见</w:t>
            </w:r>
            <w:r>
              <w:rPr>
                <w:rFonts w:ascii="Times New Roman" w:hAnsi="Times New Roman"/>
                <w:b w:val="0"/>
                <w:bCs w:val="0"/>
                <w:color w:val="auto"/>
                <w:sz w:val="24"/>
                <w:szCs w:val="24"/>
              </w:rPr>
              <w:t>附件</w:t>
            </w:r>
            <w:r>
              <w:rPr>
                <w:rFonts w:hint="eastAsia" w:ascii="Times New Roman" w:hAnsi="Times New Roman"/>
                <w:b w:val="0"/>
                <w:bCs w:val="0"/>
                <w:color w:val="auto"/>
                <w:sz w:val="24"/>
                <w:szCs w:val="24"/>
                <w:lang w:val="en-US" w:eastAsia="zh-CN"/>
              </w:rPr>
              <w:t>4），</w:t>
            </w:r>
            <w:r>
              <w:rPr>
                <w:rFonts w:ascii="Times New Roman" w:hAnsi="Times New Roman"/>
                <w:color w:val="auto"/>
                <w:sz w:val="24"/>
                <w:szCs w:val="24"/>
              </w:rPr>
              <w:t>该厂</w:t>
            </w:r>
            <w:r>
              <w:rPr>
                <w:rFonts w:ascii="Times New Roman" w:hAnsi="Times New Roman"/>
                <w:color w:val="auto"/>
                <w:spacing w:val="3"/>
                <w:sz w:val="24"/>
                <w:szCs w:val="24"/>
              </w:rPr>
              <w:t>区用地为工业用地，厂房为工业厂房，本项</w:t>
            </w:r>
            <w:r>
              <w:rPr>
                <w:rFonts w:ascii="Times New Roman" w:hAnsi="Times New Roman"/>
                <w:color w:val="auto"/>
                <w:spacing w:val="2"/>
                <w:sz w:val="24"/>
                <w:szCs w:val="24"/>
              </w:rPr>
              <w:t>目从事</w:t>
            </w:r>
            <w:r>
              <w:rPr>
                <w:rFonts w:hint="eastAsia" w:ascii="Times New Roman" w:hAnsi="Times New Roman"/>
                <w:color w:val="auto"/>
                <w:sz w:val="24"/>
                <w:highlight w:val="none"/>
                <w:shd w:val="clear"/>
                <w:lang w:eastAsia="zh-CN"/>
              </w:rPr>
              <w:t>汽车座椅骨架</w:t>
            </w:r>
            <w:r>
              <w:rPr>
                <w:rFonts w:ascii="Times New Roman" w:hAnsi="Times New Roman"/>
                <w:color w:val="auto"/>
                <w:sz w:val="24"/>
                <w:highlight w:val="none"/>
              </w:rPr>
              <w:t>的加工生产</w:t>
            </w:r>
            <w:r>
              <w:rPr>
                <w:rFonts w:ascii="Times New Roman" w:hAnsi="Times New Roman"/>
                <w:color w:val="auto"/>
                <w:sz w:val="24"/>
                <w:szCs w:val="24"/>
              </w:rPr>
              <w:t>，属于工业企</w:t>
            </w:r>
            <w:r>
              <w:rPr>
                <w:rFonts w:ascii="Times New Roman" w:hAnsi="Times New Roman"/>
                <w:color w:val="auto"/>
                <w:spacing w:val="-1"/>
                <w:sz w:val="24"/>
                <w:szCs w:val="24"/>
              </w:rPr>
              <w:t>业，</w:t>
            </w:r>
            <w:r>
              <w:rPr>
                <w:rFonts w:ascii="Times New Roman" w:hAnsi="Times New Roman"/>
                <w:color w:val="auto"/>
                <w:sz w:val="24"/>
                <w:szCs w:val="24"/>
              </w:rPr>
              <w:t>因此，项目选址符合当地土地利用规划</w:t>
            </w:r>
            <w:r>
              <w:rPr>
                <w:color w:val="auto"/>
                <w:sz w:val="24"/>
                <w:szCs w:val="24"/>
              </w:rPr>
              <w:t>。</w:t>
            </w:r>
          </w:p>
          <w:p w14:paraId="19EB662B">
            <w:pPr>
              <w:pStyle w:val="3"/>
              <w:bidi w:val="0"/>
              <w:rPr>
                <w:rFonts w:hint="eastAsia"/>
                <w:color w:val="auto"/>
              </w:rPr>
            </w:pPr>
            <w:r>
              <w:rPr>
                <w:rFonts w:hint="eastAsia"/>
                <w:color w:val="auto"/>
                <w:lang w:val="en-US" w:eastAsia="zh-CN"/>
              </w:rPr>
              <w:t>环境功能区划符合性分析</w:t>
            </w:r>
          </w:p>
          <w:p w14:paraId="4593FDCE">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宋体"/>
                <w:snapToGrid w:val="0"/>
                <w:color w:val="auto"/>
                <w:kern w:val="18"/>
                <w:sz w:val="24"/>
                <w:szCs w:val="20"/>
                <w:u w:val="none"/>
                <w:shd w:val="clear"/>
                <w:lang w:val="en-US" w:eastAsia="zh-CN" w:bidi="ar-SA"/>
              </w:rPr>
            </w:pPr>
            <w:r>
              <w:rPr>
                <w:rFonts w:hint="eastAsia" w:ascii="Times New Roman" w:hAnsi="Times New Roman" w:eastAsia="宋体" w:cs="宋体"/>
                <w:snapToGrid w:val="0"/>
                <w:color w:val="auto"/>
                <w:kern w:val="18"/>
                <w:sz w:val="24"/>
                <w:szCs w:val="20"/>
                <w:u w:val="none"/>
                <w:lang w:val="en-US" w:eastAsia="zh-CN" w:bidi="ar-SA"/>
              </w:rPr>
              <w:t>项目运营期环境空气污染排放源强很低，对周围环境空气不会产生显著影响，符合《环境空气质量标准》</w:t>
            </w:r>
            <w:r>
              <w:rPr>
                <w:rFonts w:hint="eastAsia" w:ascii="Times New Roman" w:hAnsi="Times New Roman" w:cs="宋体"/>
                <w:snapToGrid w:val="0"/>
                <w:color w:val="auto"/>
                <w:kern w:val="18"/>
                <w:sz w:val="24"/>
                <w:szCs w:val="20"/>
                <w:u w:val="none"/>
                <w:lang w:val="en-US" w:eastAsia="zh-CN" w:bidi="ar-SA"/>
              </w:rPr>
              <w:t>（</w:t>
            </w:r>
            <w:r>
              <w:rPr>
                <w:rFonts w:hint="eastAsia" w:ascii="Times New Roman" w:hAnsi="Times New Roman" w:eastAsia="宋体" w:cs="宋体"/>
                <w:snapToGrid w:val="0"/>
                <w:color w:val="auto"/>
                <w:kern w:val="18"/>
                <w:sz w:val="24"/>
                <w:szCs w:val="20"/>
                <w:u w:val="none"/>
                <w:lang w:val="en-US" w:eastAsia="zh-CN" w:bidi="ar-SA"/>
              </w:rPr>
              <w:t>GB3095-2012</w:t>
            </w:r>
            <w:r>
              <w:rPr>
                <w:rFonts w:hint="eastAsia" w:ascii="Times New Roman" w:hAnsi="Times New Roman" w:cs="宋体"/>
                <w:snapToGrid w:val="0"/>
                <w:color w:val="auto"/>
                <w:kern w:val="18"/>
                <w:sz w:val="24"/>
                <w:szCs w:val="20"/>
                <w:u w:val="none"/>
                <w:lang w:val="en-US" w:eastAsia="zh-CN" w:bidi="ar-SA"/>
              </w:rPr>
              <w:t>）</w:t>
            </w:r>
            <w:r>
              <w:rPr>
                <w:rFonts w:hint="eastAsia" w:ascii="Times New Roman" w:hAnsi="Times New Roman" w:eastAsia="宋体" w:cs="宋体"/>
                <w:snapToGrid w:val="0"/>
                <w:color w:val="auto"/>
                <w:kern w:val="18"/>
                <w:sz w:val="24"/>
                <w:szCs w:val="20"/>
                <w:u w:val="none"/>
                <w:lang w:val="en-US" w:eastAsia="zh-CN" w:bidi="ar-SA"/>
              </w:rPr>
              <w:t>及其修改单中二级标准；</w:t>
            </w:r>
            <w:r>
              <w:rPr>
                <w:rFonts w:hint="eastAsia" w:ascii="Times New Roman" w:hAnsi="Times New Roman" w:eastAsia="宋体" w:cs="宋体"/>
                <w:snapToGrid w:val="0"/>
                <w:color w:val="auto"/>
                <w:kern w:val="18"/>
                <w:sz w:val="24"/>
                <w:szCs w:val="20"/>
                <w:u w:val="none"/>
                <w:shd w:val="clear"/>
                <w:lang w:val="en-US" w:eastAsia="zh-CN" w:bidi="ar-SA"/>
              </w:rPr>
              <w:t>本项目运营期产生生活污水</w:t>
            </w:r>
            <w:r>
              <w:rPr>
                <w:rFonts w:hint="eastAsia" w:ascii="Times New Roman" w:hAnsi="Times New Roman" w:cs="宋体"/>
                <w:snapToGrid w:val="0"/>
                <w:color w:val="auto"/>
                <w:kern w:val="18"/>
                <w:sz w:val="24"/>
                <w:szCs w:val="20"/>
                <w:u w:val="none"/>
                <w:shd w:val="clear"/>
                <w:lang w:val="en-US" w:eastAsia="zh-CN" w:bidi="ar-SA"/>
              </w:rPr>
              <w:t>且</w:t>
            </w:r>
            <w:r>
              <w:rPr>
                <w:rFonts w:hint="eastAsia" w:ascii="Times New Roman" w:hAnsi="Times New Roman" w:eastAsia="宋体" w:cs="宋体"/>
                <w:snapToGrid w:val="0"/>
                <w:color w:val="auto"/>
                <w:kern w:val="18"/>
                <w:sz w:val="24"/>
                <w:szCs w:val="20"/>
                <w:u w:val="none"/>
                <w:shd w:val="clear"/>
                <w:lang w:val="en-US" w:eastAsia="zh-CN" w:bidi="ar-SA"/>
              </w:rPr>
              <w:t>生活污水依托出租方的化粪池处理后进入市政污水管网</w:t>
            </w:r>
            <w:r>
              <w:rPr>
                <w:rFonts w:hint="eastAsia" w:ascii="Times New Roman" w:hAnsi="Times New Roman" w:cs="宋体"/>
                <w:snapToGrid w:val="0"/>
                <w:color w:val="auto"/>
                <w:kern w:val="18"/>
                <w:sz w:val="24"/>
                <w:szCs w:val="20"/>
                <w:u w:val="none"/>
                <w:shd w:val="clear"/>
                <w:lang w:val="en-US" w:eastAsia="zh-CN" w:bidi="ar-SA"/>
              </w:rPr>
              <w:t>（排水接管证明见附件22）</w:t>
            </w:r>
            <w:r>
              <w:rPr>
                <w:rFonts w:hint="eastAsia" w:ascii="Times New Roman" w:hAnsi="Times New Roman" w:eastAsia="宋体" w:cs="宋体"/>
                <w:snapToGrid w:val="0"/>
                <w:color w:val="auto"/>
                <w:kern w:val="18"/>
                <w:sz w:val="24"/>
                <w:szCs w:val="20"/>
                <w:u w:val="none"/>
                <w:shd w:val="clear"/>
                <w:lang w:val="en-US" w:eastAsia="zh-CN" w:bidi="ar-SA"/>
              </w:rPr>
              <w:t>，最终排入福清市第二污水处理厂统一处理后达标排放，不直接排入周边地表水体，纳污水域龙江符合《地表水环境质量标准》</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GB3838-2002</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V类标准；项目在采取一定的噪声污染防治措施后，项目产生的噪声不会对周围环境产生显著影响，项目所在区域的环境噪声符合《声环境质量标准》</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GB3096-2008</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的</w:t>
            </w:r>
            <w:r>
              <w:rPr>
                <w:rFonts w:hint="eastAsia" w:ascii="Times New Roman" w:hAnsi="Times New Roman" w:cs="宋体"/>
                <w:snapToGrid w:val="0"/>
                <w:color w:val="auto"/>
                <w:kern w:val="18"/>
                <w:sz w:val="24"/>
                <w:szCs w:val="20"/>
                <w:u w:val="none"/>
                <w:shd w:val="clear"/>
                <w:lang w:val="en-US" w:eastAsia="zh-CN" w:bidi="ar-SA"/>
              </w:rPr>
              <w:t>3</w:t>
            </w:r>
            <w:r>
              <w:rPr>
                <w:rFonts w:hint="eastAsia" w:ascii="Times New Roman" w:hAnsi="Times New Roman" w:eastAsia="宋体" w:cs="宋体"/>
                <w:snapToGrid w:val="0"/>
                <w:color w:val="auto"/>
                <w:kern w:val="18"/>
                <w:sz w:val="24"/>
                <w:szCs w:val="20"/>
                <w:u w:val="none"/>
                <w:shd w:val="clear"/>
                <w:lang w:val="en-US" w:eastAsia="zh-CN" w:bidi="ar-SA"/>
              </w:rPr>
              <w:t>类区标准，因此，项目建设符合环境功能规划。</w:t>
            </w:r>
          </w:p>
          <w:p w14:paraId="59665BBB">
            <w:pPr>
              <w:pStyle w:val="3"/>
              <w:bidi w:val="0"/>
              <w:rPr>
                <w:rFonts w:hint="eastAsia" w:eastAsia="宋体"/>
                <w:color w:val="auto"/>
                <w:lang w:val="en-US" w:eastAsia="zh-CN"/>
              </w:rPr>
            </w:pPr>
            <w:r>
              <w:rPr>
                <w:rFonts w:hint="eastAsia" w:eastAsia="宋体"/>
                <w:color w:val="auto"/>
                <w:lang w:val="en-US" w:eastAsia="zh-CN"/>
              </w:rPr>
              <w:t>与挥发性有机物污染防治相关政策符合性分析</w:t>
            </w:r>
          </w:p>
          <w:p w14:paraId="521681B8">
            <w:pPr>
              <w:pStyle w:val="134"/>
              <w:spacing w:before="97" w:line="220" w:lineRule="auto"/>
              <w:ind w:left="601"/>
              <w:rPr>
                <w:rFonts w:hint="eastAsia" w:ascii="Times New Roman" w:hAnsi="Times New Roman" w:eastAsia="宋体" w:cs="宋体"/>
                <w:b w:val="0"/>
                <w:snapToGrid w:val="0"/>
                <w:color w:val="auto"/>
                <w:kern w:val="18"/>
                <w:sz w:val="24"/>
                <w:szCs w:val="20"/>
                <w:u w:val="none"/>
                <w:shd w:val="clear"/>
                <w:lang w:val="en-US" w:eastAsia="zh-CN" w:bidi="ar-SA"/>
              </w:rPr>
            </w:pPr>
            <w:r>
              <w:rPr>
                <w:rFonts w:hint="eastAsia" w:ascii="Times New Roman" w:hAnsi="Times New Roman" w:eastAsia="宋体" w:cs="宋体"/>
                <w:b w:val="0"/>
                <w:snapToGrid w:val="0"/>
                <w:color w:val="auto"/>
                <w:kern w:val="18"/>
                <w:sz w:val="24"/>
                <w:szCs w:val="20"/>
                <w:u w:val="none"/>
                <w:shd w:val="clear"/>
                <w:lang w:val="en-US" w:eastAsia="zh-CN" w:bidi="ar-SA"/>
              </w:rPr>
              <w:t>本项目与挥发性有机物污染防治工作的符合性分析见下表。</w:t>
            </w:r>
          </w:p>
          <w:p w14:paraId="560E0F1E">
            <w:pPr>
              <w:pStyle w:val="44"/>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与挥发性有机物工作的符合性分析</w:t>
            </w:r>
          </w:p>
          <w:tbl>
            <w:tblPr>
              <w:tblStyle w:val="86"/>
              <w:tblW w:w="72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0"/>
              <w:gridCol w:w="1851"/>
              <w:gridCol w:w="2956"/>
              <w:gridCol w:w="1625"/>
              <w:gridCol w:w="406"/>
            </w:tblGrid>
            <w:tr w14:paraId="38EFAD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8" w:hRule="atLeast"/>
                <w:jc w:val="center"/>
              </w:trPr>
              <w:tc>
                <w:tcPr>
                  <w:tcW w:w="440" w:type="dxa"/>
                  <w:tcBorders>
                    <w:tl2br w:val="nil"/>
                    <w:tr2bl w:val="nil"/>
                  </w:tcBorders>
                  <w:tcMar>
                    <w:top w:w="0" w:type="dxa"/>
                    <w:left w:w="57" w:type="dxa"/>
                    <w:bottom w:w="0" w:type="dxa"/>
                    <w:right w:w="57" w:type="dxa"/>
                  </w:tcMar>
                  <w:vAlign w:val="center"/>
                </w:tcPr>
                <w:p w14:paraId="2C3629FA">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序号</w:t>
                  </w:r>
                </w:p>
              </w:tc>
              <w:tc>
                <w:tcPr>
                  <w:tcW w:w="1851" w:type="dxa"/>
                  <w:tcBorders>
                    <w:tl2br w:val="nil"/>
                    <w:tr2bl w:val="nil"/>
                  </w:tcBorders>
                  <w:tcMar>
                    <w:top w:w="0" w:type="dxa"/>
                    <w:left w:w="57" w:type="dxa"/>
                    <w:bottom w:w="0" w:type="dxa"/>
                    <w:right w:w="57" w:type="dxa"/>
                  </w:tcMar>
                  <w:vAlign w:val="center"/>
                </w:tcPr>
                <w:p w14:paraId="1F613E2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法律、政策</w:t>
                  </w:r>
                </w:p>
              </w:tc>
              <w:tc>
                <w:tcPr>
                  <w:tcW w:w="2956" w:type="dxa"/>
                  <w:tcBorders>
                    <w:tl2br w:val="nil"/>
                    <w:tr2bl w:val="nil"/>
                  </w:tcBorders>
                  <w:tcMar>
                    <w:top w:w="0" w:type="dxa"/>
                    <w:left w:w="57" w:type="dxa"/>
                    <w:bottom w:w="0" w:type="dxa"/>
                    <w:right w:w="57" w:type="dxa"/>
                  </w:tcMar>
                  <w:vAlign w:val="center"/>
                </w:tcPr>
                <w:p w14:paraId="1A063854">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工作要求</w:t>
                  </w:r>
                </w:p>
              </w:tc>
              <w:tc>
                <w:tcPr>
                  <w:tcW w:w="1625" w:type="dxa"/>
                  <w:tcBorders>
                    <w:tl2br w:val="nil"/>
                    <w:tr2bl w:val="nil"/>
                  </w:tcBorders>
                  <w:tcMar>
                    <w:top w:w="0" w:type="dxa"/>
                    <w:left w:w="57" w:type="dxa"/>
                    <w:bottom w:w="0" w:type="dxa"/>
                    <w:right w:w="57" w:type="dxa"/>
                  </w:tcMar>
                  <w:vAlign w:val="center"/>
                </w:tcPr>
                <w:p w14:paraId="3690314F">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企业建设内容</w:t>
                  </w:r>
                </w:p>
              </w:tc>
              <w:tc>
                <w:tcPr>
                  <w:tcW w:w="406" w:type="dxa"/>
                  <w:tcBorders>
                    <w:tl2br w:val="nil"/>
                    <w:tr2bl w:val="nil"/>
                  </w:tcBorders>
                  <w:tcMar>
                    <w:top w:w="0" w:type="dxa"/>
                    <w:left w:w="57" w:type="dxa"/>
                    <w:bottom w:w="0" w:type="dxa"/>
                    <w:right w:w="57" w:type="dxa"/>
                  </w:tcMar>
                  <w:vAlign w:val="center"/>
                </w:tcPr>
                <w:p w14:paraId="689E4820">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相符性</w:t>
                  </w:r>
                </w:p>
              </w:tc>
            </w:tr>
            <w:tr w14:paraId="598A2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0" w:type="dxa"/>
                  <w:tcBorders>
                    <w:tl2br w:val="nil"/>
                    <w:tr2bl w:val="nil"/>
                  </w:tcBorders>
                  <w:tcMar>
                    <w:top w:w="0" w:type="dxa"/>
                    <w:left w:w="57" w:type="dxa"/>
                    <w:bottom w:w="0" w:type="dxa"/>
                    <w:right w:w="57" w:type="dxa"/>
                  </w:tcMar>
                  <w:vAlign w:val="center"/>
                </w:tcPr>
                <w:p w14:paraId="384A267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1</w:t>
                  </w:r>
                </w:p>
              </w:tc>
              <w:tc>
                <w:tcPr>
                  <w:tcW w:w="1851" w:type="dxa"/>
                  <w:tcBorders>
                    <w:tl2br w:val="nil"/>
                    <w:tr2bl w:val="nil"/>
                  </w:tcBorders>
                  <w:tcMar>
                    <w:top w:w="0" w:type="dxa"/>
                    <w:left w:w="57" w:type="dxa"/>
                    <w:bottom w:w="0" w:type="dxa"/>
                    <w:right w:w="57" w:type="dxa"/>
                  </w:tcMar>
                  <w:vAlign w:val="center"/>
                </w:tcPr>
                <w:p w14:paraId="7BA7B942">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大气污染防治法</w:t>
                  </w:r>
                </w:p>
              </w:tc>
              <w:tc>
                <w:tcPr>
                  <w:tcW w:w="2956" w:type="dxa"/>
                  <w:tcBorders>
                    <w:tl2br w:val="nil"/>
                    <w:tr2bl w:val="nil"/>
                  </w:tcBorders>
                  <w:tcMar>
                    <w:top w:w="0" w:type="dxa"/>
                    <w:left w:w="57" w:type="dxa"/>
                    <w:bottom w:w="0" w:type="dxa"/>
                    <w:right w:w="57" w:type="dxa"/>
                  </w:tcMar>
                  <w:vAlign w:val="center"/>
                </w:tcPr>
                <w:p w14:paraId="698F3547">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第四十五条规定：产生含</w:t>
                  </w:r>
                  <w:r>
                    <w:rPr>
                      <w:rFonts w:hint="eastAsia"/>
                      <w:color w:val="auto"/>
                      <w:kern w:val="2"/>
                      <w:sz w:val="21"/>
                      <w:highlight w:val="none"/>
                      <w:lang w:val="en-US" w:eastAsia="zh-CN"/>
                    </w:rPr>
                    <w:t>挥发性</w:t>
                  </w:r>
                  <w:r>
                    <w:rPr>
                      <w:rFonts w:hint="default" w:eastAsia="宋体"/>
                      <w:color w:val="auto"/>
                      <w:kern w:val="2"/>
                      <w:sz w:val="21"/>
                      <w:highlight w:val="none"/>
                      <w:lang w:val="en-US" w:eastAsia="zh-CN"/>
                    </w:rPr>
                    <w:t>有机废气的生产和服务活动，应当在密闭空间或者设备中进行，并按照规定安装、使用污染防治设施；无法密闭的，应当采取措施减少废气排放</w:t>
                  </w:r>
                </w:p>
              </w:tc>
              <w:tc>
                <w:tcPr>
                  <w:tcW w:w="1625" w:type="dxa"/>
                  <w:tcBorders>
                    <w:tl2br w:val="nil"/>
                    <w:tr2bl w:val="nil"/>
                  </w:tcBorders>
                  <w:tcMar>
                    <w:top w:w="0" w:type="dxa"/>
                    <w:left w:w="57" w:type="dxa"/>
                    <w:bottom w:w="0" w:type="dxa"/>
                    <w:right w:w="57" w:type="dxa"/>
                  </w:tcMar>
                  <w:vAlign w:val="center"/>
                </w:tcPr>
                <w:p w14:paraId="582BA3D2">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w:t>
                  </w:r>
                  <w:r>
                    <w:rPr>
                      <w:rFonts w:hint="eastAsia"/>
                      <w:color w:val="auto"/>
                      <w:kern w:val="2"/>
                      <w:sz w:val="21"/>
                      <w:highlight w:val="none"/>
                      <w:lang w:val="en-US" w:eastAsia="zh-CN"/>
                    </w:rPr>
                    <w:t>项目</w:t>
                  </w:r>
                  <w:r>
                    <w:rPr>
                      <w:rFonts w:hint="eastAsia" w:eastAsia="宋体"/>
                      <w:color w:val="auto"/>
                      <w:kern w:val="2"/>
                      <w:sz w:val="21"/>
                      <w:highlight w:val="none"/>
                      <w:lang w:val="en-US" w:eastAsia="zh-CN"/>
                    </w:rPr>
                    <w:t>，</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35512B47">
                  <w:pPr>
                    <w:pStyle w:val="91"/>
                    <w:spacing w:line="240" w:lineRule="auto"/>
                    <w:rPr>
                      <w:rFonts w:hint="default"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喷粉固化废气、调漆废气、喷漆废气、喷漆固化废气经喷淋塔+过滤棉+二级活性炭吸附处理后，通过1根15m高排气筒达标排放（DA004）</w:t>
                  </w:r>
                </w:p>
              </w:tc>
              <w:tc>
                <w:tcPr>
                  <w:tcW w:w="406" w:type="dxa"/>
                  <w:tcBorders>
                    <w:tl2br w:val="nil"/>
                    <w:tr2bl w:val="nil"/>
                  </w:tcBorders>
                  <w:tcMar>
                    <w:top w:w="0" w:type="dxa"/>
                    <w:left w:w="57" w:type="dxa"/>
                    <w:bottom w:w="0" w:type="dxa"/>
                    <w:right w:w="57" w:type="dxa"/>
                  </w:tcMar>
                  <w:vAlign w:val="center"/>
                </w:tcPr>
                <w:p w14:paraId="097B457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3E1A2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88" w:hRule="atLeast"/>
                <w:jc w:val="center"/>
              </w:trPr>
              <w:tc>
                <w:tcPr>
                  <w:tcW w:w="440" w:type="dxa"/>
                  <w:tcBorders>
                    <w:tl2br w:val="nil"/>
                    <w:tr2bl w:val="nil"/>
                  </w:tcBorders>
                  <w:tcMar>
                    <w:top w:w="0" w:type="dxa"/>
                    <w:left w:w="57" w:type="dxa"/>
                    <w:bottom w:w="0" w:type="dxa"/>
                    <w:right w:w="57" w:type="dxa"/>
                  </w:tcMar>
                  <w:vAlign w:val="center"/>
                </w:tcPr>
                <w:p w14:paraId="3005A383">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2</w:t>
                  </w:r>
                </w:p>
              </w:tc>
              <w:tc>
                <w:tcPr>
                  <w:tcW w:w="1851" w:type="dxa"/>
                  <w:tcBorders>
                    <w:tl2br w:val="nil"/>
                    <w:tr2bl w:val="nil"/>
                  </w:tcBorders>
                  <w:tcMar>
                    <w:top w:w="0" w:type="dxa"/>
                    <w:left w:w="57" w:type="dxa"/>
                    <w:bottom w:w="0" w:type="dxa"/>
                    <w:right w:w="57" w:type="dxa"/>
                  </w:tcMar>
                  <w:vAlign w:val="center"/>
                </w:tcPr>
                <w:p w14:paraId="12B0A134">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福建省大气污染防治条例</w:t>
                  </w:r>
                </w:p>
              </w:tc>
              <w:tc>
                <w:tcPr>
                  <w:tcW w:w="2956" w:type="dxa"/>
                  <w:tcBorders>
                    <w:tl2br w:val="nil"/>
                    <w:tr2bl w:val="nil"/>
                  </w:tcBorders>
                  <w:tcMar>
                    <w:top w:w="0" w:type="dxa"/>
                    <w:left w:w="57" w:type="dxa"/>
                    <w:bottom w:w="0" w:type="dxa"/>
                    <w:right w:w="57" w:type="dxa"/>
                  </w:tcMar>
                  <w:vAlign w:val="center"/>
                </w:tcPr>
                <w:p w14:paraId="3A47220E">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第四十二条以下产生含挥发性有机物废气的生产和服务活动，应当在密闭空间或者设备中进行，并按照规定安装、使用污染防治设施；无法密闭的，应当采取措施减少废气排放：（一）石油炼制与石油化工、煤炭加工与转化等含挥发性有机物原料的生产；（二）燃油、溶剂的储存、运输和销售；（三）涂料、油墨、胶粘剂、农药等以挥发性有机物为原料的生产；（四）涂装、印刷、</w:t>
                  </w:r>
                  <w:r>
                    <w:rPr>
                      <w:rFonts w:hint="eastAsia"/>
                      <w:color w:val="auto"/>
                      <w:kern w:val="2"/>
                      <w:sz w:val="21"/>
                      <w:highlight w:val="none"/>
                      <w:lang w:val="en-US" w:eastAsia="zh-CN"/>
                    </w:rPr>
                    <w:t>黏合</w:t>
                  </w:r>
                  <w:r>
                    <w:rPr>
                      <w:rFonts w:hint="eastAsia" w:eastAsia="宋体"/>
                      <w:color w:val="auto"/>
                      <w:kern w:val="2"/>
                      <w:sz w:val="21"/>
                      <w:highlight w:val="none"/>
                      <w:lang w:val="en-US" w:eastAsia="zh-CN"/>
                    </w:rPr>
                    <w:t>、工业清洗等含挥发性有机物的产品使用；（五）其他产生含挥发性有机物废气的生产和服务活动。禁止在人口集中地区从事露天喷漆、喷涂、喷砂、制作玻璃钢以及其他散发有毒有害气体的作业。</w:t>
                  </w:r>
                </w:p>
              </w:tc>
              <w:tc>
                <w:tcPr>
                  <w:tcW w:w="1625" w:type="dxa"/>
                  <w:tcBorders>
                    <w:tl2br w:val="nil"/>
                    <w:tr2bl w:val="nil"/>
                  </w:tcBorders>
                  <w:tcMar>
                    <w:top w:w="0" w:type="dxa"/>
                    <w:left w:w="57" w:type="dxa"/>
                    <w:bottom w:w="0" w:type="dxa"/>
                    <w:right w:w="57" w:type="dxa"/>
                  </w:tcMar>
                  <w:vAlign w:val="center"/>
                </w:tcPr>
                <w:p w14:paraId="0433948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本项目为汽车零部件及配件制造项目，</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4D8F86E2">
                  <w:pPr>
                    <w:pStyle w:val="91"/>
                    <w:spacing w:line="240" w:lineRule="auto"/>
                    <w:rPr>
                      <w:rFonts w:hint="eastAsia"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喷粉固化废气、调漆废气、喷漆废气、喷漆固化废气经喷淋塔+过滤棉+二级活性炭吸附处理后，通过1根15m高排气筒达标排放（DA004）</w:t>
                  </w:r>
                  <w:r>
                    <w:rPr>
                      <w:rFonts w:hint="eastAsia" w:cs="Times New Roman"/>
                      <w:color w:val="auto"/>
                      <w:spacing w:val="6"/>
                      <w:position w:val="1"/>
                      <w:sz w:val="21"/>
                      <w:szCs w:val="21"/>
                      <w:highlight w:val="none"/>
                      <w:lang w:eastAsia="zh-CN"/>
                    </w:rPr>
                    <w:t>。</w:t>
                  </w:r>
                </w:p>
              </w:tc>
              <w:tc>
                <w:tcPr>
                  <w:tcW w:w="406" w:type="dxa"/>
                  <w:tcBorders>
                    <w:tl2br w:val="nil"/>
                    <w:tr2bl w:val="nil"/>
                  </w:tcBorders>
                  <w:tcMar>
                    <w:top w:w="0" w:type="dxa"/>
                    <w:left w:w="57" w:type="dxa"/>
                    <w:bottom w:w="0" w:type="dxa"/>
                    <w:right w:w="57" w:type="dxa"/>
                  </w:tcMar>
                  <w:vAlign w:val="center"/>
                </w:tcPr>
                <w:p w14:paraId="6A905643">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5743B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0" w:hRule="atLeast"/>
                <w:jc w:val="center"/>
              </w:trPr>
              <w:tc>
                <w:tcPr>
                  <w:tcW w:w="440" w:type="dxa"/>
                  <w:tcBorders>
                    <w:tl2br w:val="nil"/>
                    <w:tr2bl w:val="nil"/>
                  </w:tcBorders>
                  <w:tcMar>
                    <w:top w:w="0" w:type="dxa"/>
                    <w:left w:w="57" w:type="dxa"/>
                    <w:bottom w:w="0" w:type="dxa"/>
                    <w:right w:w="57" w:type="dxa"/>
                  </w:tcMar>
                  <w:vAlign w:val="center"/>
                </w:tcPr>
                <w:p w14:paraId="364B2C68">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3</w:t>
                  </w:r>
                </w:p>
              </w:tc>
              <w:tc>
                <w:tcPr>
                  <w:tcW w:w="1851" w:type="dxa"/>
                  <w:tcBorders>
                    <w:tl2br w:val="nil"/>
                    <w:tr2bl w:val="nil"/>
                  </w:tcBorders>
                  <w:tcMar>
                    <w:top w:w="0" w:type="dxa"/>
                    <w:left w:w="57" w:type="dxa"/>
                    <w:bottom w:w="0" w:type="dxa"/>
                    <w:right w:w="57" w:type="dxa"/>
                  </w:tcMar>
                  <w:vAlign w:val="center"/>
                </w:tcPr>
                <w:p w14:paraId="4D47ECFD">
                  <w:pPr>
                    <w:pStyle w:val="91"/>
                    <w:spacing w:line="240" w:lineRule="auto"/>
                    <w:rPr>
                      <w:rFonts w:hint="eastAsia"/>
                      <w:color w:val="auto"/>
                      <w:kern w:val="2"/>
                      <w:sz w:val="21"/>
                      <w:highlight w:val="none"/>
                    </w:rPr>
                  </w:pPr>
                  <w:r>
                    <w:rPr>
                      <w:rFonts w:hint="eastAsia"/>
                      <w:color w:val="auto"/>
                      <w:kern w:val="2"/>
                      <w:sz w:val="21"/>
                      <w:highlight w:val="none"/>
                    </w:rPr>
                    <w:t>《福建省“十四五”空气质量改善规划》（2022</w:t>
                  </w:r>
                </w:p>
                <w:p w14:paraId="591AA93F">
                  <w:pPr>
                    <w:pStyle w:val="91"/>
                    <w:spacing w:line="240" w:lineRule="auto"/>
                    <w:rPr>
                      <w:rFonts w:hint="eastAsia" w:eastAsia="宋体"/>
                      <w:color w:val="auto"/>
                      <w:kern w:val="2"/>
                      <w:sz w:val="21"/>
                      <w:highlight w:val="none"/>
                      <w:lang w:val="en-US" w:eastAsia="zh-CN"/>
                    </w:rPr>
                  </w:pPr>
                  <w:r>
                    <w:rPr>
                      <w:rFonts w:hint="eastAsia"/>
                      <w:color w:val="auto"/>
                      <w:kern w:val="2"/>
                      <w:sz w:val="21"/>
                      <w:highlight w:val="none"/>
                    </w:rPr>
                    <w:t>年）</w:t>
                  </w:r>
                </w:p>
              </w:tc>
              <w:tc>
                <w:tcPr>
                  <w:tcW w:w="2956" w:type="dxa"/>
                  <w:tcBorders>
                    <w:tl2br w:val="nil"/>
                    <w:tr2bl w:val="nil"/>
                  </w:tcBorders>
                  <w:tcMar>
                    <w:top w:w="0" w:type="dxa"/>
                    <w:left w:w="57" w:type="dxa"/>
                    <w:bottom w:w="0" w:type="dxa"/>
                    <w:right w:w="57" w:type="dxa"/>
                  </w:tcMar>
                  <w:vAlign w:val="center"/>
                </w:tcPr>
                <w:p w14:paraId="4BB356A8">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对家具、汽修、机电等涂装类产业集群，重点推进低（无）VOCs含量涂料替代，鼓励建设集中喷涂中心。.....推广使用水性、高固体分、无溶剂。粉末等低VOCs含量涂料，......木质家具制造、汽车零部件、工程机械使用比例达50%以上；......严格执行涂料、油墨、胶粘剂、清洗剂VOCs含量限值标准，加大抽检力度，确保生产、销售、进口、使用符合标准的产品。严格涉 VOCs建设项目环境影响评价，VOCs排放实行区域内等量替代，福州、厦门、漳州、泉州、莆田、宁德实施VOCs倍量替代。.....按照“应收尽收、分质收集”原则，将无组织排放转变为有组织排放，进行集中处理。</w:t>
                  </w:r>
                </w:p>
              </w:tc>
              <w:tc>
                <w:tcPr>
                  <w:tcW w:w="1625" w:type="dxa"/>
                  <w:tcBorders>
                    <w:tl2br w:val="nil"/>
                    <w:tr2bl w:val="nil"/>
                  </w:tcBorders>
                  <w:tcMar>
                    <w:top w:w="0" w:type="dxa"/>
                    <w:left w:w="57" w:type="dxa"/>
                    <w:bottom w:w="0" w:type="dxa"/>
                    <w:right w:w="57" w:type="dxa"/>
                  </w:tcMar>
                  <w:vAlign w:val="center"/>
                </w:tcPr>
                <w:p w14:paraId="4061EF36">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本项目</w:t>
                  </w:r>
                  <w:r>
                    <w:rPr>
                      <w:rFonts w:hint="eastAsia"/>
                      <w:color w:val="auto"/>
                      <w:kern w:val="2"/>
                      <w:sz w:val="21"/>
                      <w:highlight w:val="none"/>
                      <w:lang w:val="en-US" w:eastAsia="zh-CN"/>
                    </w:rPr>
                    <w:t>电泳工序使用均为低VOCs涂料</w:t>
                  </w:r>
                  <w:r>
                    <w:rPr>
                      <w:rFonts w:hint="eastAsia" w:eastAsia="宋体"/>
                      <w:color w:val="auto"/>
                      <w:kern w:val="2"/>
                      <w:sz w:val="21"/>
                      <w:highlight w:val="none"/>
                      <w:lang w:val="en-US" w:eastAsia="zh-CN"/>
                    </w:rPr>
                    <w:t>；产生的VOCs经收集处理后可实现达标高空排放，VOCs排放实行区域内</w:t>
                  </w:r>
                  <w:r>
                    <w:rPr>
                      <w:rFonts w:hint="eastAsia"/>
                      <w:color w:val="auto"/>
                      <w:kern w:val="2"/>
                      <w:sz w:val="21"/>
                      <w:highlight w:val="none"/>
                      <w:lang w:val="en-US" w:eastAsia="zh-CN"/>
                    </w:rPr>
                    <w:t>倍量</w:t>
                  </w:r>
                  <w:r>
                    <w:rPr>
                      <w:rFonts w:hint="eastAsia" w:eastAsia="宋体"/>
                      <w:color w:val="auto"/>
                      <w:kern w:val="2"/>
                      <w:sz w:val="21"/>
                      <w:highlight w:val="none"/>
                      <w:lang w:val="en-US" w:eastAsia="zh-CN"/>
                    </w:rPr>
                    <w:t>替代</w:t>
                  </w:r>
                  <w:r>
                    <w:rPr>
                      <w:rFonts w:hint="eastAsia"/>
                      <w:color w:val="auto"/>
                      <w:kern w:val="2"/>
                      <w:sz w:val="21"/>
                      <w:highlight w:val="none"/>
                      <w:lang w:val="en-US" w:eastAsia="zh-CN"/>
                    </w:rPr>
                    <w:t>。</w:t>
                  </w:r>
                </w:p>
              </w:tc>
              <w:tc>
                <w:tcPr>
                  <w:tcW w:w="406" w:type="dxa"/>
                  <w:tcBorders>
                    <w:tl2br w:val="nil"/>
                    <w:tr2bl w:val="nil"/>
                  </w:tcBorders>
                  <w:tcMar>
                    <w:top w:w="0" w:type="dxa"/>
                    <w:left w:w="57" w:type="dxa"/>
                    <w:bottom w:w="0" w:type="dxa"/>
                    <w:right w:w="57" w:type="dxa"/>
                  </w:tcMar>
                  <w:vAlign w:val="center"/>
                </w:tcPr>
                <w:p w14:paraId="699B4DA9">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1F6CD4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63" w:hRule="atLeast"/>
                <w:jc w:val="center"/>
              </w:trPr>
              <w:tc>
                <w:tcPr>
                  <w:tcW w:w="440" w:type="dxa"/>
                  <w:vMerge w:val="restart"/>
                  <w:tcBorders>
                    <w:tl2br w:val="nil"/>
                    <w:tr2bl w:val="nil"/>
                  </w:tcBorders>
                  <w:tcMar>
                    <w:top w:w="0" w:type="dxa"/>
                    <w:left w:w="57" w:type="dxa"/>
                    <w:bottom w:w="0" w:type="dxa"/>
                    <w:right w:w="57" w:type="dxa"/>
                  </w:tcMar>
                  <w:vAlign w:val="center"/>
                </w:tcPr>
                <w:p w14:paraId="7FBA6086">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4</w:t>
                  </w:r>
                </w:p>
              </w:tc>
              <w:tc>
                <w:tcPr>
                  <w:tcW w:w="1851" w:type="dxa"/>
                  <w:vMerge w:val="restart"/>
                  <w:tcBorders>
                    <w:tl2br w:val="nil"/>
                    <w:tr2bl w:val="nil"/>
                  </w:tcBorders>
                  <w:tcMar>
                    <w:top w:w="0" w:type="dxa"/>
                    <w:left w:w="57" w:type="dxa"/>
                    <w:bottom w:w="0" w:type="dxa"/>
                    <w:right w:w="57" w:type="dxa"/>
                  </w:tcMar>
                  <w:vAlign w:val="center"/>
                </w:tcPr>
                <w:p w14:paraId="479E4D57">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挥发性有机物</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w:t>
                  </w:r>
                  <w:r>
                    <w:rPr>
                      <w:rFonts w:hint="eastAsia"/>
                      <w:color w:val="auto"/>
                      <w:kern w:val="2"/>
                      <w:sz w:val="21"/>
                      <w:highlight w:val="none"/>
                      <w:lang w:val="en-US" w:eastAsia="zh-CN"/>
                    </w:rPr>
                    <w:t>）</w:t>
                  </w:r>
                  <w:r>
                    <w:rPr>
                      <w:rFonts w:hint="default" w:eastAsia="宋体"/>
                      <w:color w:val="auto"/>
                      <w:kern w:val="2"/>
                      <w:sz w:val="21"/>
                      <w:highlight w:val="none"/>
                      <w:lang w:val="en-US" w:eastAsia="zh-CN"/>
                    </w:rPr>
                    <w:t>污染防治技术政策</w:t>
                  </w:r>
                  <w:r>
                    <w:rPr>
                      <w:rFonts w:hint="eastAsia"/>
                      <w:color w:val="auto"/>
                      <w:kern w:val="2"/>
                      <w:sz w:val="21"/>
                      <w:highlight w:val="none"/>
                      <w:lang w:val="en-US" w:eastAsia="zh-CN"/>
                    </w:rPr>
                    <w:t>（</w:t>
                  </w:r>
                  <w:r>
                    <w:rPr>
                      <w:rFonts w:hint="default" w:eastAsia="宋体"/>
                      <w:color w:val="auto"/>
                      <w:kern w:val="2"/>
                      <w:sz w:val="21"/>
                      <w:highlight w:val="none"/>
                      <w:lang w:val="en-US" w:eastAsia="zh-CN"/>
                    </w:rPr>
                    <w:t>公告2013年第31号</w:t>
                  </w:r>
                  <w:r>
                    <w:rPr>
                      <w:rFonts w:hint="eastAsia"/>
                      <w:color w:val="auto"/>
                      <w:kern w:val="2"/>
                      <w:sz w:val="21"/>
                      <w:highlight w:val="none"/>
                      <w:lang w:val="en-US" w:eastAsia="zh-CN"/>
                    </w:rPr>
                    <w:t>）</w:t>
                  </w:r>
                </w:p>
              </w:tc>
              <w:tc>
                <w:tcPr>
                  <w:tcW w:w="2956" w:type="dxa"/>
                  <w:tcBorders>
                    <w:tl2br w:val="nil"/>
                    <w:tr2bl w:val="nil"/>
                  </w:tcBorders>
                  <w:tcMar>
                    <w:top w:w="0" w:type="dxa"/>
                    <w:left w:w="57" w:type="dxa"/>
                    <w:bottom w:w="0" w:type="dxa"/>
                    <w:right w:w="57" w:type="dxa"/>
                  </w:tcMar>
                  <w:vAlign w:val="center"/>
                </w:tcPr>
                <w:p w14:paraId="0A25E540">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源头和过程控制含VOCs产品的使用过程中，应采取废气收集措施，提高废气收集效率，减少废气的无组织排放与逸散，并对收集后的废气进行回收或处理后达标排放。</w:t>
                  </w:r>
                </w:p>
              </w:tc>
              <w:tc>
                <w:tcPr>
                  <w:tcW w:w="1625" w:type="dxa"/>
                  <w:tcBorders>
                    <w:tl2br w:val="nil"/>
                    <w:tr2bl w:val="nil"/>
                  </w:tcBorders>
                  <w:tcMar>
                    <w:top w:w="0" w:type="dxa"/>
                    <w:left w:w="57" w:type="dxa"/>
                    <w:bottom w:w="0" w:type="dxa"/>
                    <w:right w:w="57" w:type="dxa"/>
                  </w:tcMar>
                  <w:vAlign w:val="center"/>
                </w:tcPr>
                <w:p w14:paraId="4BB06312">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本项目为汽车零部件及配件制造项目，</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67BBFC61">
                  <w:pPr>
                    <w:pStyle w:val="91"/>
                    <w:spacing w:line="240" w:lineRule="auto"/>
                    <w:jc w:val="center"/>
                    <w:rPr>
                      <w:rFonts w:hint="default"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喷粉固化废气、调漆废气、喷漆废气、喷漆固化废气经喷淋塔+过滤棉+二级活性炭吸附处理后，通过1根15m高排气筒达标排放（DA004）</w:t>
                  </w:r>
                  <w:r>
                    <w:rPr>
                      <w:rFonts w:hint="eastAsia" w:cs="Times New Roman"/>
                      <w:color w:val="auto"/>
                      <w:spacing w:val="6"/>
                      <w:position w:val="1"/>
                      <w:sz w:val="21"/>
                      <w:szCs w:val="21"/>
                      <w:highlight w:val="none"/>
                      <w:lang w:eastAsia="zh-CN"/>
                    </w:rPr>
                    <w:t>。</w:t>
                  </w:r>
                </w:p>
              </w:tc>
              <w:tc>
                <w:tcPr>
                  <w:tcW w:w="406" w:type="dxa"/>
                  <w:tcBorders>
                    <w:tl2br w:val="nil"/>
                    <w:tr2bl w:val="nil"/>
                  </w:tcBorders>
                  <w:tcMar>
                    <w:top w:w="0" w:type="dxa"/>
                    <w:left w:w="57" w:type="dxa"/>
                    <w:bottom w:w="0" w:type="dxa"/>
                    <w:right w:w="57" w:type="dxa"/>
                  </w:tcMar>
                  <w:vAlign w:val="center"/>
                </w:tcPr>
                <w:p w14:paraId="0CCB9E7E">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0E359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1" w:hRule="atLeast"/>
                <w:jc w:val="center"/>
              </w:trPr>
              <w:tc>
                <w:tcPr>
                  <w:tcW w:w="440" w:type="dxa"/>
                  <w:vMerge w:val="continue"/>
                  <w:tcBorders>
                    <w:tl2br w:val="nil"/>
                    <w:tr2bl w:val="nil"/>
                  </w:tcBorders>
                  <w:tcMar>
                    <w:top w:w="0" w:type="dxa"/>
                    <w:left w:w="57" w:type="dxa"/>
                    <w:bottom w:w="0" w:type="dxa"/>
                    <w:right w:w="57" w:type="dxa"/>
                  </w:tcMar>
                  <w:vAlign w:val="center"/>
                </w:tcPr>
                <w:p w14:paraId="54895D96">
                  <w:pPr>
                    <w:pStyle w:val="91"/>
                    <w:spacing w:line="240" w:lineRule="auto"/>
                    <w:rPr>
                      <w:rFonts w:hint="default" w:eastAsia="宋体"/>
                      <w:color w:val="auto"/>
                      <w:kern w:val="2"/>
                      <w:sz w:val="21"/>
                      <w:highlight w:val="none"/>
                      <w:lang w:val="en-US" w:eastAsia="zh-CN"/>
                    </w:rPr>
                  </w:pPr>
                </w:p>
              </w:tc>
              <w:tc>
                <w:tcPr>
                  <w:tcW w:w="1851" w:type="dxa"/>
                  <w:vMerge w:val="continue"/>
                  <w:tcBorders>
                    <w:tl2br w:val="nil"/>
                    <w:tr2bl w:val="nil"/>
                  </w:tcBorders>
                  <w:tcMar>
                    <w:top w:w="0" w:type="dxa"/>
                    <w:left w:w="57" w:type="dxa"/>
                    <w:bottom w:w="0" w:type="dxa"/>
                    <w:right w:w="57" w:type="dxa"/>
                  </w:tcMar>
                  <w:vAlign w:val="center"/>
                </w:tcPr>
                <w:p w14:paraId="36E8B290">
                  <w:pPr>
                    <w:pStyle w:val="91"/>
                    <w:spacing w:line="240" w:lineRule="auto"/>
                    <w:rPr>
                      <w:rFonts w:hint="default" w:eastAsia="宋体"/>
                      <w:color w:val="auto"/>
                      <w:kern w:val="2"/>
                      <w:sz w:val="21"/>
                      <w:highlight w:val="none"/>
                      <w:lang w:val="en-US" w:eastAsia="zh-CN"/>
                    </w:rPr>
                  </w:pPr>
                </w:p>
              </w:tc>
              <w:tc>
                <w:tcPr>
                  <w:tcW w:w="2956" w:type="dxa"/>
                  <w:tcBorders>
                    <w:tl2br w:val="nil"/>
                    <w:tr2bl w:val="nil"/>
                  </w:tcBorders>
                  <w:tcMar>
                    <w:top w:w="0" w:type="dxa"/>
                    <w:left w:w="57" w:type="dxa"/>
                    <w:bottom w:w="0" w:type="dxa"/>
                    <w:right w:w="57" w:type="dxa"/>
                  </w:tcMar>
                  <w:vAlign w:val="center"/>
                </w:tcPr>
                <w:p w14:paraId="25323967">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三、末端治理与综合利用</w:t>
                  </w:r>
                  <w:r>
                    <w:rPr>
                      <w:rFonts w:hint="eastAsia"/>
                      <w:color w:val="auto"/>
                      <w:kern w:val="2"/>
                      <w:sz w:val="21"/>
                      <w:highlight w:val="none"/>
                      <w:lang w:val="en-US" w:eastAsia="zh-CN"/>
                    </w:rPr>
                    <w:t>（</w:t>
                  </w:r>
                  <w:r>
                    <w:rPr>
                      <w:rFonts w:hint="default" w:eastAsia="宋体"/>
                      <w:color w:val="auto"/>
                      <w:kern w:val="2"/>
                      <w:sz w:val="21"/>
                      <w:highlight w:val="none"/>
                      <w:lang w:val="en-US" w:eastAsia="zh-CN"/>
                    </w:rPr>
                    <w:t>十五</w:t>
                  </w:r>
                  <w:r>
                    <w:rPr>
                      <w:rFonts w:hint="eastAsia"/>
                      <w:color w:val="auto"/>
                      <w:kern w:val="2"/>
                      <w:sz w:val="21"/>
                      <w:highlight w:val="none"/>
                      <w:lang w:val="en-US" w:eastAsia="zh-CN"/>
                    </w:rPr>
                    <w:t>）</w:t>
                  </w:r>
                  <w:r>
                    <w:rPr>
                      <w:rFonts w:hint="default" w:eastAsia="宋体"/>
                      <w:color w:val="auto"/>
                      <w:kern w:val="2"/>
                      <w:sz w:val="21"/>
                      <w:highlight w:val="none"/>
                      <w:lang w:val="en-US" w:eastAsia="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625" w:type="dxa"/>
                  <w:tcBorders>
                    <w:tl2br w:val="nil"/>
                    <w:tr2bl w:val="nil"/>
                  </w:tcBorders>
                  <w:tcMar>
                    <w:top w:w="0" w:type="dxa"/>
                    <w:left w:w="57" w:type="dxa"/>
                    <w:bottom w:w="0" w:type="dxa"/>
                    <w:right w:w="57" w:type="dxa"/>
                  </w:tcMar>
                  <w:vAlign w:val="center"/>
                </w:tcPr>
                <w:p w14:paraId="72FBFC62">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本项目有机废气浓度较低，采用</w:t>
                  </w:r>
                  <w:r>
                    <w:rPr>
                      <w:rFonts w:hint="eastAsia"/>
                      <w:color w:val="auto"/>
                      <w:kern w:val="2"/>
                      <w:sz w:val="21"/>
                      <w:highlight w:val="none"/>
                      <w:lang w:val="en-US" w:eastAsia="zh-CN"/>
                    </w:rPr>
                    <w:t>喷淋塔+过滤棉+二级活性炭吸附</w:t>
                  </w:r>
                  <w:r>
                    <w:rPr>
                      <w:rFonts w:hint="default" w:eastAsia="宋体"/>
                      <w:color w:val="auto"/>
                      <w:kern w:val="2"/>
                      <w:sz w:val="21"/>
                      <w:highlight w:val="none"/>
                      <w:lang w:val="en-US" w:eastAsia="zh-CN"/>
                    </w:rPr>
                    <w:t>装置+</w:t>
                  </w:r>
                  <w:r>
                    <w:rPr>
                      <w:rFonts w:hint="eastAsia"/>
                      <w:color w:val="auto"/>
                      <w:kern w:val="2"/>
                      <w:sz w:val="21"/>
                      <w:highlight w:val="none"/>
                      <w:lang w:val="en-US" w:eastAsia="zh-CN"/>
                    </w:rPr>
                    <w:t>15m</w:t>
                  </w:r>
                  <w:r>
                    <w:rPr>
                      <w:rFonts w:hint="default" w:eastAsia="宋体"/>
                      <w:color w:val="auto"/>
                      <w:kern w:val="2"/>
                      <w:sz w:val="21"/>
                      <w:highlight w:val="none"/>
                      <w:lang w:val="en-US" w:eastAsia="zh-CN"/>
                    </w:rPr>
                    <w:t>排气筒外排</w:t>
                  </w:r>
                  <w:r>
                    <w:rPr>
                      <w:rFonts w:hint="eastAsia" w:eastAsia="宋体"/>
                      <w:color w:val="auto"/>
                      <w:kern w:val="2"/>
                      <w:sz w:val="21"/>
                      <w:highlight w:val="none"/>
                      <w:lang w:val="en-US" w:eastAsia="zh-CN"/>
                    </w:rPr>
                    <w:t>。</w:t>
                  </w:r>
                </w:p>
              </w:tc>
              <w:tc>
                <w:tcPr>
                  <w:tcW w:w="406" w:type="dxa"/>
                  <w:tcBorders>
                    <w:tl2br w:val="nil"/>
                    <w:tr2bl w:val="nil"/>
                  </w:tcBorders>
                  <w:tcMar>
                    <w:top w:w="0" w:type="dxa"/>
                    <w:left w:w="57" w:type="dxa"/>
                    <w:bottom w:w="0" w:type="dxa"/>
                    <w:right w:w="57" w:type="dxa"/>
                  </w:tcMar>
                  <w:vAlign w:val="center"/>
                </w:tcPr>
                <w:p w14:paraId="524B764A">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31B67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440" w:type="dxa"/>
                  <w:vMerge w:val="continue"/>
                  <w:tcBorders>
                    <w:tl2br w:val="nil"/>
                    <w:tr2bl w:val="nil"/>
                  </w:tcBorders>
                  <w:tcMar>
                    <w:top w:w="0" w:type="dxa"/>
                    <w:left w:w="57" w:type="dxa"/>
                    <w:bottom w:w="0" w:type="dxa"/>
                    <w:right w:w="57" w:type="dxa"/>
                  </w:tcMar>
                  <w:vAlign w:val="center"/>
                </w:tcPr>
                <w:p w14:paraId="38CF5014">
                  <w:pPr>
                    <w:pStyle w:val="91"/>
                    <w:spacing w:line="240" w:lineRule="auto"/>
                    <w:rPr>
                      <w:rFonts w:hint="default" w:eastAsia="宋体"/>
                      <w:color w:val="auto"/>
                      <w:kern w:val="2"/>
                      <w:sz w:val="21"/>
                      <w:highlight w:val="none"/>
                      <w:lang w:val="en-US" w:eastAsia="zh-CN"/>
                    </w:rPr>
                  </w:pPr>
                </w:p>
              </w:tc>
              <w:tc>
                <w:tcPr>
                  <w:tcW w:w="1851" w:type="dxa"/>
                  <w:vMerge w:val="continue"/>
                  <w:tcBorders>
                    <w:tl2br w:val="nil"/>
                    <w:tr2bl w:val="nil"/>
                  </w:tcBorders>
                  <w:tcMar>
                    <w:top w:w="0" w:type="dxa"/>
                    <w:left w:w="57" w:type="dxa"/>
                    <w:bottom w:w="0" w:type="dxa"/>
                    <w:right w:w="57" w:type="dxa"/>
                  </w:tcMar>
                  <w:vAlign w:val="center"/>
                </w:tcPr>
                <w:p w14:paraId="7663A60B">
                  <w:pPr>
                    <w:pStyle w:val="91"/>
                    <w:spacing w:line="240" w:lineRule="auto"/>
                    <w:rPr>
                      <w:rFonts w:hint="default" w:eastAsia="宋体"/>
                      <w:color w:val="auto"/>
                      <w:kern w:val="2"/>
                      <w:sz w:val="21"/>
                      <w:highlight w:val="none"/>
                      <w:lang w:val="en-US" w:eastAsia="zh-CN"/>
                    </w:rPr>
                  </w:pPr>
                </w:p>
              </w:tc>
              <w:tc>
                <w:tcPr>
                  <w:tcW w:w="2956" w:type="dxa"/>
                  <w:tcBorders>
                    <w:tl2br w:val="nil"/>
                    <w:tr2bl w:val="nil"/>
                  </w:tcBorders>
                  <w:tcMar>
                    <w:top w:w="0" w:type="dxa"/>
                    <w:left w:w="57" w:type="dxa"/>
                    <w:bottom w:w="0" w:type="dxa"/>
                    <w:right w:w="57" w:type="dxa"/>
                  </w:tcMar>
                  <w:vAlign w:val="center"/>
                </w:tcPr>
                <w:p w14:paraId="6AC5BB70">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（二十）</w:t>
                  </w:r>
                  <w:r>
                    <w:rPr>
                      <w:rFonts w:hint="default" w:eastAsia="宋体"/>
                      <w:color w:val="auto"/>
                      <w:kern w:val="2"/>
                      <w:sz w:val="21"/>
                      <w:highlight w:val="none"/>
                      <w:lang w:val="en-US" w:eastAsia="zh-CN"/>
                    </w:rPr>
                    <w:t>对于不能再生的过滤材料、吸附剂及催化剂等净化材料，应按照国家固体废物管理的相关规定处理处置。</w:t>
                  </w:r>
                </w:p>
              </w:tc>
              <w:tc>
                <w:tcPr>
                  <w:tcW w:w="1625" w:type="dxa"/>
                  <w:tcBorders>
                    <w:tl2br w:val="nil"/>
                    <w:tr2bl w:val="nil"/>
                  </w:tcBorders>
                  <w:tcMar>
                    <w:top w:w="0" w:type="dxa"/>
                    <w:left w:w="57" w:type="dxa"/>
                    <w:bottom w:w="0" w:type="dxa"/>
                    <w:right w:w="57" w:type="dxa"/>
                  </w:tcMar>
                  <w:vAlign w:val="center"/>
                </w:tcPr>
                <w:p w14:paraId="0BDDD67C">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本项目废气处理设施中产生的废活性炭委托有资质的单位进行处置</w:t>
                  </w:r>
                  <w:r>
                    <w:rPr>
                      <w:rFonts w:hint="eastAsia" w:eastAsia="宋体"/>
                      <w:color w:val="auto"/>
                      <w:kern w:val="2"/>
                      <w:sz w:val="21"/>
                      <w:highlight w:val="none"/>
                      <w:lang w:val="en-US" w:eastAsia="zh-CN"/>
                    </w:rPr>
                    <w:t>。</w:t>
                  </w:r>
                </w:p>
              </w:tc>
              <w:tc>
                <w:tcPr>
                  <w:tcW w:w="406" w:type="dxa"/>
                  <w:tcBorders>
                    <w:tl2br w:val="nil"/>
                    <w:tr2bl w:val="nil"/>
                  </w:tcBorders>
                  <w:tcMar>
                    <w:top w:w="0" w:type="dxa"/>
                    <w:left w:w="57" w:type="dxa"/>
                    <w:bottom w:w="0" w:type="dxa"/>
                    <w:right w:w="57" w:type="dxa"/>
                  </w:tcMar>
                  <w:vAlign w:val="center"/>
                </w:tcPr>
                <w:p w14:paraId="54218FDC">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31FD25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440" w:type="dxa"/>
                  <w:tcBorders>
                    <w:tl2br w:val="nil"/>
                    <w:tr2bl w:val="nil"/>
                  </w:tcBorders>
                  <w:tcMar>
                    <w:top w:w="0" w:type="dxa"/>
                    <w:left w:w="57" w:type="dxa"/>
                    <w:bottom w:w="0" w:type="dxa"/>
                    <w:right w:w="57" w:type="dxa"/>
                  </w:tcMar>
                  <w:vAlign w:val="center"/>
                </w:tcPr>
                <w:p w14:paraId="2DBDED9D">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5</w:t>
                  </w:r>
                </w:p>
              </w:tc>
              <w:tc>
                <w:tcPr>
                  <w:tcW w:w="1851" w:type="dxa"/>
                  <w:tcBorders>
                    <w:tl2br w:val="nil"/>
                    <w:tr2bl w:val="nil"/>
                  </w:tcBorders>
                  <w:tcMar>
                    <w:top w:w="0" w:type="dxa"/>
                    <w:left w:w="57" w:type="dxa"/>
                    <w:bottom w:w="0" w:type="dxa"/>
                    <w:right w:w="57" w:type="dxa"/>
                  </w:tcMar>
                  <w:vAlign w:val="center"/>
                </w:tcPr>
                <w:p w14:paraId="18531A64">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《挥发性有机物无组织排放控制标准》（GB37822-2019）</w:t>
                  </w:r>
                </w:p>
              </w:tc>
              <w:tc>
                <w:tcPr>
                  <w:tcW w:w="2956" w:type="dxa"/>
                  <w:tcBorders>
                    <w:tl2br w:val="nil"/>
                    <w:tr2bl w:val="nil"/>
                  </w:tcBorders>
                  <w:tcMar>
                    <w:top w:w="0" w:type="dxa"/>
                    <w:left w:w="57" w:type="dxa"/>
                    <w:bottom w:w="0" w:type="dxa"/>
                    <w:right w:w="57" w:type="dxa"/>
                  </w:tcMar>
                  <w:vAlign w:val="center"/>
                </w:tcPr>
                <w:p w14:paraId="58537648">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7 工艺工程VOCs无组织排放控制要求</w:t>
                  </w:r>
                </w:p>
                <w:p w14:paraId="7F1C0212">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7.2.1 VOCs质量占比大于等于10%的含VOCs产品，其使用过程应采用密闭设备或在密闭空间内操作，废气应排至VOCs废气收集处理系统；无法密闭的，应采取局部气体收集措施，废气应排至VOCs废气收集处理系统。</w:t>
                  </w:r>
                </w:p>
                <w:p w14:paraId="6E796755">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 VOCs无组织排放废气收集处理系统要求</w:t>
                  </w:r>
                </w:p>
                <w:p w14:paraId="1F8EC74A">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10.1VOCs废气收集处理系统应与生产工艺设备同步运行。VOCs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p w14:paraId="7CDD3292">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10.2企业应考虑生产工艺、操作方式、废气性质、处理方法等因素，对VOCs废气进行分类收集。废气收集系统排风罩</w:t>
                  </w:r>
                  <w:r>
                    <w:rPr>
                      <w:rFonts w:hint="eastAsia"/>
                      <w:color w:val="auto"/>
                      <w:kern w:val="2"/>
                      <w:sz w:val="21"/>
                      <w:highlight w:val="none"/>
                      <w:lang w:val="en-US" w:eastAsia="zh-CN"/>
                    </w:rPr>
                    <w:t>（</w:t>
                  </w:r>
                  <w:r>
                    <w:rPr>
                      <w:rFonts w:hint="default" w:eastAsia="宋体"/>
                      <w:color w:val="auto"/>
                      <w:kern w:val="2"/>
                      <w:sz w:val="21"/>
                      <w:highlight w:val="none"/>
                      <w:lang w:val="en-US" w:eastAsia="zh-CN"/>
                    </w:rPr>
                    <w:t>集气罩</w:t>
                  </w:r>
                  <w:r>
                    <w:rPr>
                      <w:rFonts w:hint="eastAsia"/>
                      <w:color w:val="auto"/>
                      <w:kern w:val="2"/>
                      <w:sz w:val="21"/>
                      <w:highlight w:val="none"/>
                      <w:lang w:val="en-US" w:eastAsia="zh-CN"/>
                    </w:rPr>
                    <w:t>）</w:t>
                  </w:r>
                  <w:r>
                    <w:rPr>
                      <w:rFonts w:hint="default" w:eastAsia="宋体"/>
                      <w:color w:val="auto"/>
                      <w:kern w:val="2"/>
                      <w:sz w:val="21"/>
                      <w:highlight w:val="none"/>
                      <w:lang w:val="en-US" w:eastAsia="zh-CN"/>
                    </w:rPr>
                    <w:t>的设置应符合GB/T16758的规定。</w:t>
                  </w:r>
                </w:p>
                <w:p w14:paraId="619C4A87">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10.3收集的废气中</w:t>
                  </w:r>
                  <w:r>
                    <w:rPr>
                      <w:rFonts w:hint="eastAsia"/>
                      <w:color w:val="auto"/>
                      <w:kern w:val="2"/>
                      <w:sz w:val="21"/>
                      <w:highlight w:val="none"/>
                      <w:lang w:val="en-US" w:eastAsia="zh-CN"/>
                    </w:rPr>
                    <w:t>非甲烷总烃</w:t>
                  </w:r>
                  <w:r>
                    <w:rPr>
                      <w:rFonts w:hint="default" w:eastAsia="宋体"/>
                      <w:color w:val="auto"/>
                      <w:kern w:val="2"/>
                      <w:sz w:val="21"/>
                      <w:highlight w:val="none"/>
                      <w:lang w:val="en-US" w:eastAsia="zh-CN"/>
                    </w:rPr>
                    <w:t>初始排放速率≥3kg/h时，应配置VOCs处理设施，处理效率不应低于80%；对于重点地区，收集的废气中</w:t>
                  </w:r>
                  <w:r>
                    <w:rPr>
                      <w:rFonts w:hint="eastAsia"/>
                      <w:color w:val="auto"/>
                      <w:kern w:val="2"/>
                      <w:sz w:val="21"/>
                      <w:highlight w:val="none"/>
                      <w:lang w:val="en-US" w:eastAsia="zh-CN"/>
                    </w:rPr>
                    <w:t>非甲烷总烃</w:t>
                  </w:r>
                  <w:r>
                    <w:rPr>
                      <w:rFonts w:hint="default" w:eastAsia="宋体"/>
                      <w:color w:val="auto"/>
                      <w:kern w:val="2"/>
                      <w:sz w:val="21"/>
                      <w:highlight w:val="none"/>
                      <w:lang w:val="en-US" w:eastAsia="zh-CN"/>
                    </w:rPr>
                    <w:t>初始排放速率≥2kg/h时，应配置VOCs处理设施，处理效率不应低于80%；采用的原辅材料符合国家有关低VOCs含量产品规定的除外</w:t>
                  </w:r>
                </w:p>
              </w:tc>
              <w:tc>
                <w:tcPr>
                  <w:tcW w:w="1625" w:type="dxa"/>
                  <w:tcBorders>
                    <w:tl2br w:val="nil"/>
                    <w:tr2bl w:val="nil"/>
                  </w:tcBorders>
                  <w:tcMar>
                    <w:top w:w="0" w:type="dxa"/>
                    <w:left w:w="57" w:type="dxa"/>
                    <w:bottom w:w="0" w:type="dxa"/>
                    <w:right w:w="57" w:type="dxa"/>
                  </w:tcMar>
                  <w:vAlign w:val="center"/>
                </w:tcPr>
                <w:p w14:paraId="40F73BDC">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项目使用VOCs物料</w:t>
                  </w:r>
                  <w:r>
                    <w:rPr>
                      <w:rFonts w:hint="eastAsia"/>
                      <w:color w:val="auto"/>
                      <w:kern w:val="2"/>
                      <w:sz w:val="21"/>
                      <w:highlight w:val="none"/>
                      <w:lang w:val="en-US" w:eastAsia="zh-CN"/>
                    </w:rPr>
                    <w:t>均</w:t>
                  </w:r>
                  <w:r>
                    <w:rPr>
                      <w:rFonts w:hint="default" w:eastAsia="宋体"/>
                      <w:color w:val="auto"/>
                      <w:kern w:val="2"/>
                      <w:sz w:val="21"/>
                      <w:highlight w:val="none"/>
                      <w:lang w:val="en-US" w:eastAsia="zh-CN"/>
                    </w:rPr>
                    <w:t>储存于密封桶内并放置于化学品仓库中</w:t>
                  </w:r>
                  <w:r>
                    <w:rPr>
                      <w:rFonts w:hint="eastAsia"/>
                      <w:color w:val="auto"/>
                      <w:kern w:val="2"/>
                      <w:sz w:val="21"/>
                      <w:highlight w:val="none"/>
                      <w:lang w:val="en-US" w:eastAsia="zh-CN"/>
                    </w:rPr>
                    <w:t>且</w:t>
                  </w:r>
                  <w:r>
                    <w:rPr>
                      <w:rFonts w:hint="default" w:eastAsia="宋体"/>
                      <w:color w:val="auto"/>
                      <w:kern w:val="2"/>
                      <w:sz w:val="21"/>
                      <w:highlight w:val="none"/>
                      <w:lang w:val="en-US" w:eastAsia="zh-CN"/>
                    </w:rPr>
                    <w:t>项目产生的有机废气均通过配套的集气罩进行收集，减少了废气无组织排放与逸散，废气收集处理系统与生产工艺设备同步进行，废气经集气罩集中收集后通过活性炭吸附装置处理后</w:t>
                  </w:r>
                  <w:r>
                    <w:rPr>
                      <w:rFonts w:hint="eastAsia"/>
                      <w:color w:val="auto"/>
                      <w:kern w:val="2"/>
                      <w:sz w:val="21"/>
                      <w:highlight w:val="none"/>
                      <w:lang w:val="en-US" w:eastAsia="zh-CN"/>
                    </w:rPr>
                    <w:t>通过排气筒排放</w:t>
                  </w:r>
                  <w:r>
                    <w:rPr>
                      <w:rFonts w:hint="default" w:eastAsia="宋体"/>
                      <w:color w:val="auto"/>
                      <w:kern w:val="2"/>
                      <w:sz w:val="21"/>
                      <w:highlight w:val="none"/>
                      <w:lang w:val="en-US" w:eastAsia="zh-CN"/>
                    </w:rPr>
                    <w:t>，能够实现达标</w:t>
                  </w:r>
                </w:p>
              </w:tc>
              <w:tc>
                <w:tcPr>
                  <w:tcW w:w="406" w:type="dxa"/>
                  <w:tcBorders>
                    <w:tl2br w:val="nil"/>
                    <w:tr2bl w:val="nil"/>
                  </w:tcBorders>
                  <w:tcMar>
                    <w:top w:w="0" w:type="dxa"/>
                    <w:left w:w="57" w:type="dxa"/>
                    <w:bottom w:w="0" w:type="dxa"/>
                    <w:right w:w="57" w:type="dxa"/>
                  </w:tcMar>
                  <w:vAlign w:val="center"/>
                </w:tcPr>
                <w:p w14:paraId="27D92FC2">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28E04D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440" w:type="dxa"/>
                  <w:tcBorders>
                    <w:tl2br w:val="nil"/>
                    <w:tr2bl w:val="nil"/>
                  </w:tcBorders>
                  <w:tcMar>
                    <w:top w:w="0" w:type="dxa"/>
                    <w:left w:w="57" w:type="dxa"/>
                    <w:bottom w:w="0" w:type="dxa"/>
                    <w:right w:w="57" w:type="dxa"/>
                  </w:tcMar>
                  <w:vAlign w:val="center"/>
                </w:tcPr>
                <w:p w14:paraId="1A1F4934">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6</w:t>
                  </w:r>
                </w:p>
              </w:tc>
              <w:tc>
                <w:tcPr>
                  <w:tcW w:w="1851" w:type="dxa"/>
                  <w:tcBorders>
                    <w:tl2br w:val="nil"/>
                    <w:tr2bl w:val="nil"/>
                  </w:tcBorders>
                  <w:shd w:val="clear" w:color="auto" w:fill="auto"/>
                  <w:tcMar>
                    <w:top w:w="0" w:type="dxa"/>
                    <w:left w:w="57" w:type="dxa"/>
                    <w:bottom w:w="0" w:type="dxa"/>
                    <w:right w:w="57" w:type="dxa"/>
                  </w:tcMar>
                  <w:vAlign w:val="center"/>
                </w:tcPr>
                <w:p w14:paraId="6A11BBD8">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《福州市生态环境局关于开展福州市重点行业挥发性有机物综合治理工作</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VOCs2.0</w:t>
                  </w:r>
                  <w:r>
                    <w:rPr>
                      <w:rFonts w:hint="eastAsia"/>
                      <w:color w:val="auto"/>
                      <w:kern w:val="2"/>
                      <w:sz w:val="21"/>
                      <w:highlight w:val="none"/>
                      <w:lang w:val="en-US" w:eastAsia="zh-CN"/>
                    </w:rPr>
                    <w:t>）</w:t>
                  </w:r>
                  <w:r>
                    <w:rPr>
                      <w:rFonts w:hint="default" w:eastAsia="宋体"/>
                      <w:color w:val="auto"/>
                      <w:kern w:val="2"/>
                      <w:sz w:val="21"/>
                      <w:highlight w:val="none"/>
                      <w:lang w:val="en-US" w:eastAsia="zh-CN"/>
                    </w:rPr>
                    <w:t>的通知》</w:t>
                  </w:r>
                </w:p>
              </w:tc>
              <w:tc>
                <w:tcPr>
                  <w:tcW w:w="2956" w:type="dxa"/>
                  <w:tcBorders>
                    <w:tl2br w:val="nil"/>
                    <w:tr2bl w:val="nil"/>
                  </w:tcBorders>
                  <w:shd w:val="clear" w:color="auto" w:fill="auto"/>
                  <w:tcMar>
                    <w:top w:w="0" w:type="dxa"/>
                    <w:left w:w="57" w:type="dxa"/>
                    <w:bottom w:w="0" w:type="dxa"/>
                    <w:right w:w="57" w:type="dxa"/>
                  </w:tcMar>
                  <w:vAlign w:val="top"/>
                </w:tcPr>
                <w:p w14:paraId="7D945592">
                  <w:pPr>
                    <w:pStyle w:val="91"/>
                    <w:spacing w:line="240" w:lineRule="auto"/>
                    <w:jc w:val="left"/>
                    <w:rPr>
                      <w:rFonts w:hint="default" w:eastAsia="宋体"/>
                      <w:color w:val="auto"/>
                      <w:kern w:val="2"/>
                      <w:sz w:val="21"/>
                      <w:highlight w:val="none"/>
                      <w:lang w:val="en-US" w:eastAsia="zh-CN"/>
                    </w:rPr>
                  </w:pPr>
                  <w:r>
                    <w:rPr>
                      <w:rFonts w:hint="eastAsia"/>
                      <w:color w:val="auto"/>
                      <w:kern w:val="2"/>
                      <w:sz w:val="21"/>
                      <w:highlight w:val="none"/>
                      <w:lang w:val="en-US" w:eastAsia="zh-CN"/>
                    </w:rPr>
                    <w:t>（三）</w:t>
                  </w:r>
                  <w:r>
                    <w:rPr>
                      <w:rFonts w:hint="default" w:eastAsia="宋体"/>
                      <w:color w:val="auto"/>
                      <w:kern w:val="2"/>
                      <w:sz w:val="21"/>
                      <w:highlight w:val="none"/>
                      <w:lang w:val="en-US" w:eastAsia="zh-CN"/>
                    </w:rPr>
                    <w:t>严格审批，加强管控1.严格涉挥发性有机物建设项目环境</w:t>
                  </w:r>
                </w:p>
                <w:p w14:paraId="52BF1FDD">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影响评价审批。新、改、扩建排放挥发性有机物的建设项目实行倍量替代。鼓励使用低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挥发性有机物含量的原辅材料</w:t>
                  </w:r>
                  <w:r>
                    <w:rPr>
                      <w:rFonts w:hint="eastAsia"/>
                      <w:color w:val="auto"/>
                      <w:kern w:val="2"/>
                      <w:sz w:val="21"/>
                      <w:highlight w:val="none"/>
                      <w:lang w:val="en-US" w:eastAsia="zh-CN"/>
                    </w:rPr>
                    <w:t>。</w:t>
                  </w:r>
                </w:p>
              </w:tc>
              <w:tc>
                <w:tcPr>
                  <w:tcW w:w="1625" w:type="dxa"/>
                  <w:tcBorders>
                    <w:tl2br w:val="nil"/>
                    <w:tr2bl w:val="nil"/>
                  </w:tcBorders>
                  <w:shd w:val="clear" w:color="auto" w:fill="auto"/>
                  <w:tcMar>
                    <w:top w:w="0" w:type="dxa"/>
                    <w:left w:w="57" w:type="dxa"/>
                    <w:bottom w:w="0" w:type="dxa"/>
                    <w:right w:w="57" w:type="dxa"/>
                  </w:tcMar>
                  <w:vAlign w:val="top"/>
                </w:tcPr>
                <w:p w14:paraId="12BB751F">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1.</w:t>
                  </w:r>
                  <w:r>
                    <w:rPr>
                      <w:rFonts w:hint="default" w:eastAsia="宋体"/>
                      <w:color w:val="auto"/>
                      <w:kern w:val="2"/>
                      <w:sz w:val="21"/>
                      <w:highlight w:val="none"/>
                      <w:lang w:val="en-US" w:eastAsia="zh-CN"/>
                    </w:rPr>
                    <w:t>挥发性有机物的排放实行倍量替代</w:t>
                  </w:r>
                  <w:r>
                    <w:rPr>
                      <w:rFonts w:hint="eastAsia"/>
                      <w:color w:val="auto"/>
                      <w:kern w:val="2"/>
                      <w:sz w:val="21"/>
                      <w:highlight w:val="none"/>
                      <w:lang w:val="en-US" w:eastAsia="zh-CN"/>
                    </w:rPr>
                    <w:t>；</w:t>
                  </w:r>
                </w:p>
                <w:p w14:paraId="31CC474F">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2.</w:t>
                  </w:r>
                  <w:r>
                    <w:rPr>
                      <w:rFonts w:hint="default" w:eastAsia="宋体"/>
                      <w:color w:val="auto"/>
                      <w:kern w:val="2"/>
                      <w:sz w:val="21"/>
                      <w:highlight w:val="none"/>
                      <w:lang w:val="en-US" w:eastAsia="zh-CN"/>
                    </w:rPr>
                    <w:t>项目拟使用的原料均为低VOCs原料</w:t>
                  </w:r>
                </w:p>
              </w:tc>
              <w:tc>
                <w:tcPr>
                  <w:tcW w:w="406" w:type="dxa"/>
                  <w:tcBorders>
                    <w:tl2br w:val="nil"/>
                    <w:tr2bl w:val="nil"/>
                  </w:tcBorders>
                  <w:tcMar>
                    <w:top w:w="0" w:type="dxa"/>
                    <w:left w:w="57" w:type="dxa"/>
                    <w:bottom w:w="0" w:type="dxa"/>
                    <w:right w:w="57" w:type="dxa"/>
                  </w:tcMar>
                  <w:vAlign w:val="center"/>
                </w:tcPr>
                <w:p w14:paraId="76620EAC">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符合</w:t>
                  </w:r>
                </w:p>
              </w:tc>
            </w:tr>
            <w:tr w14:paraId="490871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440" w:type="dxa"/>
                  <w:tcBorders>
                    <w:tl2br w:val="nil"/>
                    <w:tr2bl w:val="nil"/>
                  </w:tcBorders>
                  <w:tcMar>
                    <w:top w:w="0" w:type="dxa"/>
                    <w:left w:w="57" w:type="dxa"/>
                    <w:bottom w:w="0" w:type="dxa"/>
                    <w:right w:w="57" w:type="dxa"/>
                  </w:tcMar>
                  <w:vAlign w:val="center"/>
                </w:tcPr>
                <w:p w14:paraId="5F9E89C4">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7</w:t>
                  </w:r>
                </w:p>
              </w:tc>
              <w:tc>
                <w:tcPr>
                  <w:tcW w:w="1851" w:type="dxa"/>
                  <w:tcBorders>
                    <w:tl2br w:val="nil"/>
                    <w:tr2bl w:val="nil"/>
                  </w:tcBorders>
                  <w:shd w:val="clear" w:color="auto" w:fill="auto"/>
                  <w:tcMar>
                    <w:top w:w="0" w:type="dxa"/>
                    <w:left w:w="57" w:type="dxa"/>
                    <w:bottom w:w="0" w:type="dxa"/>
                    <w:right w:w="57" w:type="dxa"/>
                  </w:tcMar>
                  <w:vAlign w:val="top"/>
                </w:tcPr>
                <w:p w14:paraId="76B1772A">
                  <w:pPr>
                    <w:pStyle w:val="91"/>
                    <w:spacing w:line="240" w:lineRule="auto"/>
                    <w:jc w:val="both"/>
                    <w:rPr>
                      <w:rFonts w:hint="default" w:eastAsia="宋体"/>
                      <w:color w:val="auto"/>
                      <w:kern w:val="2"/>
                      <w:sz w:val="21"/>
                      <w:highlight w:val="none"/>
                      <w:lang w:val="en-US" w:eastAsia="zh-CN"/>
                    </w:rPr>
                  </w:pPr>
                </w:p>
                <w:p w14:paraId="0279E03E">
                  <w:pPr>
                    <w:pStyle w:val="91"/>
                    <w:spacing w:line="240" w:lineRule="auto"/>
                    <w:jc w:val="both"/>
                    <w:rPr>
                      <w:rFonts w:hint="default" w:eastAsia="宋体"/>
                      <w:color w:val="auto"/>
                      <w:kern w:val="2"/>
                      <w:sz w:val="21"/>
                      <w:highlight w:val="none"/>
                      <w:lang w:val="en-US" w:eastAsia="zh-CN"/>
                    </w:rPr>
                  </w:pPr>
                </w:p>
                <w:p w14:paraId="1B41BCD7">
                  <w:pPr>
                    <w:pStyle w:val="91"/>
                    <w:spacing w:line="240" w:lineRule="auto"/>
                    <w:jc w:val="both"/>
                    <w:rPr>
                      <w:rFonts w:hint="default" w:eastAsia="宋体"/>
                      <w:color w:val="auto"/>
                      <w:kern w:val="2"/>
                      <w:sz w:val="21"/>
                      <w:highlight w:val="none"/>
                      <w:lang w:val="en-US" w:eastAsia="zh-CN"/>
                    </w:rPr>
                  </w:pPr>
                </w:p>
                <w:p w14:paraId="6FA2398A">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《福州市“十四五”生态环境保护规划》</w:t>
                  </w:r>
                  <w:r>
                    <w:rPr>
                      <w:rFonts w:hint="eastAsia"/>
                      <w:color w:val="auto"/>
                      <w:kern w:val="2"/>
                      <w:sz w:val="21"/>
                      <w:highlight w:val="none"/>
                      <w:lang w:val="en-US" w:eastAsia="zh-CN"/>
                    </w:rPr>
                    <w:t>（</w:t>
                  </w:r>
                  <w:r>
                    <w:rPr>
                      <w:rFonts w:hint="default" w:eastAsia="宋体"/>
                      <w:color w:val="auto"/>
                      <w:kern w:val="2"/>
                      <w:sz w:val="21"/>
                      <w:highlight w:val="none"/>
                      <w:lang w:val="en-US" w:eastAsia="zh-CN"/>
                    </w:rPr>
                    <w:t>榕政办〔2021〕123号</w:t>
                  </w:r>
                  <w:r>
                    <w:rPr>
                      <w:rFonts w:hint="eastAsia"/>
                      <w:color w:val="auto"/>
                      <w:kern w:val="2"/>
                      <w:sz w:val="21"/>
                      <w:highlight w:val="none"/>
                      <w:lang w:val="en-US" w:eastAsia="zh-CN"/>
                    </w:rPr>
                    <w:t>）</w:t>
                  </w:r>
                </w:p>
              </w:tc>
              <w:tc>
                <w:tcPr>
                  <w:tcW w:w="2956" w:type="dxa"/>
                  <w:tcBorders>
                    <w:tl2br w:val="nil"/>
                    <w:tr2bl w:val="nil"/>
                  </w:tcBorders>
                  <w:shd w:val="clear" w:color="auto" w:fill="auto"/>
                  <w:tcMar>
                    <w:top w:w="0" w:type="dxa"/>
                    <w:left w:w="57" w:type="dxa"/>
                    <w:bottom w:w="0" w:type="dxa"/>
                    <w:right w:w="57" w:type="dxa"/>
                  </w:tcMar>
                  <w:vAlign w:val="top"/>
                </w:tcPr>
                <w:p w14:paraId="2ACE33CA">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强化挥发性有机物整治。实行挥发性有机物排放倍量替代。加大涉VOCs企业源头替代力度，推广使用低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VOCs原辅材料替代，禁止生产高VOCs含量有机溶剂型涂料、油墨和胶黏剂的新、改、扩建项目，推进重点企业“油改水”治理，提高有机溶剂回收率。”</w:t>
                  </w:r>
                </w:p>
              </w:tc>
              <w:tc>
                <w:tcPr>
                  <w:tcW w:w="1625" w:type="dxa"/>
                  <w:tcBorders>
                    <w:tl2br w:val="nil"/>
                    <w:tr2bl w:val="nil"/>
                  </w:tcBorders>
                  <w:shd w:val="clear" w:color="auto" w:fill="auto"/>
                  <w:tcMar>
                    <w:top w:w="0" w:type="dxa"/>
                    <w:left w:w="57" w:type="dxa"/>
                    <w:bottom w:w="0" w:type="dxa"/>
                    <w:right w:w="57" w:type="dxa"/>
                  </w:tcMar>
                  <w:vAlign w:val="top"/>
                </w:tcPr>
                <w:p w14:paraId="07537A0A">
                  <w:pPr>
                    <w:pStyle w:val="91"/>
                    <w:spacing w:line="240" w:lineRule="auto"/>
                    <w:jc w:val="both"/>
                    <w:rPr>
                      <w:rFonts w:hint="default" w:eastAsia="宋体"/>
                      <w:color w:val="auto"/>
                      <w:kern w:val="2"/>
                      <w:sz w:val="21"/>
                      <w:highlight w:val="none"/>
                      <w:lang w:val="en-US" w:eastAsia="zh-CN"/>
                    </w:rPr>
                  </w:pPr>
                </w:p>
                <w:p w14:paraId="3FEC5616">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项目排放的VOCS拟实行区域内倍量替代；项目使用低VOCs</w:t>
                  </w:r>
                  <w:r>
                    <w:rPr>
                      <w:rFonts w:hint="eastAsia"/>
                      <w:color w:val="auto"/>
                      <w:kern w:val="2"/>
                      <w:sz w:val="21"/>
                      <w:highlight w:val="none"/>
                      <w:lang w:val="en-US" w:eastAsia="zh-CN"/>
                    </w:rPr>
                    <w:t>电泳涂料</w:t>
                  </w:r>
                  <w:r>
                    <w:rPr>
                      <w:rFonts w:hint="default" w:eastAsia="宋体"/>
                      <w:color w:val="auto"/>
                      <w:kern w:val="2"/>
                      <w:sz w:val="21"/>
                      <w:highlight w:val="none"/>
                      <w:lang w:val="en-US" w:eastAsia="zh-CN"/>
                    </w:rPr>
                    <w:t>等原辅料，项目不涉及所需的VOCs原料的生产，全部外购。</w:t>
                  </w:r>
                </w:p>
              </w:tc>
              <w:tc>
                <w:tcPr>
                  <w:tcW w:w="406" w:type="dxa"/>
                  <w:tcBorders>
                    <w:tl2br w:val="nil"/>
                    <w:tr2bl w:val="nil"/>
                  </w:tcBorders>
                  <w:shd w:val="clear" w:color="auto" w:fill="auto"/>
                  <w:tcMar>
                    <w:top w:w="0" w:type="dxa"/>
                    <w:left w:w="57" w:type="dxa"/>
                    <w:bottom w:w="0" w:type="dxa"/>
                    <w:right w:w="57" w:type="dxa"/>
                  </w:tcMar>
                  <w:vAlign w:val="top"/>
                </w:tcPr>
                <w:p w14:paraId="581BCBB2">
                  <w:pPr>
                    <w:pStyle w:val="91"/>
                    <w:spacing w:line="240" w:lineRule="auto"/>
                    <w:jc w:val="both"/>
                    <w:rPr>
                      <w:rFonts w:hint="eastAsia"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r w14:paraId="2D126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440" w:type="dxa"/>
                  <w:tcBorders>
                    <w:tl2br w:val="nil"/>
                    <w:tr2bl w:val="nil"/>
                  </w:tcBorders>
                  <w:tcMar>
                    <w:top w:w="0" w:type="dxa"/>
                    <w:left w:w="57" w:type="dxa"/>
                    <w:bottom w:w="0" w:type="dxa"/>
                    <w:right w:w="57" w:type="dxa"/>
                  </w:tcMar>
                  <w:vAlign w:val="center"/>
                </w:tcPr>
                <w:p w14:paraId="0218FBE1">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8</w:t>
                  </w:r>
                </w:p>
              </w:tc>
              <w:tc>
                <w:tcPr>
                  <w:tcW w:w="1851" w:type="dxa"/>
                  <w:tcBorders>
                    <w:tl2br w:val="nil"/>
                    <w:tr2bl w:val="nil"/>
                  </w:tcBorders>
                  <w:shd w:val="clear" w:color="auto" w:fill="auto"/>
                  <w:tcMar>
                    <w:top w:w="0" w:type="dxa"/>
                    <w:left w:w="57" w:type="dxa"/>
                    <w:bottom w:w="0" w:type="dxa"/>
                    <w:right w:w="57" w:type="dxa"/>
                  </w:tcMar>
                  <w:vAlign w:val="top"/>
                </w:tcPr>
                <w:p w14:paraId="531BED03">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《福州市生态环境保护委员会办公室关于印发2022年度福州市蓝天碧海净土保卫战行动计划通知》</w:t>
                  </w:r>
                  <w:r>
                    <w:rPr>
                      <w:rFonts w:hint="eastAsia"/>
                      <w:color w:val="auto"/>
                      <w:kern w:val="2"/>
                      <w:sz w:val="21"/>
                      <w:highlight w:val="none"/>
                      <w:lang w:val="en-US" w:eastAsia="zh-CN"/>
                    </w:rPr>
                    <w:t>（</w:t>
                  </w:r>
                  <w:r>
                    <w:rPr>
                      <w:rFonts w:hint="default" w:eastAsia="宋体"/>
                      <w:color w:val="auto"/>
                      <w:kern w:val="2"/>
                      <w:sz w:val="21"/>
                      <w:highlight w:val="none"/>
                      <w:lang w:val="en-US" w:eastAsia="zh-CN"/>
                    </w:rPr>
                    <w:t>榕环委办</w:t>
                  </w:r>
                </w:p>
                <w:p w14:paraId="720A5FB3">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〔2022〕49号）</w:t>
                  </w:r>
                </w:p>
              </w:tc>
              <w:tc>
                <w:tcPr>
                  <w:tcW w:w="2956" w:type="dxa"/>
                  <w:tcBorders>
                    <w:tl2br w:val="nil"/>
                    <w:tr2bl w:val="nil"/>
                  </w:tcBorders>
                  <w:shd w:val="clear" w:color="auto" w:fill="auto"/>
                  <w:tcMar>
                    <w:top w:w="0" w:type="dxa"/>
                    <w:left w:w="57" w:type="dxa"/>
                    <w:bottom w:w="0" w:type="dxa"/>
                    <w:right w:w="57" w:type="dxa"/>
                  </w:tcMar>
                  <w:vAlign w:val="top"/>
                </w:tcPr>
                <w:p w14:paraId="45B407AD">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四是严格涉VOCs建设项目环境影响评价审批。新、改、扩建涉</w:t>
                  </w:r>
                </w:p>
                <w:p w14:paraId="267F303B">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VOCs排放项目，应使用低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VOCs涂料、胶粘剂等，实施新建项目VOCs排放区域内1.2及以上倍量替代。VOCs年排放量大于5吨的新建项目投运前应安装VOCs在线监控设备，并接</w:t>
                  </w:r>
                </w:p>
                <w:p w14:paraId="5B99F95E">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入市生态云平台。</w:t>
                  </w:r>
                </w:p>
              </w:tc>
              <w:tc>
                <w:tcPr>
                  <w:tcW w:w="1625" w:type="dxa"/>
                  <w:tcBorders>
                    <w:tl2br w:val="nil"/>
                    <w:tr2bl w:val="nil"/>
                  </w:tcBorders>
                  <w:shd w:val="clear" w:color="auto" w:fill="auto"/>
                  <w:tcMar>
                    <w:top w:w="0" w:type="dxa"/>
                    <w:left w:w="57" w:type="dxa"/>
                    <w:bottom w:w="0" w:type="dxa"/>
                    <w:right w:w="57" w:type="dxa"/>
                  </w:tcMar>
                  <w:vAlign w:val="top"/>
                </w:tcPr>
                <w:p w14:paraId="43961E7C">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项目采用低VOCs原</w:t>
                  </w:r>
                </w:p>
                <w:p w14:paraId="74FC540C">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料，项目VOCs排放拟实行区域内倍量替代，项目VOCs年排放量远小于5吨，不需安装VOCs在线监控设备。</w:t>
                  </w:r>
                </w:p>
              </w:tc>
              <w:tc>
                <w:tcPr>
                  <w:tcW w:w="406" w:type="dxa"/>
                  <w:tcBorders>
                    <w:tl2br w:val="nil"/>
                    <w:tr2bl w:val="nil"/>
                  </w:tcBorders>
                  <w:shd w:val="clear" w:color="auto" w:fill="auto"/>
                  <w:tcMar>
                    <w:top w:w="0" w:type="dxa"/>
                    <w:left w:w="57" w:type="dxa"/>
                    <w:bottom w:w="0" w:type="dxa"/>
                    <w:right w:w="57" w:type="dxa"/>
                  </w:tcMar>
                  <w:vAlign w:val="top"/>
                </w:tcPr>
                <w:p w14:paraId="46E72F96">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bl>
          <w:p w14:paraId="3048E9AD">
            <w:pPr>
              <w:rPr>
                <w:rFonts w:hint="eastAsia"/>
                <w:color w:val="auto"/>
                <w:lang w:val="en-US" w:eastAsia="zh-CN"/>
              </w:rPr>
            </w:pPr>
          </w:p>
          <w:p w14:paraId="1CEE79A9">
            <w:pPr>
              <w:pStyle w:val="3"/>
              <w:bidi w:val="0"/>
              <w:rPr>
                <w:rFonts w:hint="eastAsia"/>
                <w:color w:val="auto"/>
                <w:lang w:val="en-US" w:eastAsia="zh-CN"/>
              </w:rPr>
            </w:pPr>
            <w:r>
              <w:rPr>
                <w:rFonts w:hint="eastAsia"/>
                <w:color w:val="auto"/>
                <w:lang w:val="en-US" w:eastAsia="zh-CN"/>
              </w:rPr>
              <w:t>与周边相容性分析</w:t>
            </w:r>
          </w:p>
          <w:p w14:paraId="7693929C">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5"/>
                <w:szCs w:val="25"/>
              </w:rPr>
            </w:pPr>
            <w:r>
              <w:rPr>
                <w:rFonts w:hint="eastAsia" w:ascii="Times New Roman" w:hAnsi="Times New Roman" w:eastAsia="宋体" w:cs="宋体"/>
                <w:color w:val="auto"/>
                <w:kern w:val="0"/>
                <w:sz w:val="24"/>
                <w:szCs w:val="20"/>
                <w:highlight w:val="none"/>
                <w:lang w:val="zh-CN" w:eastAsia="zh-CN" w:bidi="ar-SA"/>
              </w:rPr>
              <w:t>本项目位</w:t>
            </w:r>
            <w:r>
              <w:rPr>
                <w:rFonts w:hint="eastAsia" w:ascii="Times New Roman" w:hAnsi="Times New Roman" w:eastAsia="宋体" w:cs="宋体"/>
                <w:color w:val="auto"/>
                <w:kern w:val="0"/>
                <w:sz w:val="24"/>
                <w:szCs w:val="20"/>
                <w:highlight w:val="none"/>
                <w:shd w:val="clear"/>
                <w:lang w:val="zh-CN" w:eastAsia="zh-CN" w:bidi="ar-SA"/>
              </w:rPr>
              <w:t>于福清融侨经济技术开发区</w:t>
            </w:r>
            <w:r>
              <w:rPr>
                <w:rFonts w:hint="eastAsia" w:ascii="Times New Roman" w:hAnsi="Times New Roman" w:cs="宋体"/>
                <w:color w:val="auto"/>
                <w:kern w:val="0"/>
                <w:sz w:val="24"/>
                <w:szCs w:val="20"/>
                <w:highlight w:val="none"/>
                <w:shd w:val="clear"/>
                <w:lang w:val="zh-CN" w:eastAsia="zh-CN" w:bidi="ar-SA"/>
              </w:rPr>
              <w:t>福建省福州市福清市镜洋镇工业区（租赁福州鼎力机械有限公司内铸造车间1号）</w:t>
            </w:r>
            <w:r>
              <w:rPr>
                <w:rFonts w:hint="eastAsia" w:ascii="Times New Roman" w:hAnsi="Times New Roman" w:eastAsia="宋体" w:cs="宋体"/>
                <w:color w:val="auto"/>
                <w:kern w:val="0"/>
                <w:sz w:val="24"/>
                <w:szCs w:val="20"/>
                <w:highlight w:val="none"/>
                <w:lang w:val="zh-CN" w:eastAsia="zh-CN" w:bidi="ar-SA"/>
              </w:rPr>
              <w:t>，根据现场勘查，周边以工业企业为主，项目周边</w:t>
            </w:r>
            <w:r>
              <w:rPr>
                <w:rFonts w:hint="eastAsia" w:ascii="Times New Roman" w:hAnsi="Times New Roman" w:eastAsia="宋体" w:cs="宋体"/>
                <w:color w:val="auto"/>
                <w:kern w:val="0"/>
                <w:sz w:val="24"/>
                <w:szCs w:val="20"/>
                <w:highlight w:val="none"/>
                <w:shd w:val="clear"/>
                <w:lang w:val="zh-CN" w:eastAsia="zh-CN" w:bidi="ar-SA"/>
              </w:rPr>
              <w:t>环境现</w:t>
            </w:r>
            <w:r>
              <w:rPr>
                <w:rFonts w:hint="eastAsia" w:ascii="Times New Roman" w:hAnsi="Times New Roman" w:cs="宋体"/>
                <w:color w:val="auto"/>
                <w:kern w:val="0"/>
                <w:sz w:val="24"/>
                <w:szCs w:val="20"/>
                <w:highlight w:val="none"/>
                <w:shd w:val="clear"/>
                <w:lang w:val="en-US" w:eastAsia="zh-CN" w:bidi="ar-SA"/>
              </w:rPr>
              <w:t>状</w:t>
            </w:r>
            <w:r>
              <w:rPr>
                <w:rFonts w:hint="eastAsia" w:ascii="Times New Roman" w:hAnsi="Times New Roman" w:eastAsia="宋体" w:cs="宋体"/>
                <w:color w:val="auto"/>
                <w:kern w:val="0"/>
                <w:sz w:val="24"/>
                <w:szCs w:val="20"/>
                <w:highlight w:val="none"/>
                <w:shd w:val="clear"/>
                <w:lang w:val="zh-CN" w:eastAsia="zh-CN" w:bidi="ar-SA"/>
              </w:rPr>
              <w:t>示意图详见附图2</w:t>
            </w:r>
            <w:r>
              <w:rPr>
                <w:rFonts w:hint="eastAsia" w:ascii="Times New Roman" w:hAnsi="Times New Roman" w:cs="宋体"/>
                <w:color w:val="auto"/>
                <w:kern w:val="0"/>
                <w:sz w:val="24"/>
                <w:szCs w:val="20"/>
                <w:highlight w:val="none"/>
                <w:shd w:val="clear"/>
                <w:lang w:val="zh-CN" w:eastAsia="zh-CN" w:bidi="ar-SA"/>
              </w:rPr>
              <w:t>，</w:t>
            </w:r>
            <w:r>
              <w:rPr>
                <w:rFonts w:hint="eastAsia" w:ascii="Times New Roman" w:hAnsi="Times New Roman" w:eastAsia="宋体" w:cs="宋体"/>
                <w:color w:val="auto"/>
                <w:kern w:val="0"/>
                <w:sz w:val="24"/>
                <w:szCs w:val="20"/>
                <w:highlight w:val="none"/>
                <w:shd w:val="clear"/>
                <w:lang w:val="zh-CN" w:eastAsia="zh-CN" w:bidi="ar-SA"/>
              </w:rPr>
              <w:t>项目周边环境现状拍摄图详见附图3</w:t>
            </w:r>
            <w:r>
              <w:rPr>
                <w:rFonts w:hint="eastAsia" w:ascii="Times New Roman" w:hAnsi="Times New Roman" w:cs="宋体"/>
                <w:color w:val="auto"/>
                <w:kern w:val="0"/>
                <w:sz w:val="24"/>
                <w:szCs w:val="20"/>
                <w:highlight w:val="none"/>
                <w:shd w:val="clear"/>
                <w:lang w:val="zh-CN" w:eastAsia="zh-CN" w:bidi="ar-SA"/>
              </w:rPr>
              <w:t>；</w:t>
            </w:r>
            <w:r>
              <w:rPr>
                <w:rFonts w:hint="eastAsia" w:ascii="Times New Roman" w:hAnsi="Times New Roman" w:eastAsia="宋体" w:cs="宋体"/>
                <w:color w:val="auto"/>
                <w:kern w:val="0"/>
                <w:sz w:val="24"/>
                <w:szCs w:val="20"/>
                <w:highlight w:val="none"/>
                <w:lang w:val="zh-CN" w:eastAsia="zh-CN" w:bidi="ar-SA"/>
              </w:rPr>
              <w:t>建设单位在确实落实本评价提出的各项污染治理措施的前提下，可实现污染物达标排放</w:t>
            </w:r>
            <w:r>
              <w:rPr>
                <w:rFonts w:hint="eastAsia" w:ascii="Times New Roman" w:hAnsi="Times New Roman" w:cs="宋体"/>
                <w:color w:val="auto"/>
                <w:kern w:val="0"/>
                <w:sz w:val="24"/>
                <w:szCs w:val="20"/>
                <w:highlight w:val="none"/>
                <w:lang w:val="zh-CN" w:eastAsia="zh-CN" w:bidi="ar-SA"/>
              </w:rPr>
              <w:t>且</w:t>
            </w:r>
            <w:r>
              <w:rPr>
                <w:rFonts w:hint="eastAsia" w:ascii="Times New Roman" w:hAnsi="Times New Roman" w:eastAsia="宋体" w:cs="宋体"/>
                <w:color w:val="auto"/>
                <w:kern w:val="0"/>
                <w:sz w:val="24"/>
                <w:szCs w:val="20"/>
                <w:highlight w:val="none"/>
                <w:lang w:val="zh-CN" w:eastAsia="zh-CN" w:bidi="ar-SA"/>
              </w:rPr>
              <w:t>各污染物排放源强较低，运营期产生的“三废”及噪声对周边环境影响不明显，因此，项目建设与周边环境基本相容。</w:t>
            </w:r>
          </w:p>
          <w:p w14:paraId="5A9AC9BA">
            <w:pPr>
              <w:pStyle w:val="3"/>
              <w:bidi w:val="0"/>
              <w:rPr>
                <w:rFonts w:hint="eastAsia"/>
                <w:color w:val="auto"/>
              </w:rPr>
            </w:pPr>
            <w:r>
              <w:rPr>
                <w:rFonts w:hint="eastAsia"/>
                <w:color w:val="auto"/>
                <w:lang w:val="en-US" w:eastAsia="zh-CN"/>
              </w:rPr>
              <w:t>生态环境分区管控控制要求的符合性分析</w:t>
            </w:r>
          </w:p>
          <w:p w14:paraId="6498F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rPr>
            </w:pPr>
            <w:r>
              <w:rPr>
                <w:rFonts w:hint="eastAsia" w:ascii="Times New Roman" w:hAnsi="Times New Roman" w:eastAsia="宋体" w:cs="宋体"/>
                <w:color w:val="auto"/>
                <w:kern w:val="0"/>
                <w:sz w:val="24"/>
                <w:szCs w:val="20"/>
                <w:highlight w:val="none"/>
                <w:lang w:val="zh-CN" w:eastAsia="zh-CN" w:bidi="ar-SA"/>
              </w:rPr>
              <w:t>根据《关于以改善环境质量为核心加强环境影响评价管理的通知》</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环评〔2016〕150号</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“三线一单”即：“生态保护红线、环境质量底线、资源利用上线和生态环境准入清单”</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项目建设应强化“三线一单”约束作用。</w:t>
            </w:r>
          </w:p>
          <w:p w14:paraId="0D2CB376">
            <w:pPr>
              <w:pStyle w:val="4"/>
              <w:bidi w:val="0"/>
              <w:ind w:left="720" w:leftChars="0" w:hanging="720" w:firstLineChars="0"/>
              <w:rPr>
                <w:color w:val="auto"/>
                <w:highlight w:val="none"/>
              </w:rPr>
            </w:pPr>
            <w:r>
              <w:rPr>
                <w:color w:val="auto"/>
                <w:highlight w:val="none"/>
              </w:rPr>
              <w:t>生态保护红线</w:t>
            </w:r>
          </w:p>
          <w:p w14:paraId="2C2D605E">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auto"/>
              </w:rPr>
            </w:pPr>
            <w:r>
              <w:rPr>
                <w:rFonts w:hint="eastAsia" w:eastAsia="宋体" w:cs="宋体"/>
                <w:color w:val="auto"/>
              </w:rPr>
              <w:t>对照《福建省生态保护红线划定方案》及其调整方案、《福清市生态功能区划》</w:t>
            </w:r>
            <w:r>
              <w:rPr>
                <w:rFonts w:hint="eastAsia" w:cs="宋体"/>
                <w:color w:val="auto"/>
                <w:lang w:eastAsia="zh-CN"/>
              </w:rPr>
              <w:t>（</w:t>
            </w:r>
            <w:r>
              <w:rPr>
                <w:rFonts w:hint="eastAsia" w:eastAsia="宋体" w:cs="宋体"/>
                <w:color w:val="auto"/>
              </w:rPr>
              <w:t>2003年</w:t>
            </w:r>
            <w:r>
              <w:rPr>
                <w:rFonts w:hint="eastAsia" w:cs="宋体"/>
                <w:color w:val="auto"/>
                <w:lang w:eastAsia="zh-CN"/>
              </w:rPr>
              <w:t>），</w:t>
            </w:r>
            <w:r>
              <w:rPr>
                <w:rFonts w:hint="eastAsia" w:eastAsia="宋体" w:cs="宋体"/>
                <w:color w:val="auto"/>
              </w:rPr>
              <w:t>本项目位于福清市镜洋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w:t>
            </w:r>
          </w:p>
          <w:p w14:paraId="4AA90BB4">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auto"/>
              </w:rPr>
            </w:pPr>
            <w:r>
              <w:rPr>
                <w:rFonts w:hint="eastAsia" w:eastAsia="宋体" w:cs="宋体"/>
                <w:color w:val="auto"/>
              </w:rPr>
              <w:t>因此，项目建设符合生态红线控制的要求。</w:t>
            </w:r>
          </w:p>
          <w:p w14:paraId="47E0F9A8">
            <w:pPr>
              <w:pStyle w:val="4"/>
              <w:bidi w:val="0"/>
              <w:ind w:left="720" w:leftChars="0" w:hanging="720" w:firstLineChars="0"/>
              <w:rPr>
                <w:color w:val="auto"/>
                <w:highlight w:val="none"/>
              </w:rPr>
            </w:pPr>
            <w:r>
              <w:rPr>
                <w:color w:val="auto"/>
                <w:highlight w:val="none"/>
              </w:rPr>
              <w:t>环境质量底线</w:t>
            </w:r>
          </w:p>
          <w:p w14:paraId="6F106376">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auto"/>
                <w:highlight w:val="none"/>
                <w:lang w:val="en-US" w:eastAsia="zh-CN"/>
              </w:rPr>
            </w:pPr>
            <w:r>
              <w:rPr>
                <w:rFonts w:hint="eastAsia" w:eastAsia="宋体" w:cs="宋体"/>
                <w:color w:val="auto"/>
                <w:highlight w:val="none"/>
                <w:lang w:val="en-US" w:eastAsia="zh-CN"/>
              </w:rPr>
              <w:t>目前，</w:t>
            </w:r>
            <w:r>
              <w:rPr>
                <w:rFonts w:hint="eastAsia" w:eastAsia="宋体" w:cs="宋体"/>
                <w:color w:val="auto"/>
                <w:highlight w:val="none"/>
                <w:shd w:val="clear"/>
                <w:lang w:val="en-US" w:eastAsia="zh-CN"/>
              </w:rPr>
              <w:t>龙江水质符合GB3838-2002《地表水环境质量标准》中V类标准；项目所在区域的环境空气质量现状符合《环境空气质量标准》</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GB3095-2012</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及2018年修改单中二级标准，</w:t>
            </w:r>
            <w:r>
              <w:rPr>
                <w:rFonts w:hint="eastAsia" w:eastAsia="宋体" w:cs="宋体"/>
                <w:color w:val="auto"/>
                <w:highlight w:val="none"/>
                <w:lang w:val="en-US" w:eastAsia="zh-CN"/>
              </w:rPr>
              <w:t>属于达标区；项目所在区域声环境质量现状</w:t>
            </w:r>
            <w:r>
              <w:rPr>
                <w:rFonts w:hint="eastAsia" w:eastAsia="宋体" w:cs="宋体"/>
                <w:color w:val="auto"/>
                <w:highlight w:val="none"/>
                <w:shd w:val="clear"/>
                <w:lang w:val="en-US" w:eastAsia="zh-CN"/>
              </w:rPr>
              <w:t>符合《声环境质量标准》</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GB3096-2008</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中</w:t>
            </w:r>
            <w:r>
              <w:rPr>
                <w:rFonts w:hint="eastAsia" w:cs="宋体"/>
                <w:color w:val="auto"/>
                <w:highlight w:val="none"/>
                <w:shd w:val="clear"/>
                <w:lang w:val="en-US" w:eastAsia="zh-CN"/>
              </w:rPr>
              <w:t>3</w:t>
            </w:r>
            <w:r>
              <w:rPr>
                <w:rFonts w:hint="eastAsia" w:eastAsia="宋体" w:cs="宋体"/>
                <w:color w:val="auto"/>
                <w:highlight w:val="none"/>
                <w:shd w:val="clear"/>
                <w:lang w:val="en-US" w:eastAsia="zh-CN"/>
              </w:rPr>
              <w:t>类标准。</w:t>
            </w:r>
            <w:r>
              <w:rPr>
                <w:rFonts w:hint="eastAsia" w:eastAsia="宋体" w:cs="宋体"/>
                <w:color w:val="auto"/>
                <w:highlight w:val="none"/>
                <w:lang w:val="en-US" w:eastAsia="zh-CN"/>
              </w:rPr>
              <w:t>因此，项目所在区域环境现状质量良好。</w:t>
            </w:r>
          </w:p>
          <w:p w14:paraId="7D92026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auto"/>
                <w:highlight w:val="none"/>
                <w:lang w:val="en-US" w:eastAsia="zh-CN"/>
              </w:rPr>
            </w:pPr>
            <w:r>
              <w:rPr>
                <w:rFonts w:hint="eastAsia" w:eastAsia="宋体" w:cs="宋体"/>
                <w:color w:val="auto"/>
                <w:highlight w:val="none"/>
                <w:lang w:val="en-US" w:eastAsia="zh-CN"/>
              </w:rPr>
              <w:t>本项目运营</w:t>
            </w:r>
            <w:r>
              <w:rPr>
                <w:rFonts w:hint="eastAsia" w:eastAsia="宋体" w:cs="宋体"/>
                <w:color w:val="auto"/>
                <w:highlight w:val="none"/>
                <w:shd w:val="clear"/>
                <w:lang w:val="en-US" w:eastAsia="zh-CN"/>
              </w:rPr>
              <w:t>期</w:t>
            </w:r>
            <w:r>
              <w:rPr>
                <w:rFonts w:hint="eastAsia" w:cs="宋体"/>
                <w:color w:val="auto"/>
                <w:highlight w:val="none"/>
                <w:shd w:val="clear"/>
                <w:lang w:val="en-US" w:eastAsia="zh-CN"/>
              </w:rPr>
              <w:t>生产废水经过污水处理设施处理达标后排入市政污水管网进入福清市第二污水处理厂；</w:t>
            </w:r>
            <w:r>
              <w:rPr>
                <w:rFonts w:hint="eastAsia" w:eastAsia="宋体" w:cs="宋体"/>
                <w:color w:val="auto"/>
                <w:highlight w:val="none"/>
                <w:shd w:val="clear"/>
                <w:lang w:val="en-US" w:eastAsia="zh-CN"/>
              </w:rPr>
              <w:t>生活污水经化粪池处理后排入市政污水管网进入福清市第二污水处理厂；</w:t>
            </w:r>
            <w:r>
              <w:rPr>
                <w:rFonts w:hint="eastAsia" w:eastAsia="宋体" w:cs="宋体"/>
                <w:color w:val="auto"/>
                <w:highlight w:val="none"/>
                <w:lang w:val="en-US" w:eastAsia="zh-CN"/>
              </w:rPr>
              <w:t>项目废气经处理达标后对周围大气环境影响较小；各生产设备产生的噪声经隔声、减振等降噪措施处理后也不会对周边声环境造成重大影响。综上分析，项目在采取本环评提出的防治措施后，运营期排放的污染物不会对区域环境质量底线造成冲击。</w:t>
            </w:r>
          </w:p>
          <w:p w14:paraId="45F731B8">
            <w:pPr>
              <w:pStyle w:val="4"/>
              <w:bidi w:val="0"/>
              <w:ind w:left="720" w:leftChars="0" w:hanging="720" w:firstLineChars="0"/>
              <w:rPr>
                <w:color w:val="auto"/>
                <w:highlight w:val="none"/>
              </w:rPr>
            </w:pPr>
            <w:r>
              <w:rPr>
                <w:color w:val="auto"/>
                <w:highlight w:val="none"/>
              </w:rPr>
              <w:t>资源利用上线</w:t>
            </w:r>
          </w:p>
          <w:p w14:paraId="12249F0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项目用水、用电为区域集中供应，项目运行过程通过内部管理、设备选择、原辅材料的选用和管理、废物回收利用、污染治理等多方面采取合理可行的防治措施，以“节能、降耗、减污”为目标，有效</w:t>
            </w:r>
            <w:r>
              <w:rPr>
                <w:rFonts w:hint="eastAsia"/>
                <w:color w:val="auto"/>
                <w:highlight w:val="none"/>
                <w:lang w:eastAsia="zh-CN"/>
              </w:rPr>
              <w:t>地</w:t>
            </w:r>
            <w:r>
              <w:rPr>
                <w:rFonts w:hint="eastAsia"/>
                <w:color w:val="auto"/>
                <w:highlight w:val="none"/>
              </w:rPr>
              <w:t>控制污染。项目运营期水、原料等资源利用不会突破区域的资源利用上线。</w:t>
            </w:r>
          </w:p>
          <w:p w14:paraId="4A0075E8">
            <w:pPr>
              <w:pStyle w:val="4"/>
              <w:bidi w:val="0"/>
              <w:ind w:left="720" w:leftChars="0" w:hanging="720" w:firstLineChars="0"/>
              <w:rPr>
                <w:color w:val="auto"/>
                <w:highlight w:val="none"/>
              </w:rPr>
            </w:pPr>
            <w:r>
              <w:rPr>
                <w:rFonts w:hint="eastAsia"/>
                <w:color w:val="auto"/>
                <w:highlight w:val="none"/>
              </w:rPr>
              <w:t>与生态环境准入清单要求符合性分析</w:t>
            </w:r>
          </w:p>
          <w:p w14:paraId="53E9F70A">
            <w:pPr>
              <w:pStyle w:val="46"/>
              <w:ind w:firstLine="480"/>
              <w:rPr>
                <w:rFonts w:hint="default"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本项目不属于《产业结构调整指导目录</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2024</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》中限制或淘汰类；满足《市场准入负面清单草案</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试点版</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发改经体〔2016〕442号</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项目无行业准入条件；不属于福建省人民政府关于加强重点流域水环境</w:t>
            </w:r>
            <w:r>
              <w:rPr>
                <w:rFonts w:hint="eastAsia" w:cs="宋体"/>
                <w:color w:val="auto"/>
                <w:kern w:val="0"/>
                <w:szCs w:val="21"/>
                <w:highlight w:val="none"/>
                <w:lang w:eastAsia="zh-CN"/>
              </w:rPr>
              <w:t>综合</w:t>
            </w:r>
            <w:r>
              <w:rPr>
                <w:rFonts w:hint="eastAsia" w:ascii="Times New Roman" w:hAnsi="Times New Roman" w:eastAsia="宋体" w:cs="宋体"/>
                <w:color w:val="auto"/>
                <w:kern w:val="0"/>
                <w:szCs w:val="21"/>
                <w:highlight w:val="none"/>
              </w:rPr>
              <w:t>整治的意见</w:t>
            </w:r>
            <w:r>
              <w:rPr>
                <w:rFonts w:hint="eastAsia" w:cs="宋体"/>
                <w:color w:val="auto"/>
                <w:kern w:val="0"/>
                <w:szCs w:val="21"/>
                <w:highlight w:val="none"/>
                <w:lang w:eastAsia="zh-CN"/>
              </w:rPr>
              <w:t>中</w:t>
            </w:r>
            <w:r>
              <w:rPr>
                <w:rFonts w:hint="eastAsia" w:ascii="Times New Roman" w:hAnsi="Times New Roman" w:eastAsia="宋体" w:cs="宋体"/>
                <w:color w:val="auto"/>
                <w:kern w:val="0"/>
                <w:szCs w:val="21"/>
                <w:highlight w:val="none"/>
              </w:rPr>
              <w:t>禁止的产业；满足《福建省工业建设项目投资强度控制指标》相关要求；</w:t>
            </w:r>
            <w:r>
              <w:rPr>
                <w:rFonts w:hint="default" w:ascii="Times New Roman" w:hAnsi="Times New Roman" w:eastAsia="宋体" w:cs="宋体"/>
                <w:color w:val="auto"/>
                <w:kern w:val="0"/>
                <w:szCs w:val="21"/>
                <w:highlight w:val="none"/>
              </w:rPr>
              <w:t>项目符合国家产业政策，符合《福建省人民政府关于实施“三线一单”生态环境分区管控的通知(闽政〔2020〕12号》全省生态环境总体准入要求及《福州市人民政府关于实施“三线一单”生态分区管控的通知》</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榕政综〔2021〕178号</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、《福州市生态环境准入清单</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2024版</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》的要求；不属于《市场准入负面清单》</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2025年版</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中禁止准入类的项目。</w:t>
            </w:r>
          </w:p>
          <w:p w14:paraId="51299D2F">
            <w:pPr>
              <w:pStyle w:val="4"/>
              <w:bidi w:val="0"/>
              <w:ind w:left="720" w:leftChars="0" w:hanging="720" w:firstLineChars="0"/>
              <w:rPr>
                <w:rFonts w:hint="default" w:eastAsia="宋体"/>
                <w:color w:val="auto"/>
                <w:highlight w:val="none"/>
              </w:rPr>
            </w:pPr>
            <w:r>
              <w:rPr>
                <w:rFonts w:hint="default" w:eastAsia="宋体"/>
                <w:color w:val="auto"/>
                <w:highlight w:val="none"/>
              </w:rPr>
              <w:t>与</w:t>
            </w:r>
            <w:r>
              <w:rPr>
                <w:rFonts w:hint="eastAsia"/>
                <w:color w:val="auto"/>
                <w:highlight w:val="none"/>
                <w:lang w:val="en-US" w:eastAsia="zh-CN"/>
              </w:rPr>
              <w:t>福建省</w:t>
            </w:r>
            <w:r>
              <w:rPr>
                <w:rFonts w:hint="default" w:eastAsia="宋体"/>
                <w:color w:val="auto"/>
                <w:highlight w:val="none"/>
              </w:rPr>
              <w:t>生态环境分区管控的要求符合性分析</w:t>
            </w:r>
          </w:p>
          <w:p w14:paraId="633397BE">
            <w:pPr>
              <w:pStyle w:val="46"/>
              <w:ind w:firstLine="480"/>
              <w:rPr>
                <w:rFonts w:hint="eastAsia" w:ascii="Times New Roman" w:hAnsi="Times New Roman" w:eastAsia="宋体" w:cs="宋体"/>
                <w:color w:val="auto"/>
                <w:kern w:val="0"/>
                <w:szCs w:val="21"/>
                <w:highlight w:val="none"/>
                <w:lang w:val="en-US" w:eastAsia="zh-CN"/>
              </w:rPr>
            </w:pPr>
            <w:r>
              <w:rPr>
                <w:rFonts w:hint="eastAsia"/>
                <w:color w:val="auto"/>
                <w:kern w:val="0"/>
                <w:szCs w:val="21"/>
                <w:highlight w:val="none"/>
              </w:rPr>
              <w:t>根据《福州市人民政府办公厅关于印发福州市生态环境分区管控方案</w:t>
            </w:r>
            <w:r>
              <w:rPr>
                <w:rFonts w:hint="eastAsia"/>
                <w:color w:val="auto"/>
                <w:kern w:val="0"/>
                <w:szCs w:val="21"/>
                <w:highlight w:val="none"/>
                <w:lang w:eastAsia="zh-CN"/>
              </w:rPr>
              <w:t>（</w:t>
            </w:r>
            <w:r>
              <w:rPr>
                <w:rFonts w:hint="eastAsia"/>
                <w:color w:val="auto"/>
                <w:kern w:val="0"/>
                <w:szCs w:val="21"/>
                <w:highlight w:val="none"/>
              </w:rPr>
              <w:t>2023年更新</w:t>
            </w:r>
            <w:r>
              <w:rPr>
                <w:rFonts w:hint="eastAsia"/>
                <w:color w:val="auto"/>
                <w:kern w:val="0"/>
                <w:szCs w:val="21"/>
                <w:highlight w:val="none"/>
                <w:lang w:eastAsia="zh-CN"/>
              </w:rPr>
              <w:t>）的通知》（</w:t>
            </w:r>
            <w:r>
              <w:rPr>
                <w:rFonts w:hint="eastAsia"/>
                <w:color w:val="auto"/>
                <w:kern w:val="0"/>
                <w:szCs w:val="21"/>
                <w:highlight w:val="none"/>
              </w:rPr>
              <w:t>榕政办规</w:t>
            </w:r>
            <w:r>
              <w:rPr>
                <w:rFonts w:hint="eastAsia"/>
                <w:color w:val="auto"/>
                <w:kern w:val="0"/>
                <w:szCs w:val="21"/>
                <w:highlight w:val="none"/>
                <w:lang w:eastAsia="zh-CN"/>
              </w:rPr>
              <w:t>〔2024〕20号）</w:t>
            </w:r>
            <w:r>
              <w:rPr>
                <w:rFonts w:hint="eastAsia"/>
                <w:color w:val="auto"/>
                <w:kern w:val="0"/>
                <w:szCs w:val="21"/>
                <w:highlight w:val="none"/>
              </w:rPr>
              <w:t>及</w:t>
            </w:r>
            <w:r>
              <w:rPr>
                <w:rFonts w:hint="eastAsia"/>
                <w:color w:val="auto"/>
                <w:sz w:val="24"/>
                <w:szCs w:val="24"/>
                <w:lang w:val="en-US" w:eastAsia="zh-CN"/>
              </w:rPr>
              <w:t>福建省生态环境分区管控综合查询报告</w:t>
            </w:r>
            <w:r>
              <w:rPr>
                <w:rFonts w:hint="eastAsia"/>
                <w:color w:val="auto"/>
                <w:kern w:val="0"/>
                <w:szCs w:val="21"/>
                <w:highlight w:val="none"/>
                <w:shd w:val="clear"/>
              </w:rPr>
              <w:t>（附件</w:t>
            </w:r>
            <w:r>
              <w:rPr>
                <w:rFonts w:hint="eastAsia"/>
                <w:color w:val="auto"/>
                <w:kern w:val="0"/>
                <w:szCs w:val="21"/>
                <w:highlight w:val="none"/>
                <w:shd w:val="clear"/>
                <w:lang w:val="en-US" w:eastAsia="zh-CN"/>
              </w:rPr>
              <w:t>5</w:t>
            </w:r>
            <w:r>
              <w:rPr>
                <w:rFonts w:hint="eastAsia"/>
                <w:color w:val="auto"/>
                <w:kern w:val="0"/>
                <w:szCs w:val="21"/>
                <w:highlight w:val="none"/>
                <w:shd w:val="clear"/>
              </w:rPr>
              <w:t>）</w:t>
            </w:r>
            <w:r>
              <w:rPr>
                <w:rFonts w:hint="eastAsia"/>
                <w:color w:val="auto"/>
                <w:kern w:val="0"/>
                <w:szCs w:val="21"/>
                <w:highlight w:val="none"/>
              </w:rPr>
              <w:t>，本项目所在地管控单位类别为重点管控单元（环境管控单元编码：</w:t>
            </w:r>
            <w:r>
              <w:rPr>
                <w:rFonts w:hint="eastAsia"/>
                <w:color w:val="auto"/>
                <w:kern w:val="0"/>
                <w:szCs w:val="21"/>
                <w:highlight w:val="none"/>
                <w:lang w:val="en-US" w:eastAsia="zh-CN"/>
              </w:rPr>
              <w:t>ZH35018120008</w:t>
            </w:r>
            <w:r>
              <w:rPr>
                <w:rFonts w:hint="eastAsia"/>
                <w:color w:val="auto"/>
                <w:kern w:val="0"/>
                <w:szCs w:val="21"/>
                <w:highlight w:val="none"/>
              </w:rPr>
              <w:t>），空间布局约束管控要求。</w:t>
            </w:r>
            <w:r>
              <w:rPr>
                <w:rFonts w:hint="default" w:ascii="Times New Roman" w:hAnsi="Times New Roman" w:eastAsia="宋体" w:cs="宋体"/>
                <w:color w:val="auto"/>
                <w:kern w:val="0"/>
                <w:szCs w:val="21"/>
                <w:highlight w:val="none"/>
              </w:rPr>
              <w:t>项目位于</w:t>
            </w:r>
            <w:r>
              <w:rPr>
                <w:rFonts w:hint="eastAsia" w:ascii="Times New Roman" w:hAnsi="Times New Roman" w:eastAsia="宋体" w:cs="宋体"/>
                <w:color w:val="auto"/>
                <w:kern w:val="0"/>
                <w:sz w:val="24"/>
                <w:szCs w:val="20"/>
                <w:highlight w:val="none"/>
                <w:shd w:val="clear"/>
                <w:lang w:val="zh-CN" w:eastAsia="zh-CN" w:bidi="ar-SA"/>
              </w:rPr>
              <w:t>福建省福州市</w:t>
            </w:r>
            <w:r>
              <w:rPr>
                <w:rFonts w:hint="eastAsia" w:cs="宋体"/>
                <w:color w:val="auto"/>
                <w:kern w:val="0"/>
                <w:sz w:val="24"/>
                <w:szCs w:val="20"/>
                <w:highlight w:val="none"/>
                <w:shd w:val="clear"/>
                <w:lang w:val="zh-CN" w:eastAsia="zh-CN" w:bidi="ar-SA"/>
              </w:rPr>
              <w:t>福建省福州市福清市镜洋镇工业区（租赁福州鼎力机械有限公司内铸造车间1号）</w:t>
            </w:r>
            <w:r>
              <w:rPr>
                <w:rFonts w:hint="default" w:ascii="Times New Roman" w:hAnsi="Times New Roman" w:eastAsia="宋体" w:cs="宋体"/>
                <w:color w:val="auto"/>
                <w:kern w:val="0"/>
                <w:szCs w:val="21"/>
                <w:highlight w:val="none"/>
              </w:rPr>
              <w:t>，属于</w:t>
            </w:r>
            <w:r>
              <w:rPr>
                <w:rFonts w:hint="eastAsia" w:ascii="Times New Roman" w:hAnsi="Times New Roman" w:eastAsia="宋体" w:cs="宋体"/>
                <w:color w:val="auto"/>
                <w:kern w:val="0"/>
                <w:szCs w:val="21"/>
                <w:highlight w:val="none"/>
                <w:lang w:val="en-US" w:eastAsia="zh-CN"/>
              </w:rPr>
              <w:t>工业用地，</w:t>
            </w:r>
            <w:r>
              <w:rPr>
                <w:rFonts w:hint="eastAsia"/>
                <w:color w:val="auto"/>
                <w:kern w:val="0"/>
                <w:szCs w:val="21"/>
                <w:highlight w:val="none"/>
                <w:lang w:val="en-US" w:eastAsia="zh-CN"/>
              </w:rPr>
              <w:t>属三十三、汽车制造业36——71、汽车零部件及配件制造367，</w:t>
            </w:r>
            <w:r>
              <w:rPr>
                <w:rFonts w:hint="default" w:ascii="Times New Roman" w:hAnsi="Times New Roman" w:eastAsia="宋体" w:cs="宋体"/>
                <w:color w:val="auto"/>
                <w:kern w:val="0"/>
                <w:szCs w:val="21"/>
                <w:highlight w:val="none"/>
                <w:lang w:val="en-US" w:eastAsia="zh-CN"/>
              </w:rPr>
              <w:t>为</w:t>
            </w:r>
            <w:r>
              <w:rPr>
                <w:rFonts w:hint="eastAsia" w:cs="宋体"/>
                <w:color w:val="auto"/>
                <w:kern w:val="0"/>
                <w:szCs w:val="21"/>
                <w:highlight w:val="none"/>
                <w:lang w:val="en-US" w:eastAsia="zh-CN"/>
              </w:rPr>
              <w:t>规划推荐行业</w:t>
            </w:r>
            <w:r>
              <w:rPr>
                <w:rFonts w:hint="default" w:ascii="Times New Roman" w:hAnsi="Times New Roman" w:eastAsia="宋体" w:cs="宋体"/>
                <w:color w:val="auto"/>
                <w:kern w:val="0"/>
                <w:szCs w:val="21"/>
                <w:highlight w:val="none"/>
              </w:rPr>
              <w:t>。项目</w:t>
            </w:r>
            <w:r>
              <w:rPr>
                <w:rFonts w:hint="eastAsia" w:cs="宋体"/>
                <w:color w:val="auto"/>
                <w:highlight w:val="none"/>
                <w:shd w:val="clear"/>
                <w:lang w:val="en-US" w:eastAsia="zh-CN"/>
              </w:rPr>
              <w:t>生产废水经过污水处理设施处理达标后排入市政污水管网进入福清市第二污水处理厂；</w:t>
            </w:r>
            <w:r>
              <w:rPr>
                <w:rFonts w:hint="default" w:ascii="Times New Roman" w:hAnsi="Times New Roman" w:eastAsia="宋体" w:cs="宋体"/>
                <w:color w:val="auto"/>
                <w:kern w:val="0"/>
                <w:szCs w:val="21"/>
                <w:highlight w:val="none"/>
                <w:shd w:val="clear"/>
              </w:rPr>
              <w:t>生活污水</w:t>
            </w:r>
            <w:r>
              <w:rPr>
                <w:rFonts w:hint="eastAsia" w:ascii="Times New Roman" w:hAnsi="Times New Roman" w:eastAsia="宋体" w:cs="宋体"/>
                <w:color w:val="auto"/>
                <w:kern w:val="0"/>
                <w:szCs w:val="21"/>
                <w:highlight w:val="none"/>
                <w:shd w:val="clear"/>
                <w:lang w:val="en-US" w:eastAsia="zh-CN"/>
              </w:rPr>
              <w:t>经</w:t>
            </w:r>
            <w:r>
              <w:rPr>
                <w:rFonts w:hint="default" w:ascii="Times New Roman" w:hAnsi="Times New Roman" w:eastAsia="宋体" w:cs="宋体"/>
                <w:color w:val="auto"/>
                <w:kern w:val="0"/>
                <w:szCs w:val="21"/>
                <w:highlight w:val="none"/>
                <w:shd w:val="clear"/>
              </w:rPr>
              <w:t>化粪池处理后排入市政污水管网</w:t>
            </w:r>
            <w:r>
              <w:rPr>
                <w:rFonts w:hint="eastAsia" w:cs="宋体"/>
                <w:color w:val="auto"/>
                <w:highlight w:val="none"/>
                <w:shd w:val="clear"/>
                <w:lang w:val="en-US" w:eastAsia="zh-CN"/>
              </w:rPr>
              <w:t>进入福清市第二污水处理厂</w:t>
            </w:r>
            <w:r>
              <w:rPr>
                <w:rFonts w:hint="eastAsia" w:ascii="Times New Roman" w:hAnsi="Times New Roman" w:eastAsia="宋体" w:cs="宋体"/>
                <w:color w:val="auto"/>
                <w:kern w:val="0"/>
                <w:szCs w:val="21"/>
                <w:highlight w:val="none"/>
                <w:shd w:val="clear"/>
                <w:lang w:eastAsia="zh-CN"/>
              </w:rPr>
              <w:t>，</w:t>
            </w:r>
            <w:r>
              <w:rPr>
                <w:rFonts w:hint="default" w:ascii="Times New Roman" w:hAnsi="Times New Roman" w:eastAsia="宋体" w:cs="宋体"/>
                <w:color w:val="auto"/>
                <w:kern w:val="0"/>
                <w:szCs w:val="21"/>
                <w:highlight w:val="none"/>
              </w:rPr>
              <w:t>不属于以上约束管控的禁止项目，与生态环境准入条件不冲突。</w:t>
            </w:r>
          </w:p>
          <w:p w14:paraId="4D57C400">
            <w:pPr>
              <w:pStyle w:val="46"/>
              <w:ind w:firstLine="480"/>
              <w:rPr>
                <w:rFonts w:hint="eastAsia" w:eastAsia="宋体"/>
                <w:color w:val="auto"/>
                <w:kern w:val="0"/>
                <w:szCs w:val="21"/>
                <w:highlight w:val="none"/>
                <w:lang w:eastAsia="zh-CN"/>
              </w:rPr>
            </w:pPr>
            <w:r>
              <w:rPr>
                <w:rFonts w:hint="eastAsia"/>
                <w:color w:val="auto"/>
                <w:kern w:val="0"/>
                <w:szCs w:val="21"/>
                <w:highlight w:val="none"/>
                <w:lang w:eastAsia="zh-CN"/>
              </w:rPr>
              <w:t>（1）</w:t>
            </w:r>
            <w:r>
              <w:rPr>
                <w:rFonts w:hint="eastAsia"/>
                <w:color w:val="auto"/>
                <w:kern w:val="0"/>
                <w:szCs w:val="21"/>
                <w:highlight w:val="none"/>
              </w:rPr>
              <w:t>与</w:t>
            </w:r>
            <w:r>
              <w:rPr>
                <w:rFonts w:hint="eastAsia"/>
                <w:color w:val="auto"/>
                <w:kern w:val="0"/>
                <w:szCs w:val="21"/>
                <w:highlight w:val="none"/>
                <w:lang w:val="en-GB"/>
              </w:rPr>
              <w:t>《福建省人民政府关于实施“三线一单”生态环境分区管控的通知》</w:t>
            </w:r>
            <w:r>
              <w:rPr>
                <w:rFonts w:hint="eastAsia"/>
                <w:color w:val="auto"/>
                <w:kern w:val="0"/>
                <w:szCs w:val="21"/>
                <w:highlight w:val="none"/>
              </w:rPr>
              <w:t>符合性分析</w:t>
            </w:r>
          </w:p>
          <w:p w14:paraId="374E3F19">
            <w:pPr>
              <w:pStyle w:val="46"/>
              <w:ind w:firstLine="480"/>
              <w:rPr>
                <w:rFonts w:hint="default" w:ascii="Times New Roman" w:hAnsi="Times New Roman" w:eastAsia="宋体" w:cs="宋体"/>
                <w:color w:val="auto"/>
                <w:kern w:val="0"/>
                <w:szCs w:val="21"/>
                <w:highlight w:val="none"/>
                <w:lang w:val="en-US" w:eastAsia="zh-CN"/>
              </w:rPr>
            </w:pPr>
            <w:r>
              <w:rPr>
                <w:rFonts w:hint="eastAsia"/>
                <w:color w:val="auto"/>
                <w:kern w:val="0"/>
                <w:szCs w:val="21"/>
                <w:highlight w:val="none"/>
                <w:lang w:val="en-US" w:eastAsia="zh-CN"/>
              </w:rPr>
              <w:t>项目与</w:t>
            </w:r>
            <w:r>
              <w:rPr>
                <w:rFonts w:hint="eastAsia"/>
                <w:color w:val="auto"/>
                <w:kern w:val="0"/>
                <w:szCs w:val="21"/>
                <w:highlight w:val="none"/>
              </w:rPr>
              <w:t>《福建省人民政府关于实施“三线一单”生态环境分区管控的通知》</w:t>
            </w:r>
            <w:r>
              <w:rPr>
                <w:rFonts w:hint="eastAsia"/>
                <w:color w:val="auto"/>
                <w:kern w:val="0"/>
                <w:szCs w:val="21"/>
                <w:highlight w:val="none"/>
                <w:lang w:eastAsia="zh-CN"/>
              </w:rPr>
              <w:t>（</w:t>
            </w:r>
            <w:r>
              <w:rPr>
                <w:rFonts w:hint="eastAsia"/>
                <w:color w:val="auto"/>
                <w:kern w:val="0"/>
                <w:szCs w:val="21"/>
                <w:highlight w:val="none"/>
              </w:rPr>
              <w:t>闽政</w:t>
            </w:r>
            <w:r>
              <w:rPr>
                <w:rFonts w:hint="eastAsia"/>
                <w:color w:val="auto"/>
                <w:kern w:val="0"/>
                <w:szCs w:val="21"/>
                <w:highlight w:val="none"/>
                <w:lang w:eastAsia="zh-CN"/>
              </w:rPr>
              <w:t>〔2020〕12号）</w:t>
            </w:r>
            <w:r>
              <w:rPr>
                <w:rFonts w:hint="eastAsia"/>
                <w:color w:val="auto"/>
                <w:kern w:val="0"/>
                <w:szCs w:val="21"/>
                <w:highlight w:val="none"/>
              </w:rPr>
              <w:t>相关要求</w:t>
            </w:r>
            <w:r>
              <w:rPr>
                <w:rFonts w:hint="eastAsia"/>
                <w:color w:val="auto"/>
                <w:kern w:val="0"/>
                <w:szCs w:val="21"/>
                <w:highlight w:val="none"/>
                <w:lang w:val="en-US" w:eastAsia="zh-CN"/>
              </w:rPr>
              <w:t>符合性分析</w:t>
            </w:r>
            <w:r>
              <w:rPr>
                <w:rFonts w:hint="eastAsia"/>
                <w:color w:val="auto"/>
                <w:kern w:val="0"/>
                <w:szCs w:val="21"/>
                <w:highlight w:val="none"/>
              </w:rPr>
              <w:t>见</w:t>
            </w:r>
            <w:r>
              <w:rPr>
                <w:rFonts w:hint="eastAsia"/>
                <w:color w:val="auto"/>
                <w:kern w:val="0"/>
                <w:szCs w:val="21"/>
                <w:highlight w:val="none"/>
                <w:lang w:val="en-US" w:eastAsia="zh-CN"/>
              </w:rPr>
              <w:t>表1.7-1。</w:t>
            </w:r>
          </w:p>
          <w:p w14:paraId="0BC933C7">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与全省生态环境总体准入要求的符合性分析</w:t>
            </w:r>
          </w:p>
          <w:tbl>
            <w:tblPr>
              <w:tblStyle w:val="34"/>
              <w:tblW w:w="704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91"/>
              <w:gridCol w:w="324"/>
              <w:gridCol w:w="3636"/>
              <w:gridCol w:w="1727"/>
              <w:gridCol w:w="662"/>
            </w:tblGrid>
            <w:tr w14:paraId="493D8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tcBorders>
                    <w:bottom w:val="single" w:color="000000" w:sz="12" w:space="0"/>
                  </w:tcBorders>
                  <w:vAlign w:val="center"/>
                </w:tcPr>
                <w:p w14:paraId="3AB0AF2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3960" w:type="dxa"/>
                  <w:gridSpan w:val="2"/>
                  <w:tcBorders>
                    <w:bottom w:val="single" w:color="000000" w:sz="12" w:space="0"/>
                  </w:tcBorders>
                  <w:vAlign w:val="center"/>
                </w:tcPr>
                <w:p w14:paraId="3D8A38E5">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727" w:type="dxa"/>
                  <w:tcBorders>
                    <w:bottom w:val="single" w:color="000000" w:sz="12" w:space="0"/>
                  </w:tcBorders>
                  <w:vAlign w:val="center"/>
                </w:tcPr>
                <w:p w14:paraId="2985D74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62" w:type="dxa"/>
                  <w:tcBorders>
                    <w:bottom w:val="single" w:color="000000" w:sz="12" w:space="0"/>
                  </w:tcBorders>
                  <w:vAlign w:val="center"/>
                </w:tcPr>
                <w:p w14:paraId="0AF293C0">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7078FF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restart"/>
                  <w:tcBorders>
                    <w:top w:val="single" w:color="000000" w:sz="12" w:space="0"/>
                  </w:tcBorders>
                  <w:vAlign w:val="center"/>
                </w:tcPr>
                <w:p w14:paraId="006ED86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全省陆域</w:t>
                  </w:r>
                </w:p>
              </w:tc>
              <w:tc>
                <w:tcPr>
                  <w:tcW w:w="324" w:type="dxa"/>
                  <w:tcBorders>
                    <w:top w:val="single" w:color="000000" w:sz="12" w:space="0"/>
                  </w:tcBorders>
                  <w:vAlign w:val="center"/>
                </w:tcPr>
                <w:p w14:paraId="581BB900">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636" w:type="dxa"/>
                  <w:tcBorders>
                    <w:top w:val="single" w:color="000000" w:sz="12" w:space="0"/>
                  </w:tcBorders>
                  <w:vAlign w:val="center"/>
                </w:tcPr>
                <w:p w14:paraId="761C1D2D">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1.</w:t>
                  </w:r>
                  <w:r>
                    <w:rPr>
                      <w:rFonts w:hint="default" w:ascii="Times New Roman" w:hAnsi="Times New Roman" w:eastAsia="宋体" w:cs="Times New Roman"/>
                      <w:color w:val="auto"/>
                      <w:sz w:val="21"/>
                      <w:szCs w:val="21"/>
                    </w:rPr>
                    <w:t>石化、汽车、船舶、冶金、水泥、制浆造纸、印染等重点产业，要符合全省规划布局要求。</w:t>
                  </w:r>
                </w:p>
                <w:p w14:paraId="02069695">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2.</w:t>
                  </w:r>
                  <w:r>
                    <w:rPr>
                      <w:rFonts w:hint="default" w:ascii="Times New Roman" w:hAnsi="Times New Roman" w:eastAsia="宋体" w:cs="Times New Roman"/>
                      <w:color w:val="auto"/>
                      <w:sz w:val="21"/>
                      <w:szCs w:val="21"/>
                    </w:rPr>
                    <w:t>严控钢铁、水泥、平板玻璃等产能过剩行业新增产能，新增产能应实施产能等量或减量置换。</w:t>
                  </w:r>
                </w:p>
                <w:p w14:paraId="0B97807B">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3.</w:t>
                  </w:r>
                  <w:r>
                    <w:rPr>
                      <w:rFonts w:hint="default" w:ascii="Times New Roman" w:hAnsi="Times New Roman" w:eastAsia="宋体" w:cs="Times New Roman"/>
                      <w:color w:val="auto"/>
                      <w:sz w:val="21"/>
                      <w:szCs w:val="21"/>
                    </w:rPr>
                    <w:t>除列入国家规划的大型煤电和符合相关要求的等容量替代项目，以及以供热为主的热电联产项目外，原则上不再建设新的煤电项目。</w:t>
                  </w:r>
                </w:p>
                <w:p w14:paraId="3DA30AEB">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4.</w:t>
                  </w:r>
                  <w:r>
                    <w:rPr>
                      <w:rFonts w:hint="default" w:ascii="Times New Roman" w:hAnsi="Times New Roman" w:eastAsia="宋体" w:cs="Times New Roman"/>
                      <w:color w:val="auto"/>
                      <w:sz w:val="21"/>
                      <w:szCs w:val="21"/>
                    </w:rPr>
                    <w:t>氟化工产业应集中布局在《关于促进我省氟化工产业绿色高效发展的若干意见》中确定的园区，在上述园区之外不再新建氟化工项目，园区之外现有氟化工项目不再扩大规模。</w:t>
                  </w:r>
                </w:p>
                <w:p w14:paraId="52F3DA61">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5.</w:t>
                  </w:r>
                  <w:r>
                    <w:rPr>
                      <w:rFonts w:hint="default" w:ascii="Times New Roman" w:hAnsi="Times New Roman" w:eastAsia="宋体" w:cs="Times New Roman"/>
                      <w:color w:val="auto"/>
                      <w:sz w:val="21"/>
                      <w:szCs w:val="21"/>
                    </w:rPr>
                    <w:t>禁止在水环境质量不能稳定达标的区域内，建设新增相应不达标污染物指标排放量的工业项目。</w:t>
                  </w:r>
                </w:p>
              </w:tc>
              <w:tc>
                <w:tcPr>
                  <w:tcW w:w="1727" w:type="dxa"/>
                  <w:tcBorders>
                    <w:top w:val="single" w:color="000000" w:sz="12" w:space="0"/>
                  </w:tcBorders>
                  <w:vAlign w:val="center"/>
                </w:tcPr>
                <w:p w14:paraId="1B795512">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石化、汽车、船舶、冶金、水泥、制浆造纸、印染</w:t>
                  </w:r>
                  <w:r>
                    <w:rPr>
                      <w:rFonts w:hint="eastAsia" w:ascii="Times New Roman" w:hAnsi="Times New Roman" w:eastAsia="宋体" w:cs="Times New Roman"/>
                      <w:color w:val="auto"/>
                      <w:sz w:val="21"/>
                      <w:szCs w:val="21"/>
                      <w:lang w:val="en-US" w:eastAsia="zh-CN"/>
                    </w:rPr>
                    <w:t>等产业。</w:t>
                  </w:r>
                </w:p>
                <w:p w14:paraId="4BB29C31">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钢铁、水泥、平板玻璃</w:t>
                  </w:r>
                  <w:r>
                    <w:rPr>
                      <w:rFonts w:hint="eastAsia" w:ascii="Times New Roman" w:hAnsi="Times New Roman" w:eastAsia="宋体" w:cs="Times New Roman"/>
                      <w:color w:val="auto"/>
                      <w:sz w:val="21"/>
                      <w:szCs w:val="21"/>
                      <w:lang w:val="en-US" w:eastAsia="zh-CN"/>
                    </w:rPr>
                    <w:t>等行业</w:t>
                  </w:r>
                  <w:r>
                    <w:rPr>
                      <w:rFonts w:hint="eastAsia" w:ascii="Times New Roman" w:hAnsi="Times New Roman" w:eastAsia="宋体" w:cs="Times New Roman"/>
                      <w:color w:val="auto"/>
                      <w:sz w:val="21"/>
                      <w:szCs w:val="21"/>
                      <w:lang w:eastAsia="zh-CN"/>
                    </w:rPr>
                    <w:t>。</w:t>
                  </w:r>
                </w:p>
                <w:p w14:paraId="54B39693">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热电联产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煤电项目</w:t>
                  </w:r>
                  <w:r>
                    <w:rPr>
                      <w:rFonts w:hint="eastAsia" w:ascii="Times New Roman" w:hAnsi="Times New Roman" w:eastAsia="宋体" w:cs="Times New Roman"/>
                      <w:color w:val="auto"/>
                      <w:sz w:val="21"/>
                      <w:szCs w:val="21"/>
                      <w:lang w:eastAsia="zh-CN"/>
                    </w:rPr>
                    <w:t>。</w:t>
                  </w:r>
                </w:p>
                <w:p w14:paraId="0B5B0548">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氟化工产业</w:t>
                  </w:r>
                  <w:r>
                    <w:rPr>
                      <w:rFonts w:hint="eastAsia" w:ascii="Times New Roman" w:hAnsi="Times New Roman" w:eastAsia="宋体" w:cs="Times New Roman"/>
                      <w:color w:val="auto"/>
                      <w:sz w:val="21"/>
                      <w:szCs w:val="21"/>
                      <w:lang w:eastAsia="zh-CN"/>
                    </w:rPr>
                    <w:t>。</w:t>
                  </w:r>
                </w:p>
                <w:p w14:paraId="59614D12">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项目所在区域水环境质量能稳定达标排放，</w:t>
                  </w:r>
                  <w:r>
                    <w:rPr>
                      <w:rFonts w:hint="eastAsia" w:ascii="Times New Roman" w:hAnsi="Times New Roman" w:eastAsia="宋体" w:cs="Times New Roman"/>
                      <w:color w:val="auto"/>
                      <w:sz w:val="21"/>
                      <w:szCs w:val="21"/>
                      <w:lang w:val="en-US" w:eastAsia="zh-CN"/>
                    </w:rPr>
                    <w:t>项目生产废水</w:t>
                  </w:r>
                  <w:r>
                    <w:rPr>
                      <w:rFonts w:hint="eastAsia" w:cs="Times New Roman"/>
                      <w:color w:val="auto"/>
                      <w:sz w:val="21"/>
                      <w:szCs w:val="21"/>
                      <w:lang w:val="en-US" w:eastAsia="zh-CN"/>
                    </w:rPr>
                    <w:t>经过污水处理设施处理达标排放至市政污水管网送往福清市第二污水处理厂处理；</w:t>
                  </w:r>
                  <w:r>
                    <w:rPr>
                      <w:rFonts w:hint="eastAsia" w:ascii="Times New Roman" w:hAnsi="Times New Roman" w:eastAsia="宋体" w:cs="Times New Roman"/>
                      <w:color w:val="auto"/>
                      <w:sz w:val="21"/>
                      <w:szCs w:val="21"/>
                      <w:lang w:val="en-US" w:eastAsia="zh-CN"/>
                    </w:rPr>
                    <w:t>生活污水经化粪池处理达标后排入市政污水管网</w:t>
                  </w:r>
                  <w:r>
                    <w:rPr>
                      <w:rFonts w:hint="eastAsia" w:cs="Times New Roman"/>
                      <w:color w:val="auto"/>
                      <w:sz w:val="21"/>
                      <w:szCs w:val="21"/>
                      <w:lang w:val="en-US" w:eastAsia="zh-CN"/>
                    </w:rPr>
                    <w:t>送往福清市第二污水处理厂处理</w:t>
                  </w:r>
                </w:p>
              </w:tc>
              <w:tc>
                <w:tcPr>
                  <w:tcW w:w="662" w:type="dxa"/>
                  <w:tcBorders>
                    <w:top w:val="single" w:color="000000" w:sz="12" w:space="0"/>
                  </w:tcBorders>
                  <w:vAlign w:val="center"/>
                </w:tcPr>
                <w:p w14:paraId="6720A63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B2E6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vAlign w:val="center"/>
                </w:tcPr>
                <w:p w14:paraId="3BA437D3">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vAlign w:val="center"/>
                </w:tcPr>
                <w:p w14:paraId="1032C167">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636" w:type="dxa"/>
                  <w:vAlign w:val="center"/>
                </w:tcPr>
                <w:p w14:paraId="3626C7D9">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1.</w:t>
                  </w:r>
                  <w:r>
                    <w:rPr>
                      <w:rFonts w:hint="default" w:ascii="Times New Roman" w:hAnsi="Times New Roman" w:eastAsia="宋体" w:cs="Times New Roman"/>
                      <w:color w:val="auto"/>
                      <w:sz w:val="21"/>
                      <w:szCs w:val="21"/>
                    </w:rPr>
                    <w:t>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。涉新增VOC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排放项目，VOC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排放实行区域内等量替代。福州、厦门、漳州、泉州、莆田、宁德等6个重点控制区可实施倍量替代。</w:t>
                  </w:r>
                </w:p>
                <w:p w14:paraId="02997E95">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2.</w:t>
                  </w:r>
                  <w:r>
                    <w:rPr>
                      <w:rFonts w:hint="default" w:ascii="Times New Roman" w:hAnsi="Times New Roman" w:eastAsia="宋体" w:cs="Times New Roman"/>
                      <w:color w:val="auto"/>
                      <w:sz w:val="21"/>
                      <w:szCs w:val="21"/>
                    </w:rPr>
                    <w:t>新建水泥、有色金属项目应执行大气污染物特别排放限值，钢铁项目应执行超低排放指标要求，火电项目应达到超低排放限值。</w:t>
                  </w:r>
                </w:p>
                <w:p w14:paraId="04F15085">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3.</w:t>
                  </w:r>
                  <w:r>
                    <w:rPr>
                      <w:rFonts w:hint="default" w:ascii="Times New Roman" w:hAnsi="Times New Roman" w:eastAsia="宋体" w:cs="Times New Roman"/>
                      <w:color w:val="auto"/>
                      <w:sz w:val="21"/>
                      <w:szCs w:val="21"/>
                    </w:rPr>
                    <w:t>尾水排入近岸海域汇水区域、“六江两溪”流域以及湖泊、水库等封闭、半封闭水域的城镇污水处理设施执行不低于一级A排放标准。</w:t>
                  </w:r>
                </w:p>
              </w:tc>
              <w:tc>
                <w:tcPr>
                  <w:tcW w:w="1727" w:type="dxa"/>
                  <w:vAlign w:val="center"/>
                </w:tcPr>
                <w:p w14:paraId="56F5518B">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shd w:val="clear" w:fill="FFFF00"/>
                    </w:rPr>
                  </w:pPr>
                  <w:r>
                    <w:rPr>
                      <w:rFonts w:hint="eastAsia" w:cs="Times New Roman"/>
                      <w:color w:val="auto"/>
                      <w:sz w:val="21"/>
                      <w:szCs w:val="21"/>
                      <w:lang w:eastAsia="zh-CN"/>
                    </w:rPr>
                    <w:t>1.</w:t>
                  </w:r>
                  <w:r>
                    <w:rPr>
                      <w:rFonts w:hint="default" w:ascii="Times New Roman" w:hAnsi="Times New Roman" w:eastAsia="宋体" w:cs="Times New Roman"/>
                      <w:color w:val="auto"/>
                      <w:sz w:val="21"/>
                      <w:szCs w:val="21"/>
                      <w:lang w:val="en-US" w:eastAsia="zh-CN"/>
                    </w:rPr>
                    <w:t>项目位于</w:t>
                  </w:r>
                  <w:r>
                    <w:rPr>
                      <w:rFonts w:hint="eastAsia" w:cs="Times New Roman"/>
                      <w:color w:val="auto"/>
                      <w:sz w:val="21"/>
                      <w:szCs w:val="21"/>
                      <w:lang w:val="en-US" w:eastAsia="zh-CN"/>
                    </w:rPr>
                    <w:t>福建省福州市福清市镜洋镇工业区（租赁福州鼎力机械有限公司内铸造车间1号）</w:t>
                  </w:r>
                  <w:r>
                    <w:rPr>
                      <w:rFonts w:hint="default" w:ascii="Times New Roman" w:hAnsi="Times New Roman" w:eastAsia="宋体" w:cs="Times New Roman"/>
                      <w:color w:val="auto"/>
                      <w:sz w:val="21"/>
                      <w:szCs w:val="21"/>
                      <w:shd w:val="clear"/>
                      <w:lang w:val="en-US" w:eastAsia="zh-CN"/>
                    </w:rPr>
                    <w:t>，属于其规定的污染物管控区域。项目涉VOCs排放，建设单位将严格按照文件规定要求对VOCs总量进行调剂。</w:t>
                  </w:r>
                </w:p>
                <w:p w14:paraId="148067C1">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2.</w:t>
                  </w:r>
                  <w:r>
                    <w:rPr>
                      <w:rFonts w:hint="default" w:ascii="Times New Roman" w:hAnsi="Times New Roman" w:eastAsia="宋体" w:cs="Times New Roman"/>
                      <w:color w:val="auto"/>
                      <w:sz w:val="21"/>
                      <w:szCs w:val="21"/>
                    </w:rPr>
                    <w:t>项目不属于水泥、有色金属、钢铁、火电项目。</w:t>
                  </w:r>
                </w:p>
                <w:p w14:paraId="695FC691">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3.</w:t>
                  </w:r>
                  <w:r>
                    <w:rPr>
                      <w:rFonts w:hint="eastAsia" w:ascii="Times New Roman" w:hAnsi="Times New Roman" w:eastAsia="宋体" w:cs="Times New Roman"/>
                      <w:color w:val="auto"/>
                      <w:sz w:val="21"/>
                      <w:szCs w:val="21"/>
                      <w:lang w:val="en-US" w:eastAsia="zh-CN"/>
                    </w:rPr>
                    <w:t>项目无生产废水排放，生活污水经化粪池处理达标后排入市政污水管网</w:t>
                  </w:r>
                </w:p>
              </w:tc>
              <w:tc>
                <w:tcPr>
                  <w:tcW w:w="662" w:type="dxa"/>
                  <w:vAlign w:val="center"/>
                </w:tcPr>
                <w:p w14:paraId="2E47C522">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42298473">
            <w:pPr>
              <w:pStyle w:val="46"/>
              <w:ind w:firstLine="480"/>
              <w:rPr>
                <w:rFonts w:hint="eastAsia" w:ascii="Times New Roman" w:hAnsi="Times New Roman" w:eastAsia="宋体" w:cs="宋体"/>
                <w:color w:val="auto"/>
                <w:kern w:val="0"/>
                <w:szCs w:val="21"/>
                <w:highlight w:val="none"/>
                <w:lang w:val="en-GB"/>
              </w:rPr>
            </w:pPr>
            <w:r>
              <w:rPr>
                <w:rFonts w:hint="eastAsia" w:cs="宋体"/>
                <w:color w:val="auto"/>
                <w:kern w:val="0"/>
                <w:szCs w:val="21"/>
                <w:highlight w:val="none"/>
                <w:lang w:val="en-GB" w:eastAsia="zh-CN"/>
              </w:rPr>
              <w:t>（2）</w:t>
            </w:r>
            <w:r>
              <w:rPr>
                <w:rFonts w:hint="eastAsia" w:ascii="Times New Roman" w:hAnsi="Times New Roman" w:eastAsia="宋体" w:cs="宋体"/>
                <w:color w:val="auto"/>
                <w:kern w:val="0"/>
                <w:szCs w:val="21"/>
                <w:highlight w:val="none"/>
                <w:lang w:val="en-US" w:eastAsia="zh-CN"/>
              </w:rPr>
              <w:t>与“《福州市生态环境局关于发布福州市2024年生态环境分区管控动态更新成果的通知》（榕环保综〔2025〕1号）”符合性分析</w:t>
            </w:r>
          </w:p>
          <w:p w14:paraId="048E0CB7">
            <w:pPr>
              <w:pStyle w:val="46"/>
              <w:ind w:firstLine="480"/>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根据《福州市生态环境局关于发布福州市2024年生态环境分区管控动态更新成果的通知》（榕环保综〔2025〕1号）相关要求，本项目与管控要求的符合性分析详如下：</w:t>
            </w:r>
          </w:p>
          <w:p w14:paraId="7740A631">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①与福州市全市总体准入要求的符合性分析</w:t>
            </w:r>
          </w:p>
          <w:p w14:paraId="2E80CDBA">
            <w:pPr>
              <w:pStyle w:val="44"/>
              <w:keepNext w:val="0"/>
              <w:keepLines w:val="0"/>
              <w:pageBreakBefore w:val="0"/>
              <w:widowControl w:val="0"/>
              <w:numPr>
                <w:ilvl w:val="7"/>
                <w:numId w:val="0"/>
              </w:numPr>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rightChars="0"/>
              <w:jc w:val="both"/>
              <w:textAlignment w:val="auto"/>
              <w:rPr>
                <w:rFonts w:hint="eastAsia" w:ascii="Times New Roman" w:hAnsi="Times New Roman" w:eastAsia="宋体" w:cs="宋体"/>
                <w:color w:val="auto"/>
                <w:lang w:val="en-US" w:eastAsia="zh-CN"/>
              </w:rPr>
            </w:pPr>
          </w:p>
          <w:p w14:paraId="650D35BB">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color w:val="auto"/>
                <w:lang w:val="en-US" w:eastAsia="zh-CN"/>
              </w:rPr>
            </w:pPr>
            <w:r>
              <w:rPr>
                <w:rFonts w:hint="eastAsia"/>
                <w:color w:val="auto"/>
                <w:lang w:eastAsia="zh-CN"/>
              </w:rPr>
              <w:t>项目与《</w:t>
            </w:r>
            <w:r>
              <w:rPr>
                <w:rFonts w:hint="eastAsia"/>
                <w:color w:val="auto"/>
                <w:lang w:val="en-US" w:eastAsia="zh-CN"/>
              </w:rPr>
              <w:t>福州市</w:t>
            </w:r>
            <w:r>
              <w:rPr>
                <w:rFonts w:hint="eastAsia"/>
                <w:color w:val="auto"/>
                <w:lang w:eastAsia="zh-CN"/>
              </w:rPr>
              <w:t>生态环境总体准入要求》符合性分析</w:t>
            </w:r>
          </w:p>
          <w:tbl>
            <w:tblPr>
              <w:tblStyle w:val="34"/>
              <w:tblW w:w="7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9"/>
              <w:gridCol w:w="3887"/>
              <w:gridCol w:w="1736"/>
              <w:gridCol w:w="666"/>
            </w:tblGrid>
            <w:tr w14:paraId="45CDD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6" w:type="dxa"/>
                  <w:gridSpan w:val="2"/>
                  <w:tcBorders>
                    <w:bottom w:val="single" w:color="000000" w:sz="12" w:space="0"/>
                    <w:tl2br w:val="nil"/>
                    <w:tr2bl w:val="nil"/>
                  </w:tcBorders>
                  <w:shd w:val="clear" w:color="auto" w:fill="auto"/>
                  <w:vAlign w:val="center"/>
                </w:tcPr>
                <w:p w14:paraId="4C1A350B">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准入要求</w:t>
                  </w:r>
                </w:p>
              </w:tc>
              <w:tc>
                <w:tcPr>
                  <w:tcW w:w="1736" w:type="dxa"/>
                  <w:tcBorders>
                    <w:bottom w:val="single" w:color="000000" w:sz="12" w:space="0"/>
                    <w:tl2br w:val="nil"/>
                    <w:tr2bl w:val="nil"/>
                  </w:tcBorders>
                  <w:shd w:val="clear" w:color="auto" w:fill="auto"/>
                  <w:vAlign w:val="center"/>
                </w:tcPr>
                <w:p w14:paraId="51A37D1C">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本项目</w:t>
                  </w:r>
                </w:p>
              </w:tc>
              <w:tc>
                <w:tcPr>
                  <w:tcW w:w="666" w:type="dxa"/>
                  <w:tcBorders>
                    <w:bottom w:val="single" w:color="000000" w:sz="12" w:space="0"/>
                    <w:tl2br w:val="nil"/>
                    <w:tr2bl w:val="nil"/>
                  </w:tcBorders>
                  <w:shd w:val="clear" w:color="auto" w:fill="auto"/>
                  <w:vAlign w:val="center"/>
                </w:tcPr>
                <w:p w14:paraId="00C8C197">
                  <w:pPr>
                    <w:pStyle w:val="92"/>
                    <w:keepNext w:val="0"/>
                    <w:keepLines w:val="0"/>
                    <w:widowControl/>
                    <w:suppressLineNumbers w:val="0"/>
                    <w:spacing w:before="0" w:beforeAutospacing="0" w:after="0" w:afterAutospacing="0"/>
                    <w:ind w:left="0" w:right="0"/>
                    <w:rPr>
                      <w:rFonts w:hint="default"/>
                      <w:color w:val="auto"/>
                      <w:lang w:val="en-US"/>
                    </w:rPr>
                  </w:pPr>
                  <w:r>
                    <w:rPr>
                      <w:rFonts w:hint="eastAsia" w:cs="Times New Roman"/>
                      <w:color w:val="auto"/>
                      <w:spacing w:val="7"/>
                      <w:sz w:val="21"/>
                      <w:szCs w:val="21"/>
                      <w:lang w:val="en-US" w:eastAsia="zh-CN"/>
                    </w:rPr>
                    <w:t>符合性</w:t>
                  </w:r>
                </w:p>
              </w:tc>
            </w:tr>
            <w:tr w14:paraId="16DAC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op w:val="single" w:color="000000" w:sz="12" w:space="0"/>
                    <w:tl2br w:val="nil"/>
                    <w:tr2bl w:val="nil"/>
                  </w:tcBorders>
                  <w:shd w:val="clear" w:color="auto" w:fill="auto"/>
                  <w:vAlign w:val="center"/>
                </w:tcPr>
                <w:p w14:paraId="1C5374DA">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空间布局</w:t>
                  </w:r>
                </w:p>
              </w:tc>
              <w:tc>
                <w:tcPr>
                  <w:tcW w:w="3887" w:type="dxa"/>
                  <w:tcBorders>
                    <w:top w:val="single" w:color="000000" w:sz="12" w:space="0"/>
                    <w:tl2br w:val="nil"/>
                    <w:tr2bl w:val="nil"/>
                  </w:tcBorders>
                  <w:shd w:val="clear" w:color="auto" w:fill="auto"/>
                  <w:vAlign w:val="center"/>
                </w:tcPr>
                <w:p w14:paraId="6856DABF">
                  <w:pPr>
                    <w:pStyle w:val="92"/>
                    <w:keepNext w:val="0"/>
                    <w:keepLines w:val="0"/>
                    <w:widowControl/>
                    <w:numPr>
                      <w:ilvl w:val="0"/>
                      <w:numId w:val="0"/>
                    </w:numPr>
                    <w:suppressLineNumbers w:val="0"/>
                    <w:spacing w:before="0" w:beforeAutospacing="0" w:after="0" w:afterAutospacing="0"/>
                    <w:ind w:right="0" w:rightChars="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SA"/>
                    </w:rPr>
                    <w:t>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color w:val="auto"/>
                      <w:kern w:val="2"/>
                      <w:sz w:val="21"/>
                      <w:szCs w:val="21"/>
                      <w:lang w:val="en-US" w:eastAsia="zh-CN" w:bidi="ar-SA"/>
                    </w:rPr>
                    <w:t>行严</w:t>
                  </w:r>
                  <w:r>
                    <w:rPr>
                      <w:rFonts w:hint="default" w:ascii="Times New Roman" w:hAnsi="Times New Roman" w:eastAsia="宋体" w:cs="Times New Roman"/>
                      <w:color w:val="auto"/>
                      <w:kern w:val="2"/>
                      <w:sz w:val="21"/>
                      <w:szCs w:val="21"/>
                      <w:lang w:val="en-US" w:eastAsia="zh-CN" w:bidi="ar-SA"/>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36" w:type="dxa"/>
                  <w:tcBorders>
                    <w:top w:val="single" w:color="000000" w:sz="12" w:space="0"/>
                    <w:tl2br w:val="nil"/>
                    <w:tr2bl w:val="nil"/>
                  </w:tcBorders>
                  <w:shd w:val="clear" w:color="auto" w:fill="auto"/>
                  <w:vAlign w:val="center"/>
                </w:tcPr>
                <w:p w14:paraId="7693E5DA">
                  <w:pPr>
                    <w:keepNext w:val="0"/>
                    <w:keepLines w:val="0"/>
                    <w:widowControl/>
                    <w:suppressLineNumbers w:val="0"/>
                    <w:spacing w:before="0" w:beforeAutospacing="0" w:after="0" w:afterAutospacing="0"/>
                    <w:ind w:left="0" w:right="0"/>
                    <w:jc w:val="both"/>
                    <w:rPr>
                      <w:rFonts w:hint="default" w:eastAsia="宋体"/>
                      <w:color w:val="auto"/>
                      <w:lang w:val="en-US" w:eastAsia="zh-CN"/>
                    </w:rPr>
                  </w:pPr>
                  <w:r>
                    <w:rPr>
                      <w:rFonts w:hint="eastAsia" w:ascii="Times New Roman" w:hAnsi="Times New Roman" w:eastAsia="宋体" w:cs="Times New Roman"/>
                      <w:color w:val="auto"/>
                      <w:kern w:val="2"/>
                      <w:sz w:val="21"/>
                      <w:szCs w:val="21"/>
                      <w:shd w:val="clear"/>
                      <w:lang w:val="en-US" w:eastAsia="zh-CN" w:bidi="ar-SA"/>
                    </w:rPr>
                    <w:t>本项目主要从事</w:t>
                  </w:r>
                  <w:r>
                    <w:rPr>
                      <w:rFonts w:hint="eastAsia" w:cs="Times New Roman"/>
                      <w:color w:val="auto"/>
                      <w:kern w:val="2"/>
                      <w:sz w:val="21"/>
                      <w:szCs w:val="21"/>
                      <w:shd w:val="clear"/>
                      <w:lang w:val="en-US" w:eastAsia="zh-CN" w:bidi="ar-SA"/>
                    </w:rPr>
                    <w:t>汽车桌椅骨架</w:t>
                  </w:r>
                  <w:r>
                    <w:rPr>
                      <w:rFonts w:hint="eastAsia" w:ascii="Times New Roman" w:hAnsi="Times New Roman" w:eastAsia="宋体" w:cs="Times New Roman"/>
                      <w:color w:val="auto"/>
                      <w:kern w:val="2"/>
                      <w:sz w:val="21"/>
                      <w:szCs w:val="21"/>
                      <w:shd w:val="clear"/>
                      <w:lang w:val="en-US" w:eastAsia="zh-CN" w:bidi="ar-SA"/>
                    </w:rPr>
                    <w:t>的生产加工，位于</w:t>
                  </w:r>
                  <w:r>
                    <w:rPr>
                      <w:rFonts w:hint="eastAsia" w:cs="Times New Roman"/>
                      <w:color w:val="auto"/>
                      <w:sz w:val="21"/>
                      <w:szCs w:val="21"/>
                      <w:lang w:val="en-US" w:eastAsia="zh-CN"/>
                    </w:rPr>
                    <w:t>福建省福州市福清市镜洋镇工业区（租赁福州鼎力机械有限公司内铸造车间1号）</w:t>
                  </w:r>
                  <w:r>
                    <w:rPr>
                      <w:rFonts w:hint="eastAsia" w:ascii="Times New Roman" w:hAnsi="Times New Roman" w:eastAsia="宋体" w:cs="Times New Roman"/>
                      <w:color w:val="auto"/>
                      <w:kern w:val="2"/>
                      <w:sz w:val="21"/>
                      <w:szCs w:val="21"/>
                      <w:shd w:val="clear"/>
                      <w:lang w:val="en-US" w:eastAsia="zh-CN" w:bidi="ar-SA"/>
                    </w:rPr>
                    <w:t>，项目建设与空间布局约束要求不冲突</w:t>
                  </w:r>
                  <w:r>
                    <w:rPr>
                      <w:rFonts w:hint="eastAsia" w:cs="Times New Roman"/>
                      <w:color w:val="auto"/>
                      <w:kern w:val="2"/>
                      <w:sz w:val="21"/>
                      <w:szCs w:val="21"/>
                      <w:shd w:val="clear"/>
                      <w:lang w:val="en-US" w:eastAsia="zh-CN" w:bidi="ar-SA"/>
                    </w:rPr>
                    <w:t>。</w:t>
                  </w:r>
                </w:p>
              </w:tc>
              <w:tc>
                <w:tcPr>
                  <w:tcW w:w="666" w:type="dxa"/>
                  <w:tcBorders>
                    <w:top w:val="single" w:color="000000" w:sz="12" w:space="0"/>
                    <w:tl2br w:val="nil"/>
                    <w:tr2bl w:val="nil"/>
                  </w:tcBorders>
                  <w:shd w:val="clear" w:color="auto" w:fill="auto"/>
                  <w:vAlign w:val="center"/>
                </w:tcPr>
                <w:p w14:paraId="70521A4B">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符合</w:t>
                  </w:r>
                </w:p>
              </w:tc>
            </w:tr>
            <w:tr w14:paraId="63A7F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09" w:type="dxa"/>
                  <w:tcBorders>
                    <w:tl2br w:val="nil"/>
                    <w:tr2bl w:val="nil"/>
                  </w:tcBorders>
                  <w:shd w:val="clear" w:color="auto" w:fill="auto"/>
                  <w:vAlign w:val="center"/>
                </w:tcPr>
                <w:p w14:paraId="6EA4B472">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污染物排放管控</w:t>
                  </w:r>
                </w:p>
              </w:tc>
              <w:tc>
                <w:tcPr>
                  <w:tcW w:w="3887" w:type="dxa"/>
                  <w:tcBorders>
                    <w:tl2br w:val="nil"/>
                    <w:tr2bl w:val="nil"/>
                  </w:tcBorders>
                  <w:shd w:val="clear" w:color="auto" w:fill="auto"/>
                  <w:vAlign w:val="center"/>
                </w:tcPr>
                <w:p w14:paraId="235E2B76">
                  <w:pPr>
                    <w:pStyle w:val="30"/>
                    <w:keepNext w:val="0"/>
                    <w:keepLines w:val="0"/>
                    <w:widowControl/>
                    <w:numPr>
                      <w:ilvl w:val="0"/>
                      <w:numId w:val="0"/>
                    </w:numPr>
                    <w:suppressLineNumbers w:val="0"/>
                    <w:spacing w:before="0" w:beforeAutospacing="0" w:after="0" w:afterAutospacing="0" w:line="264" w:lineRule="auto"/>
                    <w:ind w:leftChars="0" w:right="0" w:rightChars="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无）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3］［4］。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36" w:type="dxa"/>
                  <w:tcBorders>
                    <w:tl2br w:val="nil"/>
                    <w:tr2bl w:val="nil"/>
                  </w:tcBorders>
                  <w:shd w:val="clear" w:color="auto" w:fill="auto"/>
                  <w:vAlign w:val="center"/>
                </w:tcPr>
                <w:p w14:paraId="58A55EB8">
                  <w:pPr>
                    <w:pStyle w:val="92"/>
                    <w:keepNext w:val="0"/>
                    <w:keepLines w:val="0"/>
                    <w:widowControl/>
                    <w:suppressLineNumbers w:val="0"/>
                    <w:spacing w:before="0" w:beforeAutospacing="0" w:after="0" w:afterAutospacing="0"/>
                    <w:ind w:left="0" w:right="0"/>
                    <w:jc w:val="both"/>
                    <w:rPr>
                      <w:rFonts w:hint="default" w:eastAsia="宋体"/>
                      <w:color w:val="auto"/>
                      <w:lang w:val="en-US" w:eastAsia="zh-CN"/>
                    </w:rPr>
                  </w:pPr>
                  <w:r>
                    <w:rPr>
                      <w:rFonts w:hint="eastAsia"/>
                      <w:color w:val="auto"/>
                      <w:lang w:val="en-US" w:eastAsia="zh-CN"/>
                    </w:rPr>
                    <w:t>1.</w:t>
                  </w:r>
                  <w:r>
                    <w:rPr>
                      <w:rFonts w:hint="eastAsia"/>
                      <w:color w:val="auto"/>
                      <w:shd w:val="clear"/>
                      <w:lang w:val="en-US" w:eastAsia="zh-CN"/>
                    </w:rPr>
                    <w:t>项目位于</w:t>
                  </w:r>
                  <w:r>
                    <w:rPr>
                      <w:rFonts w:hint="eastAsia" w:cs="Times New Roman"/>
                      <w:color w:val="auto"/>
                      <w:sz w:val="21"/>
                      <w:szCs w:val="21"/>
                      <w:lang w:val="en-US" w:eastAsia="zh-CN"/>
                    </w:rPr>
                    <w:t>福建省福州市福清市镜洋镇工业区（租赁福州鼎力机械有限公司内铸造车间1号）</w:t>
                  </w:r>
                  <w:r>
                    <w:rPr>
                      <w:rFonts w:hint="eastAsia"/>
                      <w:color w:val="auto"/>
                      <w:shd w:val="clear"/>
                      <w:lang w:val="en-US" w:eastAsia="zh-CN"/>
                    </w:rPr>
                    <w:t>，属于其规定的污染物管控区域。项目涉VOCs排放，建设单位将严格按照文件规定要求对VOCs总量进行调剂。2、项目主要从事汽车座椅骨架的生产加工，不属于</w:t>
                  </w:r>
                  <w:r>
                    <w:rPr>
                      <w:rFonts w:hint="default" w:ascii="Times New Roman" w:hAnsi="Times New Roman" w:eastAsia="宋体" w:cs="Times New Roman"/>
                      <w:color w:val="auto"/>
                      <w:kern w:val="0"/>
                      <w:sz w:val="21"/>
                      <w:szCs w:val="21"/>
                      <w:shd w:val="clear"/>
                      <w:lang w:val="en-US" w:eastAsia="zh-CN" w:bidi="ar"/>
                    </w:rPr>
                    <w:t>钢铁、水泥、平板玻璃、有色金属冶炼、化工</w:t>
                  </w:r>
                  <w:r>
                    <w:rPr>
                      <w:rFonts w:hint="eastAsia"/>
                      <w:color w:val="auto"/>
                      <w:shd w:val="clear"/>
                      <w:lang w:val="en-US" w:eastAsia="zh-CN"/>
                    </w:rPr>
                    <w:t>项目。</w:t>
                  </w:r>
                </w:p>
              </w:tc>
              <w:tc>
                <w:tcPr>
                  <w:tcW w:w="666" w:type="dxa"/>
                  <w:tcBorders>
                    <w:tl2br w:val="nil"/>
                    <w:tr2bl w:val="nil"/>
                  </w:tcBorders>
                  <w:shd w:val="clear" w:color="auto" w:fill="auto"/>
                  <w:vAlign w:val="center"/>
                </w:tcPr>
                <w:p w14:paraId="0A1B1A31">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符合</w:t>
                  </w:r>
                </w:p>
              </w:tc>
            </w:tr>
            <w:tr w14:paraId="7B195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7712FD06">
                  <w:pPr>
                    <w:pStyle w:val="92"/>
                    <w:keepNext w:val="0"/>
                    <w:keepLines w:val="0"/>
                    <w:widowControl/>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环境风险防控</w:t>
                  </w:r>
                </w:p>
              </w:tc>
              <w:tc>
                <w:tcPr>
                  <w:tcW w:w="3887" w:type="dxa"/>
                  <w:tcBorders>
                    <w:tl2br w:val="nil"/>
                    <w:tr2bl w:val="nil"/>
                  </w:tcBorders>
                  <w:shd w:val="clear" w:color="auto" w:fill="auto"/>
                  <w:vAlign w:val="top"/>
                </w:tcPr>
                <w:p w14:paraId="1F768CE6">
                  <w:pPr>
                    <w:pStyle w:val="92"/>
                    <w:keepNext w:val="0"/>
                    <w:keepLines w:val="0"/>
                    <w:widowControl/>
                    <w:suppressLineNumbers w:val="0"/>
                    <w:spacing w:before="0" w:beforeAutospacing="0" w:after="0" w:afterAutospacing="0"/>
                    <w:ind w:left="0" w:right="0"/>
                    <w:jc w:val="both"/>
                    <w:rPr>
                      <w:rFonts w:hint="eastAsia" w:cs="宋体"/>
                      <w:color w:val="auto"/>
                      <w:lang w:val="en-US" w:eastAsia="zh-CN"/>
                    </w:rPr>
                  </w:pPr>
                </w:p>
                <w:p w14:paraId="6565EE43">
                  <w:pPr>
                    <w:pStyle w:val="92"/>
                    <w:keepNext w:val="0"/>
                    <w:keepLines w:val="0"/>
                    <w:widowControl/>
                    <w:suppressLineNumbers w:val="0"/>
                    <w:spacing w:before="0" w:beforeAutospacing="0" w:after="0" w:afterAutospacing="0"/>
                    <w:ind w:right="0"/>
                    <w:jc w:val="center"/>
                    <w:rPr>
                      <w:rFonts w:hint="eastAsia" w:ascii="Times New Roman" w:hAnsi="Times New Roman" w:eastAsia="宋体" w:cs="宋体"/>
                      <w:color w:val="auto"/>
                      <w:lang w:val="en-US" w:eastAsia="zh-CN"/>
                    </w:rPr>
                  </w:pPr>
                  <w:r>
                    <w:rPr>
                      <w:rFonts w:hint="eastAsia" w:cs="宋体"/>
                      <w:color w:val="auto"/>
                      <w:lang w:val="en-US" w:eastAsia="zh-CN"/>
                    </w:rPr>
                    <w:t>无</w:t>
                  </w:r>
                </w:p>
              </w:tc>
              <w:tc>
                <w:tcPr>
                  <w:tcW w:w="1736" w:type="dxa"/>
                  <w:tcBorders>
                    <w:tl2br w:val="nil"/>
                    <w:tr2bl w:val="nil"/>
                  </w:tcBorders>
                  <w:shd w:val="clear" w:color="auto" w:fill="auto"/>
                  <w:vAlign w:val="center"/>
                </w:tcPr>
                <w:p w14:paraId="3B18C2DE">
                  <w:pPr>
                    <w:pStyle w:val="92"/>
                    <w:keepNext w:val="0"/>
                    <w:keepLines w:val="0"/>
                    <w:widowControl/>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w:t>
                  </w:r>
                </w:p>
              </w:tc>
              <w:tc>
                <w:tcPr>
                  <w:tcW w:w="666" w:type="dxa"/>
                  <w:tcBorders>
                    <w:tl2br w:val="nil"/>
                    <w:tr2bl w:val="nil"/>
                  </w:tcBorders>
                  <w:shd w:val="clear" w:color="auto" w:fill="auto"/>
                  <w:vAlign w:val="center"/>
                </w:tcPr>
                <w:p w14:paraId="49DB2C2C">
                  <w:pPr>
                    <w:pStyle w:val="92"/>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2ABFC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64D6833A">
                  <w:pPr>
                    <w:pStyle w:val="92"/>
                    <w:keepNext w:val="0"/>
                    <w:keepLines w:val="0"/>
                    <w:widowControl/>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资源开发效率要求</w:t>
                  </w:r>
                </w:p>
              </w:tc>
              <w:tc>
                <w:tcPr>
                  <w:tcW w:w="3887" w:type="dxa"/>
                  <w:tcBorders>
                    <w:tl2br w:val="nil"/>
                    <w:tr2bl w:val="nil"/>
                  </w:tcBorders>
                  <w:shd w:val="clear" w:color="auto" w:fill="auto"/>
                  <w:vAlign w:val="top"/>
                </w:tcPr>
                <w:p w14:paraId="5E558A1B">
                  <w:pPr>
                    <w:pStyle w:val="92"/>
                    <w:keepNext w:val="0"/>
                    <w:keepLines w:val="0"/>
                    <w:widowControl/>
                    <w:suppressLineNumbers w:val="0"/>
                    <w:spacing w:before="0" w:beforeAutospacing="0" w:after="0" w:afterAutospacing="0"/>
                    <w:ind w:left="0" w:right="0"/>
                    <w:rPr>
                      <w:rFonts w:hint="default" w:ascii="Times New Roman" w:hAnsi="Times New Roman" w:eastAsia="宋体" w:cs="宋体"/>
                      <w:color w:val="auto"/>
                      <w:lang w:val="en-US" w:eastAsia="en-US"/>
                    </w:rPr>
                  </w:pPr>
                  <w:r>
                    <w:rPr>
                      <w:rFonts w:hint="default" w:ascii="Times New Roman" w:hAnsi="Times New Roman" w:eastAsia="宋体" w:cs="宋体"/>
                      <w:color w:val="auto"/>
                      <w:lang w:val="en-US" w:eastAsia="en-US"/>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1736" w:type="dxa"/>
                  <w:tcBorders>
                    <w:tl2br w:val="nil"/>
                    <w:tr2bl w:val="nil"/>
                  </w:tcBorders>
                  <w:shd w:val="clear" w:color="auto" w:fill="auto"/>
                  <w:vAlign w:val="center"/>
                </w:tcPr>
                <w:p w14:paraId="30CC4644">
                  <w:pPr>
                    <w:pStyle w:val="92"/>
                    <w:keepNext w:val="0"/>
                    <w:keepLines w:val="0"/>
                    <w:widowControl/>
                    <w:suppressLineNumbers w:val="0"/>
                    <w:spacing w:before="0" w:beforeAutospacing="0" w:after="0" w:afterAutospacing="0"/>
                    <w:ind w:left="0" w:right="0"/>
                    <w:jc w:val="both"/>
                    <w:rPr>
                      <w:rFonts w:hint="default"/>
                      <w:color w:val="auto"/>
                      <w:lang w:val="en-US" w:eastAsia="zh-CN"/>
                    </w:rPr>
                  </w:pPr>
                  <w:r>
                    <w:rPr>
                      <w:rFonts w:hint="eastAsia"/>
                      <w:color w:val="auto"/>
                      <w:shd w:val="clear"/>
                      <w:lang w:val="en-US" w:eastAsia="zh-CN"/>
                    </w:rPr>
                    <w:t>本项目采用电能、天然气作为燃料，属于清洁能源。</w:t>
                  </w:r>
                </w:p>
              </w:tc>
              <w:tc>
                <w:tcPr>
                  <w:tcW w:w="666" w:type="dxa"/>
                  <w:tcBorders>
                    <w:tl2br w:val="nil"/>
                    <w:tr2bl w:val="nil"/>
                  </w:tcBorders>
                  <w:shd w:val="clear" w:color="auto" w:fill="auto"/>
                  <w:vAlign w:val="center"/>
                </w:tcPr>
                <w:p w14:paraId="0A6FFDE8">
                  <w:pPr>
                    <w:pStyle w:val="92"/>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rPr>
                    <w:t>符合</w:t>
                  </w:r>
                </w:p>
              </w:tc>
            </w:tr>
          </w:tbl>
          <w:p w14:paraId="462134B5">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Calibri"/>
                <w:color w:val="auto"/>
                <w:kern w:val="2"/>
                <w:sz w:val="24"/>
                <w:szCs w:val="24"/>
                <w:lang w:val="en-US" w:eastAsia="zh-CN" w:bidi="ar-SA"/>
              </w:rPr>
              <w:t>②</w:t>
            </w:r>
            <w:r>
              <w:rPr>
                <w:rFonts w:hint="eastAsia" w:ascii="Times New Roman" w:hAnsi="Times New Roman" w:eastAsia="宋体" w:cs="Times New Roman"/>
                <w:color w:val="auto"/>
                <w:kern w:val="2"/>
                <w:sz w:val="24"/>
                <w:szCs w:val="24"/>
                <w:lang w:val="en-US" w:eastAsia="zh-CN" w:bidi="ar-SA"/>
              </w:rPr>
              <w:t>与福清市生态环境准入清单符合性分析</w:t>
            </w:r>
          </w:p>
          <w:p w14:paraId="74116E97">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eastAsia="宋体"/>
                <w:color w:val="auto"/>
                <w:lang w:val="en-US" w:eastAsia="zh-CN"/>
              </w:rPr>
            </w:pPr>
            <w:r>
              <w:rPr>
                <w:rFonts w:hint="eastAsia" w:eastAsia="宋体"/>
                <w:color w:val="auto"/>
                <w:lang w:val="en-US" w:eastAsia="zh-CN"/>
              </w:rPr>
              <w:t>本项目与福清市生态环境准入清单符合性分析</w:t>
            </w:r>
          </w:p>
          <w:tbl>
            <w:tblPr>
              <w:tblStyle w:val="35"/>
              <w:tblW w:w="72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0"/>
              <w:gridCol w:w="1028"/>
              <w:gridCol w:w="642"/>
              <w:gridCol w:w="393"/>
              <w:gridCol w:w="1959"/>
              <w:gridCol w:w="1816"/>
            </w:tblGrid>
            <w:tr w14:paraId="78D23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1440" w:type="dxa"/>
                  <w:tcBorders>
                    <w:tl2br w:val="nil"/>
                    <w:tr2bl w:val="nil"/>
                  </w:tcBorders>
                  <w:vAlign w:val="center"/>
                </w:tcPr>
                <w:p w14:paraId="483BA97A">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环境管控单元编码</w:t>
                  </w:r>
                </w:p>
              </w:tc>
              <w:tc>
                <w:tcPr>
                  <w:tcW w:w="1028" w:type="dxa"/>
                  <w:tcBorders>
                    <w:tl2br w:val="nil"/>
                    <w:tr2bl w:val="nil"/>
                  </w:tcBorders>
                  <w:vAlign w:val="center"/>
                </w:tcPr>
                <w:p w14:paraId="4D62AA34">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环境管控单元名称</w:t>
                  </w:r>
                </w:p>
              </w:tc>
              <w:tc>
                <w:tcPr>
                  <w:tcW w:w="642" w:type="dxa"/>
                  <w:tcBorders>
                    <w:tl2br w:val="nil"/>
                    <w:tr2bl w:val="nil"/>
                  </w:tcBorders>
                  <w:vAlign w:val="center"/>
                </w:tcPr>
                <w:p w14:paraId="4BF051E7">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管控单元类别</w:t>
                  </w:r>
                </w:p>
              </w:tc>
              <w:tc>
                <w:tcPr>
                  <w:tcW w:w="2352" w:type="dxa"/>
                  <w:gridSpan w:val="2"/>
                  <w:tcBorders>
                    <w:tl2br w:val="nil"/>
                    <w:tr2bl w:val="nil"/>
                  </w:tcBorders>
                  <w:vAlign w:val="center"/>
                </w:tcPr>
                <w:p w14:paraId="03C7216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管控要求</w:t>
                  </w:r>
                </w:p>
              </w:tc>
              <w:tc>
                <w:tcPr>
                  <w:tcW w:w="1816" w:type="dxa"/>
                  <w:tcBorders>
                    <w:tl2br w:val="nil"/>
                    <w:tr2bl w:val="nil"/>
                  </w:tcBorders>
                  <w:vAlign w:val="center"/>
                </w:tcPr>
                <w:p w14:paraId="6867F4ED">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符合性</w:t>
                  </w:r>
                </w:p>
              </w:tc>
            </w:tr>
            <w:tr w14:paraId="510EF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440" w:type="dxa"/>
                  <w:vMerge w:val="restart"/>
                  <w:tcBorders>
                    <w:tl2br w:val="nil"/>
                    <w:tr2bl w:val="nil"/>
                  </w:tcBorders>
                  <w:vAlign w:val="center"/>
                </w:tcPr>
                <w:p w14:paraId="237E44E0">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ZH35018120008</w:t>
                  </w:r>
                </w:p>
              </w:tc>
              <w:tc>
                <w:tcPr>
                  <w:tcW w:w="1028" w:type="dxa"/>
                  <w:vMerge w:val="restart"/>
                  <w:tcBorders>
                    <w:tl2br w:val="nil"/>
                    <w:tr2bl w:val="nil"/>
                  </w:tcBorders>
                  <w:vAlign w:val="center"/>
                </w:tcPr>
                <w:p w14:paraId="1E1B0609">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福清市重点管控单元1</w:t>
                  </w:r>
                </w:p>
              </w:tc>
              <w:tc>
                <w:tcPr>
                  <w:tcW w:w="642" w:type="dxa"/>
                  <w:vMerge w:val="restart"/>
                  <w:tcBorders>
                    <w:tl2br w:val="nil"/>
                    <w:tr2bl w:val="nil"/>
                  </w:tcBorders>
                  <w:vAlign w:val="center"/>
                </w:tcPr>
                <w:p w14:paraId="71A19293">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重点管控单元</w:t>
                  </w:r>
                </w:p>
              </w:tc>
              <w:tc>
                <w:tcPr>
                  <w:tcW w:w="393" w:type="dxa"/>
                  <w:tcBorders>
                    <w:tl2br w:val="nil"/>
                    <w:tr2bl w:val="nil"/>
                  </w:tcBorders>
                  <w:vAlign w:val="center"/>
                </w:tcPr>
                <w:p w14:paraId="649F54CA">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空间布局约束</w:t>
                  </w:r>
                </w:p>
              </w:tc>
              <w:tc>
                <w:tcPr>
                  <w:tcW w:w="1959" w:type="dxa"/>
                  <w:tcBorders>
                    <w:tl2br w:val="nil"/>
                    <w:tr2bl w:val="nil"/>
                  </w:tcBorders>
                  <w:vAlign w:val="center"/>
                </w:tcPr>
                <w:p w14:paraId="74ACE3D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816" w:type="dxa"/>
                  <w:tcBorders>
                    <w:tl2br w:val="nil"/>
                    <w:tr2bl w:val="nil"/>
                  </w:tcBorders>
                  <w:vAlign w:val="center"/>
                </w:tcPr>
                <w:p w14:paraId="6585F0E1">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1.本项目主要从事加工汽车座椅骨架，不属于有色金属、印染</w:t>
                  </w:r>
                  <w:r>
                    <w:rPr>
                      <w:rFonts w:hint="default" w:ascii="Times New Roman" w:hAnsi="Times New Roman" w:eastAsia="宋体" w:cs="Times New Roman"/>
                      <w:color w:val="auto"/>
                      <w:sz w:val="21"/>
                      <w:szCs w:val="21"/>
                      <w:highlight w:val="none"/>
                      <w:lang w:val="en-US" w:eastAsia="zh-CN"/>
                    </w:rPr>
                    <w:t>原料药制造、化工等企业</w:t>
                  </w:r>
                  <w:r>
                    <w:rPr>
                      <w:rFonts w:hint="eastAsia" w:ascii="Times New Roman" w:hAnsi="Times New Roman" w:eastAsia="宋体" w:cs="Times New Roman"/>
                      <w:color w:val="auto"/>
                      <w:sz w:val="21"/>
                      <w:szCs w:val="21"/>
                      <w:highlight w:val="none"/>
                      <w:lang w:val="en-US" w:eastAsia="zh-CN"/>
                    </w:rPr>
                    <w:t>；</w:t>
                  </w:r>
                </w:p>
                <w:p w14:paraId="096EB5D7">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2.本项目使用低VOCs含量的原料，不属于</w:t>
                  </w:r>
                  <w:r>
                    <w:rPr>
                      <w:rFonts w:hint="default" w:ascii="Times New Roman" w:hAnsi="Times New Roman" w:eastAsia="宋体" w:cs="Times New Roman"/>
                      <w:color w:val="auto"/>
                      <w:sz w:val="21"/>
                      <w:szCs w:val="21"/>
                      <w:highlight w:val="none"/>
                      <w:lang w:val="en-US" w:eastAsia="zh-CN"/>
                    </w:rPr>
                    <w:t>高VOCs排放的项目</w:t>
                  </w:r>
                  <w:r>
                    <w:rPr>
                      <w:rFonts w:hint="eastAsia" w:ascii="Times New Roman" w:hAnsi="Times New Roman" w:eastAsia="宋体" w:cs="Times New Roman"/>
                      <w:color w:val="auto"/>
                      <w:sz w:val="21"/>
                      <w:szCs w:val="21"/>
                      <w:highlight w:val="none"/>
                      <w:lang w:val="en-US" w:eastAsia="zh-CN"/>
                    </w:rPr>
                    <w:t>；</w:t>
                  </w:r>
                </w:p>
                <w:p w14:paraId="20D5CC8D">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3.项目租赁</w:t>
                  </w:r>
                  <w:r>
                    <w:rPr>
                      <w:rFonts w:hint="eastAsia" w:cs="Times New Roman"/>
                      <w:color w:val="auto"/>
                      <w:sz w:val="21"/>
                      <w:szCs w:val="21"/>
                      <w:highlight w:val="none"/>
                      <w:lang w:val="en-US" w:eastAsia="zh-CN"/>
                    </w:rPr>
                    <w:t>福州鼎力机械有限公司</w:t>
                  </w:r>
                  <w:r>
                    <w:rPr>
                      <w:rFonts w:hint="eastAsia" w:ascii="Times New Roman" w:hAnsi="Times New Roman" w:eastAsia="宋体" w:cs="Times New Roman"/>
                      <w:color w:val="auto"/>
                      <w:sz w:val="21"/>
                      <w:szCs w:val="21"/>
                      <w:highlight w:val="none"/>
                      <w:lang w:val="en-US" w:eastAsia="zh-CN"/>
                    </w:rPr>
                    <w:t>现有厂房，不属于</w:t>
                  </w:r>
                  <w:r>
                    <w:rPr>
                      <w:rFonts w:hint="default" w:ascii="Times New Roman" w:hAnsi="Times New Roman" w:eastAsia="宋体" w:cs="Times New Roman"/>
                      <w:color w:val="auto"/>
                      <w:sz w:val="21"/>
                      <w:szCs w:val="21"/>
                      <w:highlight w:val="none"/>
                      <w:lang w:val="en-US" w:eastAsia="zh-CN"/>
                    </w:rPr>
                    <w:t>建设用地污染地块名录及开发利用负面清单的土地</w:t>
                  </w:r>
                  <w:r>
                    <w:rPr>
                      <w:rFonts w:hint="eastAsia" w:ascii="Times New Roman" w:hAnsi="Times New Roman" w:eastAsia="宋体" w:cs="Times New Roman"/>
                      <w:color w:val="auto"/>
                      <w:sz w:val="21"/>
                      <w:szCs w:val="21"/>
                      <w:highlight w:val="none"/>
                      <w:lang w:val="en-US" w:eastAsia="zh-CN"/>
                    </w:rPr>
                    <w:t>。符合</w:t>
                  </w:r>
                </w:p>
              </w:tc>
            </w:tr>
            <w:tr w14:paraId="47F3A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440" w:type="dxa"/>
                  <w:vMerge w:val="continue"/>
                  <w:tcBorders>
                    <w:tl2br w:val="nil"/>
                    <w:tr2bl w:val="nil"/>
                  </w:tcBorders>
                  <w:vAlign w:val="center"/>
                </w:tcPr>
                <w:p w14:paraId="66B018BE">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1028" w:type="dxa"/>
                  <w:vMerge w:val="continue"/>
                  <w:tcBorders>
                    <w:tl2br w:val="nil"/>
                    <w:tr2bl w:val="nil"/>
                  </w:tcBorders>
                  <w:vAlign w:val="center"/>
                </w:tcPr>
                <w:p w14:paraId="287B9388">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642" w:type="dxa"/>
                  <w:vMerge w:val="continue"/>
                  <w:tcBorders>
                    <w:tl2br w:val="nil"/>
                    <w:tr2bl w:val="nil"/>
                  </w:tcBorders>
                  <w:vAlign w:val="center"/>
                </w:tcPr>
                <w:p w14:paraId="50A94682">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93" w:type="dxa"/>
                  <w:tcBorders>
                    <w:tl2br w:val="nil"/>
                    <w:tr2bl w:val="nil"/>
                  </w:tcBorders>
                  <w:vAlign w:val="center"/>
                </w:tcPr>
                <w:p w14:paraId="1783E308">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污染物排放管控</w:t>
                  </w:r>
                </w:p>
              </w:tc>
              <w:tc>
                <w:tcPr>
                  <w:tcW w:w="1959" w:type="dxa"/>
                  <w:tcBorders>
                    <w:tl2br w:val="nil"/>
                    <w:tr2bl w:val="nil"/>
                  </w:tcBorders>
                  <w:vAlign w:val="center"/>
                </w:tcPr>
                <w:p w14:paraId="0FF71AA3">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落实新增二氧化硫、氮氧化物和VOCs排放总量控制要求。</w:t>
                  </w:r>
                </w:p>
              </w:tc>
              <w:tc>
                <w:tcPr>
                  <w:tcW w:w="1816" w:type="dxa"/>
                  <w:tcBorders>
                    <w:tl2br w:val="nil"/>
                    <w:tr2bl w:val="nil"/>
                  </w:tcBorders>
                  <w:vAlign w:val="center"/>
                </w:tcPr>
                <w:p w14:paraId="58D5E3C3">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本项目新增大气污染物SO₂、NOx</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排放量实行1.5倍削减替代；</w:t>
                  </w:r>
                </w:p>
                <w:p w14:paraId="74777CCD">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本项目新增VOCs排放量实行倍量削减替代。符合</w:t>
                  </w:r>
                </w:p>
              </w:tc>
            </w:tr>
            <w:tr w14:paraId="0DC34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1440" w:type="dxa"/>
                  <w:vMerge w:val="continue"/>
                  <w:tcBorders>
                    <w:tl2br w:val="nil"/>
                    <w:tr2bl w:val="nil"/>
                  </w:tcBorders>
                  <w:vAlign w:val="center"/>
                </w:tcPr>
                <w:p w14:paraId="4DCD848F">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1028" w:type="dxa"/>
                  <w:vMerge w:val="continue"/>
                  <w:tcBorders>
                    <w:tl2br w:val="nil"/>
                    <w:tr2bl w:val="nil"/>
                  </w:tcBorders>
                  <w:vAlign w:val="center"/>
                </w:tcPr>
                <w:p w14:paraId="50797F0D">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642" w:type="dxa"/>
                  <w:vMerge w:val="continue"/>
                  <w:tcBorders>
                    <w:tl2br w:val="nil"/>
                    <w:tr2bl w:val="nil"/>
                  </w:tcBorders>
                  <w:vAlign w:val="center"/>
                </w:tcPr>
                <w:p w14:paraId="2B088CB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93" w:type="dxa"/>
                  <w:tcBorders>
                    <w:tl2br w:val="nil"/>
                    <w:tr2bl w:val="nil"/>
                  </w:tcBorders>
                  <w:vAlign w:val="center"/>
                </w:tcPr>
                <w:p w14:paraId="0D13EAE4">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环境风险防控</w:t>
                  </w:r>
                </w:p>
              </w:tc>
              <w:tc>
                <w:tcPr>
                  <w:tcW w:w="1959" w:type="dxa"/>
                  <w:tcBorders>
                    <w:tl2br w:val="nil"/>
                    <w:tr2bl w:val="nil"/>
                  </w:tcBorders>
                  <w:vAlign w:val="center"/>
                </w:tcPr>
                <w:p w14:paraId="3308F8B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816" w:type="dxa"/>
                  <w:tcBorders>
                    <w:tl2br w:val="nil"/>
                    <w:tr2bl w:val="nil"/>
                  </w:tcBorders>
                  <w:vAlign w:val="center"/>
                </w:tcPr>
                <w:p w14:paraId="37687125">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项目建立环境风险防控体系等。厂区地面均已完成硬化处理，生产过程基本不造成地下水、土壤污染。</w:t>
                  </w:r>
                </w:p>
              </w:tc>
            </w:tr>
            <w:tr w14:paraId="1C6B3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1440" w:type="dxa"/>
                  <w:vMerge w:val="continue"/>
                  <w:tcBorders>
                    <w:tl2br w:val="nil"/>
                    <w:tr2bl w:val="nil"/>
                  </w:tcBorders>
                  <w:vAlign w:val="center"/>
                </w:tcPr>
                <w:p w14:paraId="2E47AC1F">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1028" w:type="dxa"/>
                  <w:vMerge w:val="continue"/>
                  <w:tcBorders>
                    <w:tl2br w:val="nil"/>
                    <w:tr2bl w:val="nil"/>
                  </w:tcBorders>
                  <w:vAlign w:val="center"/>
                </w:tcPr>
                <w:p w14:paraId="02E73F9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642" w:type="dxa"/>
                  <w:vMerge w:val="continue"/>
                  <w:tcBorders>
                    <w:tl2br w:val="nil"/>
                    <w:tr2bl w:val="nil"/>
                  </w:tcBorders>
                  <w:vAlign w:val="center"/>
                </w:tcPr>
                <w:p w14:paraId="020F52A6">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93" w:type="dxa"/>
                  <w:tcBorders>
                    <w:tl2br w:val="nil"/>
                    <w:tr2bl w:val="nil"/>
                  </w:tcBorders>
                  <w:vAlign w:val="center"/>
                </w:tcPr>
                <w:p w14:paraId="1CF54C5E">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资源开发效率要求</w:t>
                  </w:r>
                </w:p>
              </w:tc>
              <w:tc>
                <w:tcPr>
                  <w:tcW w:w="1959" w:type="dxa"/>
                  <w:tcBorders>
                    <w:tl2br w:val="nil"/>
                    <w:tr2bl w:val="nil"/>
                  </w:tcBorders>
                  <w:vAlign w:val="center"/>
                </w:tcPr>
                <w:p w14:paraId="7E1A4419">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高污染燃料禁燃区内禁止燃用高污染燃料，禁止新建、扩建燃用高污染燃料的设施。已建的燃用高污染燃料设施，限期改用电、天然气、液化石油气等清洁能源。</w:t>
                  </w:r>
                </w:p>
              </w:tc>
              <w:tc>
                <w:tcPr>
                  <w:tcW w:w="1816" w:type="dxa"/>
                  <w:tcBorders>
                    <w:tl2br w:val="nil"/>
                    <w:tr2bl w:val="nil"/>
                  </w:tcBorders>
                  <w:vAlign w:val="center"/>
                </w:tcPr>
                <w:p w14:paraId="5499B171">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color w:val="auto"/>
                      <w:shd w:val="clear"/>
                      <w:lang w:val="en-US" w:eastAsia="zh-CN"/>
                    </w:rPr>
                    <w:t>本项目采用电能、天然气作为燃料，属于清洁能源。</w:t>
                  </w:r>
                </w:p>
              </w:tc>
            </w:tr>
          </w:tbl>
          <w:p w14:paraId="1B2547EF">
            <w:pPr>
              <w:spacing w:line="360" w:lineRule="auto"/>
              <w:ind w:firstLine="480" w:firstLineChars="200"/>
              <w:rPr>
                <w:rFonts w:hint="eastAsia" w:ascii="Times New Roman" w:hAnsi="Times New Roman" w:eastAsia="宋体" w:cs="宋体"/>
                <w:color w:val="auto"/>
                <w:sz w:val="24"/>
                <w:highlight w:val="none"/>
                <w:shd w:val="clear"/>
                <w:lang w:val="en-US" w:eastAsia="zh-CN" w:bidi="ar"/>
              </w:rPr>
            </w:pPr>
          </w:p>
          <w:p w14:paraId="2A801ED1">
            <w:pPr>
              <w:pStyle w:val="46"/>
              <w:bidi w:val="0"/>
              <w:rPr>
                <w:color w:val="auto"/>
              </w:rPr>
            </w:pPr>
            <w:r>
              <w:rPr>
                <w:rFonts w:hint="eastAsia"/>
                <w:color w:val="auto"/>
                <w:lang w:val="en-US" w:eastAsia="zh-CN"/>
              </w:rPr>
              <w:t>综上所述，</w:t>
            </w:r>
            <w:r>
              <w:rPr>
                <w:rFonts w:hint="eastAsia"/>
                <w:color w:val="auto"/>
                <w:lang w:eastAsia="zh-CN"/>
              </w:rPr>
              <w:t>本项目位于</w:t>
            </w:r>
            <w:r>
              <w:rPr>
                <w:rFonts w:hint="eastAsia"/>
                <w:color w:val="auto"/>
                <w:lang w:val="en-US" w:eastAsia="zh-CN"/>
              </w:rPr>
              <w:t>福建省福州市福建省福州市福清市镜洋镇工业区（租赁福州鼎力机械有限公司内铸造车间1号）</w:t>
            </w:r>
            <w:r>
              <w:rPr>
                <w:rFonts w:hint="eastAsia"/>
                <w:color w:val="auto"/>
                <w:lang w:eastAsia="zh-CN"/>
              </w:rPr>
              <w:t>，</w:t>
            </w:r>
            <w:r>
              <w:rPr>
                <w:rFonts w:hint="eastAsia"/>
                <w:color w:val="auto"/>
                <w:lang w:val="en-US" w:eastAsia="zh-CN"/>
              </w:rPr>
              <w:t>项目的建设符合“福州</w:t>
            </w:r>
            <w:r>
              <w:rPr>
                <w:rFonts w:hint="eastAsia"/>
                <w:color w:val="auto"/>
                <w:lang w:eastAsia="zh-CN"/>
              </w:rPr>
              <w:t>市生态环境总体准入要求”，用地性质为工业用地，符合</w:t>
            </w:r>
            <w:r>
              <w:rPr>
                <w:rFonts w:hint="eastAsia"/>
                <w:color w:val="auto"/>
                <w:lang w:val="en-US" w:eastAsia="zh-CN"/>
              </w:rPr>
              <w:t>福建省生态环境分区管控</w:t>
            </w:r>
            <w:r>
              <w:rPr>
                <w:rFonts w:hint="eastAsia"/>
                <w:color w:val="auto"/>
                <w:lang w:eastAsia="zh-CN"/>
              </w:rPr>
              <w:t>要求，项目选址合理。</w:t>
            </w:r>
          </w:p>
        </w:tc>
      </w:tr>
    </w:tbl>
    <w:p w14:paraId="113725D9">
      <w:pPr>
        <w:spacing w:line="360" w:lineRule="auto"/>
        <w:rPr>
          <w:rFonts w:eastAsia="黑体"/>
          <w:color w:val="auto"/>
          <w:sz w:val="30"/>
          <w:highlight w:val="none"/>
        </w:rPr>
        <w:sectPr>
          <w:footerReference r:id="rId4"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14:paraId="39CAAD62">
      <w:pPr>
        <w:pStyle w:val="2"/>
        <w:bidi w:val="0"/>
        <w:ind w:left="432" w:leftChars="0" w:hanging="432" w:firstLineChars="0"/>
        <w:rPr>
          <w:color w:val="auto"/>
          <w:highlight w:val="none"/>
        </w:rPr>
      </w:pPr>
      <w:bookmarkStart w:id="7" w:name="_Toc24216"/>
      <w:bookmarkStart w:id="8" w:name="_Toc2799"/>
      <w:bookmarkStart w:id="9" w:name="_Toc24754"/>
      <w:bookmarkStart w:id="10" w:name="_Toc18851"/>
      <w:bookmarkStart w:id="11" w:name="_Toc21337"/>
      <w:r>
        <w:rPr>
          <w:rFonts w:hint="eastAsia"/>
          <w:color w:val="auto"/>
          <w:highlight w:val="none"/>
        </w:rPr>
        <w:t>建设项目工程分析</w:t>
      </w:r>
      <w:bookmarkEnd w:id="7"/>
      <w:bookmarkEnd w:id="8"/>
      <w:bookmarkEnd w:id="9"/>
      <w:bookmarkEnd w:id="10"/>
      <w:bookmarkEnd w:id="11"/>
    </w:p>
    <w:tbl>
      <w:tblPr>
        <w:tblStyle w:val="34"/>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8"/>
        <w:gridCol w:w="8889"/>
      </w:tblGrid>
      <w:tr w14:paraId="0B5A9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dxa"/>
            <w:vAlign w:val="center"/>
          </w:tcPr>
          <w:p w14:paraId="4490FC88">
            <w:pPr>
              <w:pStyle w:val="30"/>
              <w:adjustRightInd w:val="0"/>
              <w:snapToGrid w:val="0"/>
              <w:spacing w:before="0" w:beforeAutospacing="0" w:after="0" w:afterAutospacing="0"/>
              <w:jc w:val="center"/>
              <w:rPr>
                <w:rFonts w:cs="宋体"/>
                <w:color w:val="auto"/>
                <w:sz w:val="21"/>
                <w:szCs w:val="21"/>
                <w:highlight w:val="none"/>
              </w:rPr>
            </w:pPr>
            <w:bookmarkStart w:id="12" w:name="_Hlk86096164"/>
            <w:r>
              <w:rPr>
                <w:rFonts w:hint="eastAsia" w:cs="宋体"/>
                <w:color w:val="auto"/>
                <w:sz w:val="21"/>
                <w:szCs w:val="21"/>
                <w:highlight w:val="none"/>
              </w:rPr>
              <w:t>建设内容</w:t>
            </w:r>
          </w:p>
        </w:tc>
        <w:tc>
          <w:tcPr>
            <w:tcW w:w="8889" w:type="dxa"/>
          </w:tcPr>
          <w:p w14:paraId="433502F9">
            <w:pPr>
              <w:pStyle w:val="3"/>
              <w:bidi w:val="0"/>
              <w:rPr>
                <w:color w:val="auto"/>
              </w:rPr>
            </w:pPr>
            <w:r>
              <w:rPr>
                <w:rFonts w:hint="eastAsia"/>
                <w:color w:val="auto"/>
              </w:rPr>
              <w:t>项目由来</w:t>
            </w:r>
          </w:p>
          <w:p w14:paraId="72BABF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highlight w:val="none"/>
                <w:shd w:val="clear"/>
                <w:lang w:val="en-US" w:eastAsia="zh-CN" w:bidi="ar-SA"/>
              </w:rPr>
            </w:pPr>
            <w:r>
              <w:rPr>
                <w:rFonts w:hint="eastAsia" w:cs="Times New Roman"/>
                <w:color w:val="auto"/>
                <w:kern w:val="0"/>
                <w:sz w:val="24"/>
                <w:szCs w:val="20"/>
                <w:highlight w:val="none"/>
                <w:lang w:val="zh-CN" w:eastAsia="zh-CN" w:bidi="ar-SA"/>
              </w:rPr>
              <w:t>福州景卓汽车零部件有限公司</w:t>
            </w:r>
            <w:r>
              <w:rPr>
                <w:rFonts w:hint="default" w:ascii="Times New Roman" w:hAnsi="Times New Roman" w:eastAsia="宋体" w:cs="Times New Roman"/>
                <w:color w:val="auto"/>
                <w:kern w:val="0"/>
                <w:sz w:val="24"/>
                <w:szCs w:val="20"/>
                <w:highlight w:val="none"/>
                <w:shd w:val="clear"/>
                <w:lang w:val="zh-CN" w:eastAsia="zh-CN" w:bidi="ar-SA"/>
              </w:rPr>
              <w:t>成立于20</w:t>
            </w:r>
            <w:r>
              <w:rPr>
                <w:rFonts w:hint="eastAsia" w:ascii="Times New Roman" w:hAnsi="Times New Roman" w:eastAsia="宋体" w:cs="Times New Roman"/>
                <w:color w:val="auto"/>
                <w:kern w:val="0"/>
                <w:sz w:val="24"/>
                <w:szCs w:val="20"/>
                <w:highlight w:val="none"/>
                <w:shd w:val="clear"/>
                <w:lang w:val="en-US" w:eastAsia="zh-CN" w:bidi="ar-SA"/>
              </w:rPr>
              <w:t>25</w:t>
            </w:r>
            <w:r>
              <w:rPr>
                <w:rFonts w:hint="default" w:ascii="Times New Roman" w:hAnsi="Times New Roman" w:eastAsia="宋体" w:cs="Times New Roman"/>
                <w:color w:val="auto"/>
                <w:kern w:val="0"/>
                <w:sz w:val="24"/>
                <w:szCs w:val="20"/>
                <w:highlight w:val="none"/>
                <w:shd w:val="clear"/>
                <w:lang w:val="zh-CN" w:eastAsia="zh-CN" w:bidi="ar-SA"/>
              </w:rPr>
              <w:t>年</w:t>
            </w:r>
            <w:r>
              <w:rPr>
                <w:rFonts w:hint="eastAsia" w:cs="Times New Roman"/>
                <w:color w:val="auto"/>
                <w:kern w:val="0"/>
                <w:sz w:val="24"/>
                <w:szCs w:val="20"/>
                <w:highlight w:val="none"/>
                <w:shd w:val="clear"/>
                <w:lang w:val="en-US" w:eastAsia="zh-CN" w:bidi="ar-SA"/>
              </w:rPr>
              <w:t>12</w:t>
            </w:r>
            <w:r>
              <w:rPr>
                <w:rFonts w:hint="default" w:ascii="Times New Roman" w:hAnsi="Times New Roman" w:eastAsia="宋体" w:cs="Times New Roman"/>
                <w:color w:val="auto"/>
                <w:kern w:val="0"/>
                <w:sz w:val="24"/>
                <w:szCs w:val="20"/>
                <w:highlight w:val="none"/>
                <w:shd w:val="clear"/>
                <w:lang w:val="zh-CN" w:eastAsia="zh-CN" w:bidi="ar-SA"/>
              </w:rPr>
              <w:t>月</w:t>
            </w:r>
            <w:r>
              <w:rPr>
                <w:rFonts w:hint="eastAsia" w:cs="Times New Roman"/>
                <w:color w:val="auto"/>
                <w:kern w:val="0"/>
                <w:sz w:val="24"/>
                <w:szCs w:val="20"/>
                <w:highlight w:val="none"/>
                <w:shd w:val="clear"/>
                <w:lang w:val="en-US" w:eastAsia="zh-CN" w:bidi="ar-SA"/>
              </w:rPr>
              <w:t>29</w:t>
            </w:r>
            <w:r>
              <w:rPr>
                <w:rFonts w:hint="default" w:ascii="Times New Roman" w:hAnsi="Times New Roman" w:eastAsia="宋体" w:cs="Times New Roman"/>
                <w:color w:val="auto"/>
                <w:kern w:val="0"/>
                <w:sz w:val="24"/>
                <w:szCs w:val="20"/>
                <w:highlight w:val="none"/>
                <w:shd w:val="clear"/>
                <w:lang w:val="zh-CN" w:eastAsia="zh-CN" w:bidi="ar-SA"/>
              </w:rPr>
              <w:t>日</w:t>
            </w:r>
            <w:r>
              <w:rPr>
                <w:rFonts w:hint="default" w:ascii="Times New Roman" w:hAnsi="Times New Roman" w:eastAsia="宋体"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租用</w:t>
            </w:r>
            <w:r>
              <w:rPr>
                <w:rFonts w:hint="eastAsia" w:cs="Times New Roman"/>
                <w:b w:val="0"/>
                <w:bCs w:val="0"/>
                <w:i w:val="0"/>
                <w:iCs w:val="0"/>
                <w:color w:val="auto"/>
                <w:kern w:val="0"/>
                <w:sz w:val="24"/>
                <w:szCs w:val="20"/>
                <w:highlight w:val="none"/>
                <w:shd w:val="clear"/>
                <w:lang w:val="zh-CN" w:eastAsia="zh-CN" w:bidi="ar-SA"/>
              </w:rPr>
              <w:t>福州鼎力机械有限公司</w:t>
            </w:r>
            <w:r>
              <w:rPr>
                <w:rFonts w:hint="eastAsia" w:cs="Times New Roman"/>
                <w:b w:val="0"/>
                <w:bCs w:val="0"/>
                <w:i w:val="0"/>
                <w:iCs w:val="0"/>
                <w:color w:val="auto"/>
                <w:kern w:val="0"/>
                <w:sz w:val="24"/>
                <w:szCs w:val="20"/>
                <w:highlight w:val="none"/>
                <w:shd w:val="clear"/>
                <w:lang w:val="en-US" w:eastAsia="zh-CN" w:bidi="ar-SA"/>
              </w:rPr>
              <w:t>内</w:t>
            </w:r>
            <w:r>
              <w:rPr>
                <w:rFonts w:hint="eastAsia" w:cs="Times New Roman"/>
                <w:b w:val="0"/>
                <w:bCs w:val="0"/>
                <w:i w:val="0"/>
                <w:iCs w:val="0"/>
                <w:color w:val="auto"/>
                <w:kern w:val="0"/>
                <w:sz w:val="24"/>
                <w:szCs w:val="20"/>
                <w:highlight w:val="none"/>
                <w:shd w:val="clear"/>
                <w:lang w:val="zh-CN" w:eastAsia="zh-CN" w:bidi="ar-SA"/>
              </w:rPr>
              <w:t>铸造车间1号，</w:t>
            </w:r>
            <w:r>
              <w:rPr>
                <w:rFonts w:hint="eastAsia" w:ascii="Times New Roman" w:hAnsi="Times New Roman" w:eastAsia="宋体" w:cs="Times New Roman"/>
                <w:b w:val="0"/>
                <w:bCs w:val="0"/>
                <w:color w:val="auto"/>
                <w:kern w:val="0"/>
                <w:sz w:val="24"/>
                <w:szCs w:val="20"/>
                <w:highlight w:val="none"/>
                <w:shd w:val="clear"/>
                <w:lang w:val="en-US" w:eastAsia="zh-CN" w:bidi="ar-SA"/>
              </w:rPr>
              <w:t>位于</w:t>
            </w:r>
            <w:r>
              <w:rPr>
                <w:rFonts w:hint="eastAsia" w:cs="Times New Roman"/>
                <w:b w:val="0"/>
                <w:bCs w:val="0"/>
                <w:i w:val="0"/>
                <w:iCs w:val="0"/>
                <w:color w:val="auto"/>
                <w:kern w:val="0"/>
                <w:sz w:val="24"/>
                <w:szCs w:val="20"/>
                <w:highlight w:val="none"/>
                <w:shd w:val="clear"/>
                <w:lang w:val="zh-CN" w:eastAsia="zh-CN" w:bidi="ar-SA"/>
              </w:rPr>
              <w:t>福建省福州市福清市镜洋镇工业区</w:t>
            </w:r>
            <w:r>
              <w:rPr>
                <w:rFonts w:hint="eastAsia" w:ascii="Times New Roman" w:hAnsi="Times New Roman" w:eastAsia="宋体" w:cs="Times New Roman"/>
                <w:b w:val="0"/>
                <w:bCs w:val="0"/>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拟投资</w:t>
            </w:r>
            <w:r>
              <w:rPr>
                <w:rFonts w:hint="eastAsia" w:cs="Times New Roman"/>
                <w:color w:val="auto"/>
                <w:kern w:val="0"/>
                <w:sz w:val="24"/>
                <w:szCs w:val="20"/>
                <w:highlight w:val="none"/>
                <w:shd w:val="clear"/>
                <w:lang w:val="en-US" w:eastAsia="zh-CN" w:bidi="ar-SA"/>
              </w:rPr>
              <w:t>360</w:t>
            </w:r>
            <w:r>
              <w:rPr>
                <w:rFonts w:hint="eastAsia" w:ascii="Times New Roman" w:hAnsi="Times New Roman" w:eastAsia="宋体" w:cs="Times New Roman"/>
                <w:color w:val="auto"/>
                <w:kern w:val="0"/>
                <w:sz w:val="24"/>
                <w:szCs w:val="20"/>
                <w:highlight w:val="none"/>
                <w:shd w:val="clear"/>
                <w:lang w:val="en-US" w:eastAsia="zh-CN" w:bidi="ar-SA"/>
              </w:rPr>
              <w:t>万元，总建筑面积约</w:t>
            </w:r>
            <w:r>
              <w:rPr>
                <w:rFonts w:hint="eastAsia" w:cs="Times New Roman"/>
                <w:color w:val="auto"/>
                <w:kern w:val="0"/>
                <w:sz w:val="24"/>
                <w:szCs w:val="20"/>
                <w:highlight w:val="none"/>
                <w:shd w:val="clear"/>
                <w:lang w:val="en-US" w:eastAsia="zh-CN" w:bidi="ar-SA"/>
              </w:rPr>
              <w:t>3456</w:t>
            </w:r>
            <w:r>
              <w:rPr>
                <w:rFonts w:hint="default" w:ascii="Times New Roman" w:hAnsi="Times New Roman" w:eastAsia="宋体" w:cs="Times New Roman"/>
                <w:color w:val="auto"/>
                <w:kern w:val="0"/>
                <w:sz w:val="24"/>
                <w:szCs w:val="20"/>
                <w:highlight w:val="none"/>
                <w:shd w:val="clear"/>
                <w:lang w:val="zh-CN" w:eastAsia="zh-CN" w:bidi="ar-SA"/>
              </w:rPr>
              <w:t>m</w:t>
            </w:r>
            <w:r>
              <w:rPr>
                <w:rFonts w:hint="default" w:ascii="Times New Roman" w:hAnsi="Times New Roman" w:eastAsia="宋体" w:cs="Times New Roman"/>
                <w:color w:val="auto"/>
                <w:kern w:val="0"/>
                <w:sz w:val="24"/>
                <w:szCs w:val="20"/>
                <w:highlight w:val="none"/>
                <w:shd w:val="clear"/>
                <w:vertAlign w:val="superscript"/>
                <w:lang w:val="zh-CN" w:eastAsia="zh-CN" w:bidi="ar-SA"/>
              </w:rPr>
              <w:t>2</w:t>
            </w:r>
            <w:r>
              <w:rPr>
                <w:rFonts w:hint="eastAsia" w:ascii="Times New Roman" w:hAnsi="Times New Roman" w:eastAsia="宋体" w:cs="Times New Roman"/>
                <w:color w:val="auto"/>
                <w:kern w:val="0"/>
                <w:sz w:val="24"/>
                <w:szCs w:val="20"/>
                <w:highlight w:val="none"/>
                <w:shd w:val="clear"/>
                <w:lang w:val="en-US" w:eastAsia="zh-CN" w:bidi="ar-SA"/>
              </w:rPr>
              <w:t>，购置焊机、预脱脂UFO洗槽等相关附属设备，技术水平达国内先进。建设1条汽车座椅骨架加工生产线，设计年加工汽车座椅骨架</w:t>
            </w:r>
            <w:r>
              <w:rPr>
                <w:rFonts w:hint="eastAsia" w:cs="Times New Roman"/>
                <w:color w:val="auto"/>
                <w:kern w:val="0"/>
                <w:sz w:val="24"/>
                <w:szCs w:val="20"/>
                <w:highlight w:val="none"/>
                <w:shd w:val="clear"/>
                <w:lang w:val="en-US" w:eastAsia="zh-CN" w:bidi="ar-SA"/>
              </w:rPr>
              <w:t>12</w:t>
            </w:r>
            <w:r>
              <w:rPr>
                <w:rFonts w:hint="eastAsia" w:ascii="Times New Roman" w:hAnsi="Times New Roman" w:eastAsia="宋体" w:cs="Times New Roman"/>
                <w:color w:val="auto"/>
                <w:kern w:val="0"/>
                <w:sz w:val="24"/>
                <w:szCs w:val="20"/>
                <w:highlight w:val="none"/>
                <w:shd w:val="clear"/>
                <w:lang w:val="en-US" w:eastAsia="zh-CN" w:bidi="ar-SA"/>
              </w:rPr>
              <w:t>万套生产规模。</w:t>
            </w:r>
          </w:p>
          <w:p w14:paraId="6F8287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highlight w:val="none"/>
                <w:shd w:val="clear" w:fill="FFFF00"/>
                <w:lang w:val="en-US" w:eastAsia="zh-CN" w:bidi="ar-SA"/>
              </w:rPr>
            </w:pPr>
            <w:r>
              <w:rPr>
                <w:rFonts w:hint="eastAsia" w:cs="Times New Roman"/>
                <w:color w:val="auto"/>
                <w:kern w:val="0"/>
                <w:sz w:val="24"/>
                <w:szCs w:val="20"/>
                <w:highlight w:val="none"/>
                <w:shd w:val="clear"/>
                <w:lang w:val="en-US" w:eastAsia="zh-CN" w:bidi="ar-SA"/>
              </w:rPr>
              <w:t>福州鼎力机械有限公司年产机械零件、汽车铸件（铸铁、铸钢）2000吨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项目（以下简称</w:t>
            </w:r>
            <w:r>
              <w:rPr>
                <w:rFonts w:hint="eastAsia"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该项目</w:t>
            </w:r>
            <w:r>
              <w:rPr>
                <w:rFonts w:hint="eastAsia"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w:t>
            </w:r>
            <w:r>
              <w:rPr>
                <w:rFonts w:hint="eastAsia" w:cs="Times New Roman"/>
                <w:color w:val="auto"/>
                <w:kern w:val="0"/>
                <w:sz w:val="24"/>
                <w:szCs w:val="20"/>
                <w:highlight w:val="none"/>
                <w:shd w:val="clear"/>
                <w:lang w:val="en-US" w:eastAsia="zh-CN" w:bidi="ar-SA"/>
              </w:rPr>
              <w:t>该</w:t>
            </w:r>
            <w:r>
              <w:rPr>
                <w:rFonts w:hint="eastAsia" w:ascii="Times New Roman" w:hAnsi="Times New Roman" w:eastAsia="宋体" w:cs="Times New Roman"/>
                <w:color w:val="auto"/>
                <w:kern w:val="0"/>
                <w:sz w:val="24"/>
                <w:szCs w:val="20"/>
                <w:highlight w:val="none"/>
                <w:shd w:val="clear"/>
                <w:lang w:val="en-US" w:eastAsia="zh-CN" w:bidi="ar-SA"/>
              </w:rPr>
              <w:t>项目</w:t>
            </w:r>
            <w:r>
              <w:rPr>
                <w:rFonts w:hint="eastAsia" w:ascii="Times New Roman" w:hAnsi="Times New Roman" w:eastAsia="宋体" w:cs="Times New Roman"/>
                <w:color w:val="auto"/>
                <w:kern w:val="0"/>
                <w:sz w:val="24"/>
                <w:szCs w:val="20"/>
                <w:highlight w:val="none"/>
                <w:u w:val="none"/>
                <w:shd w:val="clear"/>
                <w:lang w:val="en-US" w:eastAsia="zh-CN" w:bidi="ar-SA"/>
              </w:rPr>
              <w:t>总投资</w:t>
            </w:r>
            <w:r>
              <w:rPr>
                <w:rFonts w:hint="eastAsia" w:cs="Times New Roman"/>
                <w:color w:val="auto"/>
                <w:kern w:val="0"/>
                <w:sz w:val="24"/>
                <w:szCs w:val="20"/>
                <w:highlight w:val="none"/>
                <w:u w:val="none"/>
                <w:shd w:val="clear"/>
                <w:lang w:val="en-US" w:eastAsia="zh-CN" w:bidi="ar-SA"/>
              </w:rPr>
              <w:t>180</w:t>
            </w:r>
            <w:r>
              <w:rPr>
                <w:rFonts w:hint="eastAsia" w:ascii="Times New Roman" w:hAnsi="Times New Roman" w:eastAsia="宋体" w:cs="Times New Roman"/>
                <w:color w:val="auto"/>
                <w:kern w:val="0"/>
                <w:sz w:val="24"/>
                <w:szCs w:val="20"/>
                <w:highlight w:val="none"/>
                <w:u w:val="none"/>
                <w:shd w:val="clear"/>
                <w:lang w:val="en-US" w:eastAsia="zh-CN" w:bidi="ar-SA"/>
              </w:rPr>
              <w:t>万元</w:t>
            </w:r>
            <w:r>
              <w:rPr>
                <w:rFonts w:hint="eastAsia" w:ascii="Times New Roman" w:hAnsi="Times New Roman" w:eastAsia="宋体" w:cs="Times New Roman"/>
                <w:color w:val="auto"/>
                <w:kern w:val="0"/>
                <w:sz w:val="24"/>
                <w:szCs w:val="20"/>
                <w:highlight w:val="none"/>
                <w:shd w:val="clear"/>
                <w:lang w:val="en-US" w:eastAsia="zh-CN" w:bidi="ar-SA"/>
              </w:rPr>
              <w:t>，生产场</w:t>
            </w:r>
            <w:r>
              <w:rPr>
                <w:rFonts w:hint="eastAsia" w:ascii="Times New Roman" w:hAnsi="Times New Roman" w:eastAsia="宋体" w:cs="Times New Roman"/>
                <w:color w:val="auto"/>
                <w:kern w:val="0"/>
                <w:sz w:val="24"/>
                <w:szCs w:val="20"/>
                <w:highlight w:val="none"/>
                <w:u w:val="none"/>
                <w:shd w:val="clear"/>
                <w:lang w:val="en-US" w:eastAsia="zh-CN" w:bidi="ar-SA"/>
              </w:rPr>
              <w:t>地</w:t>
            </w:r>
            <w:r>
              <w:rPr>
                <w:rFonts w:hint="eastAsia" w:cs="Times New Roman"/>
                <w:color w:val="auto"/>
                <w:kern w:val="0"/>
                <w:sz w:val="24"/>
                <w:szCs w:val="20"/>
                <w:highlight w:val="none"/>
                <w:u w:val="none"/>
                <w:shd w:val="clear"/>
                <w:lang w:val="en-US" w:eastAsia="zh-CN" w:bidi="ar-SA"/>
              </w:rPr>
              <w:t>为</w:t>
            </w:r>
            <w:r>
              <w:rPr>
                <w:rFonts w:hint="eastAsia" w:cs="Times New Roman"/>
                <w:b w:val="0"/>
                <w:bCs w:val="0"/>
                <w:i w:val="0"/>
                <w:iCs w:val="0"/>
                <w:color w:val="auto"/>
                <w:kern w:val="0"/>
                <w:sz w:val="24"/>
                <w:szCs w:val="20"/>
                <w:highlight w:val="none"/>
                <w:shd w:val="clear"/>
                <w:lang w:val="zh-CN" w:eastAsia="zh-CN" w:bidi="ar-SA"/>
              </w:rPr>
              <w:t>福建省福州市福清市镜洋镇工业区</w:t>
            </w:r>
            <w:r>
              <w:rPr>
                <w:rFonts w:hint="eastAsia" w:ascii="Times New Roman" w:hAnsi="Times New Roman" w:eastAsia="宋体" w:cs="Times New Roman"/>
                <w:color w:val="auto"/>
                <w:kern w:val="0"/>
                <w:sz w:val="24"/>
                <w:szCs w:val="20"/>
                <w:highlight w:val="none"/>
                <w:shd w:val="clear"/>
                <w:lang w:val="en-US" w:eastAsia="zh-CN" w:bidi="ar-SA"/>
              </w:rPr>
              <w:t>，设计年产</w:t>
            </w:r>
            <w:r>
              <w:rPr>
                <w:rFonts w:hint="eastAsia" w:cs="Times New Roman"/>
                <w:color w:val="auto"/>
                <w:kern w:val="0"/>
                <w:sz w:val="24"/>
                <w:szCs w:val="20"/>
                <w:highlight w:val="none"/>
                <w:shd w:val="clear"/>
                <w:lang w:val="en-US" w:eastAsia="zh-CN" w:bidi="ar-SA"/>
              </w:rPr>
              <w:t>机械零件、汽车铸件（铸铁、铸钢）2000吨。福州鼎力机械有限公司</w:t>
            </w:r>
            <w:r>
              <w:rPr>
                <w:rFonts w:hint="eastAsia" w:ascii="Times New Roman" w:hAnsi="Times New Roman" w:eastAsia="宋体" w:cs="Times New Roman"/>
                <w:color w:val="auto"/>
                <w:kern w:val="0"/>
                <w:sz w:val="24"/>
                <w:szCs w:val="20"/>
                <w:highlight w:val="none"/>
                <w:shd w:val="clear"/>
                <w:lang w:val="en-US" w:eastAsia="zh-CN" w:bidi="ar-SA"/>
              </w:rPr>
              <w:t>依法委托</w:t>
            </w:r>
            <w:r>
              <w:rPr>
                <w:rFonts w:hint="eastAsia" w:cs="Times New Roman"/>
                <w:color w:val="auto"/>
                <w:kern w:val="0"/>
                <w:sz w:val="24"/>
                <w:szCs w:val="20"/>
                <w:highlight w:val="none"/>
                <w:shd w:val="clear"/>
                <w:lang w:val="en-US" w:eastAsia="zh-CN" w:bidi="ar-SA"/>
              </w:rPr>
              <w:t>原</w:t>
            </w:r>
            <w:r>
              <w:rPr>
                <w:rFonts w:hint="eastAsia" w:cs="Times New Roman"/>
                <w:color w:val="auto"/>
                <w:kern w:val="0"/>
                <w:sz w:val="24"/>
                <w:szCs w:val="20"/>
                <w:highlight w:val="none"/>
                <w:u w:val="none"/>
                <w:shd w:val="clear"/>
                <w:lang w:val="en-US" w:eastAsia="zh-CN" w:bidi="ar-SA"/>
              </w:rPr>
              <w:t>福建省福清市环保局</w:t>
            </w:r>
            <w:r>
              <w:rPr>
                <w:rFonts w:hint="eastAsia" w:ascii="Times New Roman" w:hAnsi="Times New Roman" w:eastAsia="宋体" w:cs="Times New Roman"/>
                <w:color w:val="auto"/>
                <w:kern w:val="0"/>
                <w:sz w:val="24"/>
                <w:szCs w:val="20"/>
                <w:highlight w:val="none"/>
                <w:shd w:val="clear"/>
                <w:lang w:val="en-US" w:eastAsia="zh-CN" w:bidi="ar-SA"/>
              </w:rPr>
              <w:t>编制完成《</w:t>
            </w:r>
            <w:r>
              <w:rPr>
                <w:rFonts w:hint="eastAsia" w:cs="Times New Roman"/>
                <w:color w:val="auto"/>
                <w:kern w:val="0"/>
                <w:sz w:val="24"/>
                <w:szCs w:val="20"/>
                <w:highlight w:val="none"/>
                <w:shd w:val="clear"/>
                <w:lang w:val="en-US" w:eastAsia="zh-CN" w:bidi="ar-SA"/>
              </w:rPr>
              <w:t>福州鼎力机械有限公司年产机械零件、汽车铸件（铸铁、铸钢）2000吨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项目环境影响报告表》，并于20</w:t>
            </w:r>
            <w:r>
              <w:rPr>
                <w:rFonts w:hint="eastAsia" w:cs="Times New Roman"/>
                <w:color w:val="auto"/>
                <w:kern w:val="0"/>
                <w:sz w:val="24"/>
                <w:szCs w:val="20"/>
                <w:highlight w:val="none"/>
                <w:shd w:val="clear"/>
                <w:lang w:val="en-US" w:eastAsia="zh-CN" w:bidi="ar-SA"/>
              </w:rPr>
              <w:t>06</w:t>
            </w:r>
            <w:r>
              <w:rPr>
                <w:rFonts w:hint="eastAsia" w:ascii="Times New Roman" w:hAnsi="Times New Roman" w:eastAsia="宋体" w:cs="Times New Roman"/>
                <w:color w:val="auto"/>
                <w:kern w:val="0"/>
                <w:sz w:val="24"/>
                <w:szCs w:val="20"/>
                <w:highlight w:val="none"/>
                <w:shd w:val="clear"/>
                <w:lang w:val="en-US" w:eastAsia="zh-CN" w:bidi="ar-SA"/>
              </w:rPr>
              <w:t>年1</w:t>
            </w:r>
            <w:r>
              <w:rPr>
                <w:rFonts w:hint="eastAsia" w:cs="Times New Roman"/>
                <w:color w:val="auto"/>
                <w:kern w:val="0"/>
                <w:sz w:val="24"/>
                <w:szCs w:val="20"/>
                <w:highlight w:val="none"/>
                <w:shd w:val="clear"/>
                <w:lang w:val="en-US" w:eastAsia="zh-CN" w:bidi="ar-SA"/>
              </w:rPr>
              <w:t>2</w:t>
            </w:r>
            <w:r>
              <w:rPr>
                <w:rFonts w:hint="eastAsia" w:ascii="Times New Roman" w:hAnsi="Times New Roman" w:eastAsia="宋体" w:cs="Times New Roman"/>
                <w:color w:val="auto"/>
                <w:kern w:val="0"/>
                <w:sz w:val="24"/>
                <w:szCs w:val="20"/>
                <w:highlight w:val="none"/>
                <w:shd w:val="clear"/>
                <w:lang w:val="en-US" w:eastAsia="zh-CN" w:bidi="ar-SA"/>
              </w:rPr>
              <w:t>月</w:t>
            </w:r>
            <w:r>
              <w:rPr>
                <w:rFonts w:hint="eastAsia" w:cs="Times New Roman"/>
                <w:color w:val="auto"/>
                <w:kern w:val="0"/>
                <w:sz w:val="24"/>
                <w:szCs w:val="20"/>
                <w:highlight w:val="none"/>
                <w:shd w:val="clear"/>
                <w:lang w:val="en-US" w:eastAsia="zh-CN" w:bidi="ar-SA"/>
              </w:rPr>
              <w:t>3</w:t>
            </w:r>
            <w:r>
              <w:rPr>
                <w:rFonts w:hint="eastAsia" w:ascii="Times New Roman" w:hAnsi="Times New Roman" w:eastAsia="宋体" w:cs="Times New Roman"/>
                <w:color w:val="auto"/>
                <w:kern w:val="0"/>
                <w:sz w:val="24"/>
                <w:szCs w:val="20"/>
                <w:highlight w:val="none"/>
                <w:shd w:val="clear"/>
                <w:lang w:val="en-US" w:eastAsia="zh-CN" w:bidi="ar-SA"/>
              </w:rPr>
              <w:t>1日取得</w:t>
            </w:r>
            <w:r>
              <w:rPr>
                <w:rFonts w:hint="eastAsia" w:cs="Times New Roman"/>
                <w:color w:val="auto"/>
                <w:kern w:val="0"/>
                <w:sz w:val="24"/>
                <w:szCs w:val="20"/>
                <w:highlight w:val="none"/>
                <w:shd w:val="clear"/>
                <w:lang w:val="en-US" w:eastAsia="zh-CN" w:bidi="ar-SA"/>
              </w:rPr>
              <w:t>原</w:t>
            </w:r>
            <w:r>
              <w:rPr>
                <w:rFonts w:hint="eastAsia" w:ascii="Times New Roman" w:hAnsi="Times New Roman" w:eastAsia="宋体" w:cs="Times New Roman"/>
                <w:color w:val="auto"/>
                <w:kern w:val="0"/>
                <w:sz w:val="24"/>
                <w:szCs w:val="20"/>
                <w:highlight w:val="none"/>
                <w:shd w:val="clear"/>
                <w:lang w:val="en-US" w:eastAsia="zh-CN" w:bidi="ar-SA"/>
              </w:rPr>
              <w:t>福清市环境保护局《</w:t>
            </w:r>
            <w:r>
              <w:rPr>
                <w:rFonts w:hint="eastAsia" w:cs="Times New Roman"/>
                <w:color w:val="auto"/>
                <w:kern w:val="0"/>
                <w:sz w:val="24"/>
                <w:szCs w:val="20"/>
                <w:highlight w:val="none"/>
                <w:shd w:val="clear"/>
                <w:lang w:val="en-US" w:eastAsia="zh-CN" w:bidi="ar-SA"/>
              </w:rPr>
              <w:t>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项目环境影响报告表的审批意见》，于</w:t>
            </w:r>
            <w:r>
              <w:rPr>
                <w:rFonts w:hint="eastAsia" w:cs="Times New Roman"/>
                <w:color w:val="auto"/>
                <w:kern w:val="0"/>
                <w:sz w:val="24"/>
                <w:szCs w:val="20"/>
                <w:highlight w:val="none"/>
                <w:shd w:val="clear"/>
                <w:lang w:val="en-US" w:eastAsia="zh-CN" w:bidi="ar-SA"/>
              </w:rPr>
              <w:t>2008</w:t>
            </w:r>
            <w:r>
              <w:rPr>
                <w:rFonts w:hint="eastAsia" w:ascii="Times New Roman" w:hAnsi="Times New Roman" w:eastAsia="宋体" w:cs="Times New Roman"/>
                <w:color w:val="auto"/>
                <w:kern w:val="0"/>
                <w:sz w:val="24"/>
                <w:szCs w:val="20"/>
                <w:highlight w:val="none"/>
                <w:shd w:val="clear"/>
                <w:lang w:val="en-US" w:eastAsia="zh-CN" w:bidi="ar-SA"/>
              </w:rPr>
              <w:t>年</w:t>
            </w:r>
            <w:r>
              <w:rPr>
                <w:rFonts w:hint="eastAsia" w:cs="Times New Roman"/>
                <w:color w:val="auto"/>
                <w:kern w:val="0"/>
                <w:sz w:val="24"/>
                <w:szCs w:val="20"/>
                <w:highlight w:val="none"/>
                <w:shd w:val="clear"/>
                <w:lang w:val="en-US" w:eastAsia="zh-CN" w:bidi="ar-SA"/>
              </w:rPr>
              <w:t>7</w:t>
            </w:r>
            <w:r>
              <w:rPr>
                <w:rFonts w:hint="eastAsia" w:ascii="Times New Roman" w:hAnsi="Times New Roman" w:eastAsia="宋体" w:cs="Times New Roman"/>
                <w:color w:val="auto"/>
                <w:kern w:val="0"/>
                <w:sz w:val="24"/>
                <w:szCs w:val="20"/>
                <w:highlight w:val="none"/>
                <w:shd w:val="clear"/>
                <w:lang w:val="en-US" w:eastAsia="zh-CN" w:bidi="ar-SA"/>
              </w:rPr>
              <w:t>月</w:t>
            </w:r>
            <w:r>
              <w:rPr>
                <w:rFonts w:hint="eastAsia" w:cs="Times New Roman"/>
                <w:color w:val="auto"/>
                <w:kern w:val="0"/>
                <w:sz w:val="24"/>
                <w:szCs w:val="20"/>
                <w:highlight w:val="none"/>
                <w:shd w:val="clear"/>
                <w:lang w:val="en-US" w:eastAsia="zh-CN" w:bidi="ar-SA"/>
              </w:rPr>
              <w:t>27日</w:t>
            </w:r>
            <w:r>
              <w:rPr>
                <w:rFonts w:hint="eastAsia" w:ascii="Times New Roman" w:hAnsi="Times New Roman" w:eastAsia="宋体" w:cs="Times New Roman"/>
                <w:color w:val="auto"/>
                <w:kern w:val="0"/>
                <w:sz w:val="24"/>
                <w:szCs w:val="20"/>
                <w:highlight w:val="none"/>
                <w:shd w:val="clear"/>
                <w:lang w:val="en-US" w:eastAsia="zh-CN" w:bidi="ar-SA"/>
              </w:rPr>
              <w:t>通过竣工验收</w:t>
            </w:r>
            <w:r>
              <w:rPr>
                <w:rFonts w:hint="eastAsia" w:cs="Times New Roman"/>
                <w:color w:val="auto"/>
                <w:kern w:val="0"/>
                <w:sz w:val="24"/>
                <w:szCs w:val="20"/>
                <w:highlight w:val="none"/>
                <w:shd w:val="clear"/>
                <w:lang w:val="en-US" w:eastAsia="zh-CN" w:bidi="ar-SA"/>
              </w:rPr>
              <w:t>（详见附件17）</w:t>
            </w:r>
            <w:r>
              <w:rPr>
                <w:rFonts w:hint="eastAsia" w:ascii="Times New Roman" w:hAnsi="Times New Roman" w:eastAsia="宋体" w:cs="Times New Roman"/>
                <w:color w:val="auto"/>
                <w:kern w:val="0"/>
                <w:sz w:val="24"/>
                <w:szCs w:val="20"/>
                <w:highlight w:val="none"/>
                <w:shd w:val="clear"/>
                <w:lang w:val="en-US" w:eastAsia="zh-CN" w:bidi="ar-SA"/>
              </w:rPr>
              <w:t>。</w:t>
            </w:r>
            <w:r>
              <w:rPr>
                <w:rFonts w:hint="eastAsia" w:cs="Times New Roman"/>
                <w:color w:val="auto"/>
                <w:kern w:val="0"/>
                <w:sz w:val="24"/>
                <w:szCs w:val="20"/>
                <w:highlight w:val="none"/>
                <w:shd w:val="clear"/>
                <w:lang w:val="en-US" w:eastAsia="zh-CN" w:bidi="ar-SA"/>
              </w:rPr>
              <w:t>该项目现在处于停产状态，生产设备已搬离车间，故原有项目的铸造车间并未进行生产（停产证明详见附件21）。现铸造车间并未进行生产，处于空置状态</w:t>
            </w:r>
            <w:r>
              <w:rPr>
                <w:rFonts w:hint="eastAsia" w:ascii="Times New Roman" w:hAnsi="Times New Roman" w:eastAsia="宋体" w:cs="Times New Roman"/>
                <w:color w:val="auto"/>
                <w:kern w:val="0"/>
                <w:sz w:val="24"/>
                <w:szCs w:val="20"/>
                <w:highlight w:val="none"/>
                <w:lang w:val="en-US" w:eastAsia="zh-CN" w:bidi="ar-SA"/>
              </w:rPr>
              <w:t>，现</w:t>
            </w:r>
            <w:r>
              <w:rPr>
                <w:rFonts w:hint="eastAsia" w:cs="Times New Roman"/>
                <w:color w:val="auto"/>
                <w:kern w:val="0"/>
                <w:sz w:val="24"/>
                <w:szCs w:val="20"/>
                <w:highlight w:val="none"/>
                <w:lang w:val="en-US" w:eastAsia="zh-CN" w:bidi="ar-SA"/>
              </w:rPr>
              <w:t>租赁</w:t>
            </w:r>
            <w:r>
              <w:rPr>
                <w:rFonts w:hint="eastAsia" w:ascii="Times New Roman" w:hAnsi="Times New Roman" w:eastAsia="宋体" w:cs="Times New Roman"/>
                <w:color w:val="auto"/>
                <w:kern w:val="0"/>
                <w:sz w:val="24"/>
                <w:szCs w:val="20"/>
                <w:highlight w:val="none"/>
                <w:lang w:val="en-US" w:eastAsia="zh-CN" w:bidi="ar-SA"/>
              </w:rPr>
              <w:t>给</w:t>
            </w:r>
            <w:r>
              <w:rPr>
                <w:rFonts w:hint="eastAsia" w:cs="Times New Roman"/>
                <w:color w:val="auto"/>
                <w:kern w:val="0"/>
                <w:sz w:val="24"/>
                <w:szCs w:val="20"/>
                <w:highlight w:val="none"/>
                <w:lang w:val="en-US" w:eastAsia="zh-CN" w:bidi="ar-SA"/>
              </w:rPr>
              <w:t>福州景卓汽车零部件有限公司</w:t>
            </w:r>
            <w:r>
              <w:rPr>
                <w:rFonts w:hint="eastAsia" w:ascii="Times New Roman" w:hAnsi="Times New Roman" w:eastAsia="宋体" w:cs="Times New Roman"/>
                <w:color w:val="auto"/>
                <w:kern w:val="0"/>
                <w:sz w:val="24"/>
                <w:szCs w:val="20"/>
                <w:highlight w:val="none"/>
                <w:shd w:val="clear"/>
                <w:lang w:val="en-US" w:eastAsia="zh-CN" w:bidi="ar-SA"/>
              </w:rPr>
              <w:t>，供其年加工</w:t>
            </w:r>
            <w:r>
              <w:rPr>
                <w:rFonts w:hint="eastAsia" w:cs="Times New Roman"/>
                <w:color w:val="auto"/>
                <w:kern w:val="0"/>
                <w:sz w:val="24"/>
                <w:szCs w:val="20"/>
                <w:highlight w:val="none"/>
                <w:shd w:val="clear"/>
                <w:lang w:val="en-US" w:eastAsia="zh-CN" w:bidi="ar-SA"/>
              </w:rPr>
              <w:t>12</w:t>
            </w:r>
            <w:r>
              <w:rPr>
                <w:rFonts w:hint="eastAsia" w:ascii="Times New Roman" w:hAnsi="Times New Roman" w:eastAsia="宋体" w:cs="Times New Roman"/>
                <w:color w:val="auto"/>
                <w:kern w:val="0"/>
                <w:sz w:val="24"/>
                <w:szCs w:val="20"/>
                <w:highlight w:val="none"/>
                <w:shd w:val="clear"/>
                <w:lang w:val="en-US" w:eastAsia="zh-CN" w:bidi="ar-SA"/>
              </w:rPr>
              <w:t>万套汽车座椅骨架项目</w:t>
            </w:r>
            <w:r>
              <w:rPr>
                <w:rFonts w:hint="eastAsia" w:cs="Times New Roman"/>
                <w:color w:val="auto"/>
                <w:kern w:val="0"/>
                <w:sz w:val="24"/>
                <w:szCs w:val="20"/>
                <w:highlight w:val="none"/>
                <w:shd w:val="clear"/>
                <w:lang w:val="en-US" w:eastAsia="zh-CN" w:bidi="ar-SA"/>
              </w:rPr>
              <w:t>的生产使用（租赁合同详见附件4）。</w:t>
            </w:r>
          </w:p>
          <w:p w14:paraId="373EE3BB">
            <w:pPr>
              <w:pStyle w:val="46"/>
              <w:keepNext w:val="0"/>
              <w:keepLines w:val="0"/>
              <w:pageBreakBefore w:val="0"/>
              <w:widowControl w:val="0"/>
              <w:kinsoku/>
              <w:wordWrap/>
              <w:overflowPunct/>
              <w:topLinePunct w:val="0"/>
              <w:bidi w:val="0"/>
              <w:adjustRightInd/>
              <w:snapToGrid/>
              <w:ind w:firstLine="48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根据《中华人民共和国环境影响评价法》和《建设项目环境保护管理条例》的有关规定，建设项目需履行环境影响评价手续。根据《国民经济行业分类》（GB/T 4754-2017），本项目行业类别为汽车零部件及配件制造C3670，依据《建设项目环境影响评价分类管理名录》（2021年版）的有关规定，本项目属于名录中：“三十三、汽车制造业36——71、汽车整车制造361；汽车用发动机制造362；改装汽车制造363；低速汽车制造364；电车制造365；汽车车身、挂车制造366；汽车零部件及配件制造367”中的“其他（年用非溶剂型低VOCs含量涂料10吨以下的除外）”</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项目不涉及“汽车整车制造（仅组装的除外）；汽车用发动机制造（仅组装的除外）；有电镀工艺的；年用溶剂型涂料（含稀释剂）10吨及以上的”；综上所述，本项目应编制环境影响报告表。</w:t>
            </w:r>
            <w:r>
              <w:rPr>
                <w:rFonts w:hint="eastAsia" w:ascii="Times New Roman" w:hAnsi="Times New Roman" w:eastAsia="宋体" w:cs="Times New Roman"/>
                <w:color w:val="auto"/>
                <w:sz w:val="24"/>
                <w:highlight w:val="none"/>
              </w:rPr>
              <w:t>建设单位委托我司编制该项目的环境影响报告表</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委托书详见附件1</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。本评价单位接受委托后，立即派技术人员踏勘现场和收集有关资料，依照《建设项目环境影响报告表编制技术指南</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污染影响类</w:t>
            </w:r>
            <w:r>
              <w:rPr>
                <w:rFonts w:hint="eastAsia" w:cs="Times New Roman"/>
                <w:color w:val="auto"/>
                <w:sz w:val="24"/>
                <w:highlight w:val="none"/>
                <w:lang w:eastAsia="zh-CN"/>
              </w:rPr>
              <w:t>）（试行）》</w:t>
            </w:r>
            <w:r>
              <w:rPr>
                <w:rFonts w:hint="eastAsia" w:ascii="Times New Roman" w:hAnsi="Times New Roman" w:eastAsia="宋体" w:cs="Times New Roman"/>
                <w:color w:val="auto"/>
                <w:sz w:val="24"/>
                <w:highlight w:val="none"/>
              </w:rPr>
              <w:t>及相关技术规范要求，编制了本环境影响报告表，供建设单位报生态环境主管部门审批和作为污染防治设施建设的依据。</w:t>
            </w:r>
          </w:p>
          <w:p w14:paraId="5A591F60">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建设项目环境影响评价分类管理名录（摘录）</w:t>
            </w:r>
          </w:p>
          <w:tbl>
            <w:tblPr>
              <w:tblStyle w:val="34"/>
              <w:tblW w:w="864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36"/>
              <w:gridCol w:w="2476"/>
              <w:gridCol w:w="2035"/>
              <w:gridCol w:w="2618"/>
              <w:gridCol w:w="877"/>
            </w:tblGrid>
            <w:tr w14:paraId="183FE4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12" w:type="dxa"/>
                  <w:gridSpan w:val="2"/>
                  <w:tcBorders>
                    <w:bottom w:val="single" w:color="000000" w:sz="12" w:space="0"/>
                    <w:tl2br w:val="single" w:color="000000" w:sz="4" w:space="0"/>
                  </w:tcBorders>
                  <w:vAlign w:val="center"/>
                </w:tcPr>
                <w:p w14:paraId="0BB68EE7">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环评类别</w:t>
                  </w:r>
                </w:p>
                <w:p w14:paraId="47FB7C51">
                  <w:pPr>
                    <w:pStyle w:val="138"/>
                    <w:bidi w:val="0"/>
                    <w:jc w:val="both"/>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项目类别</w:t>
                  </w:r>
                </w:p>
              </w:tc>
              <w:tc>
                <w:tcPr>
                  <w:tcW w:w="2035" w:type="dxa"/>
                  <w:tcBorders>
                    <w:bottom w:val="single" w:color="000000" w:sz="12" w:space="0"/>
                  </w:tcBorders>
                  <w:vAlign w:val="center"/>
                </w:tcPr>
                <w:p w14:paraId="3420CDCE">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报告书</w:t>
                  </w:r>
                </w:p>
              </w:tc>
              <w:tc>
                <w:tcPr>
                  <w:tcW w:w="2618" w:type="dxa"/>
                  <w:tcBorders>
                    <w:bottom w:val="single" w:color="000000" w:sz="12" w:space="0"/>
                  </w:tcBorders>
                  <w:shd w:val="clear" w:color="auto" w:fill="BEBEBE" w:themeFill="background1" w:themeFillShade="BF"/>
                  <w:vAlign w:val="center"/>
                </w:tcPr>
                <w:p w14:paraId="5BD96C56">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报告表</w:t>
                  </w:r>
                </w:p>
              </w:tc>
              <w:tc>
                <w:tcPr>
                  <w:tcW w:w="877" w:type="dxa"/>
                  <w:tcBorders>
                    <w:bottom w:val="single" w:color="000000" w:sz="12" w:space="0"/>
                  </w:tcBorders>
                  <w:vAlign w:val="center"/>
                </w:tcPr>
                <w:p w14:paraId="6540EB88">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登记表</w:t>
                  </w:r>
                </w:p>
              </w:tc>
            </w:tr>
            <w:tr w14:paraId="4886DD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642" w:type="dxa"/>
                  <w:gridSpan w:val="5"/>
                  <w:tcBorders>
                    <w:top w:val="single" w:color="000000" w:sz="12" w:space="0"/>
                    <w:tl2br w:val="nil"/>
                    <w:tr2bl w:val="nil"/>
                  </w:tcBorders>
                  <w:shd w:val="clear" w:color="auto" w:fill="BEBEBE" w:themeFill="background1" w:themeFillShade="BF"/>
                  <w:vAlign w:val="center"/>
                </w:tcPr>
                <w:p w14:paraId="3B498D0E">
                  <w:pPr>
                    <w:pStyle w:val="138"/>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eastAsia" w:ascii="Times New Roman" w:hAnsi="Times New Roman" w:eastAsia="宋体" w:cs="Times New Roman"/>
                      <w:smallCaps w:val="0"/>
                      <w:color w:val="auto"/>
                      <w:highlight w:val="none"/>
                      <w:shd w:val="clear" w:color="auto" w:fill="auto"/>
                      <w:lang w:val="en-US" w:eastAsia="zh-CN"/>
                    </w:rPr>
                    <w:t>三十三、汽车制造业36</w:t>
                  </w:r>
                </w:p>
              </w:tc>
            </w:tr>
            <w:tr w14:paraId="4032C2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36" w:type="dxa"/>
                  <w:tcBorders>
                    <w:tl2br w:val="nil"/>
                    <w:tr2bl w:val="nil"/>
                  </w:tcBorders>
                  <w:shd w:val="clear" w:color="auto" w:fill="auto"/>
                  <w:vAlign w:val="center"/>
                </w:tcPr>
                <w:p w14:paraId="6CB04B1E">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71</w:t>
                  </w:r>
                </w:p>
              </w:tc>
              <w:tc>
                <w:tcPr>
                  <w:tcW w:w="2476" w:type="dxa"/>
                  <w:tcBorders>
                    <w:tl2br w:val="nil"/>
                    <w:tr2bl w:val="nil"/>
                  </w:tcBorders>
                  <w:shd w:val="clear" w:color="auto" w:fill="auto"/>
                  <w:vAlign w:val="center"/>
                </w:tcPr>
                <w:p w14:paraId="6CA8458B">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汽车整车制造361；汽车用发动机制造362；改装汽车制造363；低速汽车制造364；电车制造365；</w:t>
                  </w:r>
                  <w:r>
                    <w:rPr>
                      <w:color w:val="auto"/>
                      <w:spacing w:val="3"/>
                    </w:rPr>
                    <w:t>汽车车身、挂车制造</w:t>
                  </w:r>
                  <w:r>
                    <w:rPr>
                      <w:rFonts w:ascii="Times New Roman" w:hAnsi="Times New Roman" w:eastAsia="Times New Roman" w:cs="Times New Roman"/>
                      <w:color w:val="auto"/>
                      <w:spacing w:val="3"/>
                    </w:rPr>
                    <w:t>366</w:t>
                  </w:r>
                  <w:r>
                    <w:rPr>
                      <w:color w:val="auto"/>
                      <w:spacing w:val="3"/>
                    </w:rPr>
                    <w:t>；汽车零</w:t>
                  </w:r>
                  <w:r>
                    <w:rPr>
                      <w:color w:val="auto"/>
                      <w:spacing w:val="12"/>
                    </w:rPr>
                    <w:t>部件及配件制造</w:t>
                  </w:r>
                  <w:r>
                    <w:rPr>
                      <w:rFonts w:ascii="Times New Roman" w:hAnsi="Times New Roman" w:eastAsia="Times New Roman" w:cs="Times New Roman"/>
                      <w:color w:val="auto"/>
                      <w:spacing w:val="12"/>
                    </w:rPr>
                    <w:t>367</w:t>
                  </w:r>
                </w:p>
              </w:tc>
              <w:tc>
                <w:tcPr>
                  <w:tcW w:w="2035" w:type="dxa"/>
                  <w:tcBorders>
                    <w:tl2br w:val="nil"/>
                    <w:tr2bl w:val="nil"/>
                  </w:tcBorders>
                  <w:shd w:val="clear" w:color="auto" w:fill="auto"/>
                  <w:vAlign w:val="center"/>
                </w:tcPr>
                <w:p w14:paraId="54E79C9B">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汽车整车制造（仅组装的除外）；汽车用发</w:t>
                  </w:r>
                  <w:r>
                    <w:rPr>
                      <w:color w:val="auto"/>
                      <w:spacing w:val="2"/>
                    </w:rPr>
                    <w:t>动机制造（仅组</w:t>
                  </w:r>
                  <w:r>
                    <w:rPr>
                      <w:color w:val="auto"/>
                      <w:spacing w:val="5"/>
                    </w:rPr>
                    <w:t>装的除外</w:t>
                  </w:r>
                  <w:r>
                    <w:rPr>
                      <w:color w:val="auto"/>
                      <w:spacing w:val="-6"/>
                    </w:rPr>
                    <w:t>）；</w:t>
                  </w:r>
                  <w:r>
                    <w:rPr>
                      <w:color w:val="auto"/>
                      <w:spacing w:val="5"/>
                    </w:rPr>
                    <w:t>有</w:t>
                  </w:r>
                  <w:r>
                    <w:rPr>
                      <w:color w:val="auto"/>
                      <w:spacing w:val="2"/>
                    </w:rPr>
                    <w:t>电镀工艺的；年</w:t>
                  </w:r>
                  <w:r>
                    <w:rPr>
                      <w:color w:val="auto"/>
                      <w:spacing w:val="8"/>
                    </w:rPr>
                    <w:t>用溶剂型涂料</w:t>
                  </w:r>
                  <w:r>
                    <w:rPr>
                      <w:color w:val="auto"/>
                      <w:spacing w:val="2"/>
                    </w:rPr>
                    <w:t>（含稀释剂）</w:t>
                  </w:r>
                  <w:r>
                    <w:rPr>
                      <w:rFonts w:ascii="Times New Roman" w:hAnsi="Times New Roman" w:eastAsia="Times New Roman" w:cs="Times New Roman"/>
                      <w:color w:val="auto"/>
                      <w:spacing w:val="2"/>
                    </w:rPr>
                    <w:t>10</w:t>
                  </w:r>
                  <w:r>
                    <w:rPr>
                      <w:color w:val="auto"/>
                      <w:spacing w:val="8"/>
                    </w:rPr>
                    <w:t>吨及以上的</w:t>
                  </w:r>
                </w:p>
              </w:tc>
              <w:tc>
                <w:tcPr>
                  <w:tcW w:w="2618" w:type="dxa"/>
                  <w:tcBorders>
                    <w:tl2br w:val="nil"/>
                    <w:tr2bl w:val="nil"/>
                  </w:tcBorders>
                  <w:shd w:val="clear" w:color="auto" w:fill="BEBEBE" w:themeFill="background1" w:themeFillShade="BF"/>
                  <w:vAlign w:val="center"/>
                </w:tcPr>
                <w:p w14:paraId="7DB2D211">
                  <w:pPr>
                    <w:pStyle w:val="115"/>
                    <w:spacing w:before="44" w:line="228" w:lineRule="auto"/>
                    <w:ind w:left="117"/>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其他（年用非溶剂型低</w:t>
                  </w:r>
                </w:p>
                <w:p w14:paraId="649A0A74">
                  <w:pPr>
                    <w:pStyle w:val="138"/>
                    <w:shd w:val="clear" w:color="auto" w:fill="auto"/>
                    <w:bidi w:val="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VOCs含量涂</w:t>
                  </w:r>
                  <w:r>
                    <w:rPr>
                      <w:color w:val="auto"/>
                      <w:spacing w:val="-1"/>
                    </w:rPr>
                    <w:t>料</w:t>
                  </w:r>
                  <w:r>
                    <w:rPr>
                      <w:rFonts w:ascii="Times New Roman" w:hAnsi="Times New Roman" w:eastAsia="Times New Roman" w:cs="Times New Roman"/>
                      <w:color w:val="auto"/>
                      <w:spacing w:val="-1"/>
                    </w:rPr>
                    <w:t>10</w:t>
                  </w:r>
                  <w:r>
                    <w:rPr>
                      <w:color w:val="auto"/>
                      <w:spacing w:val="-1"/>
                    </w:rPr>
                    <w:t>吨以下</w:t>
                  </w:r>
                  <w:r>
                    <w:rPr>
                      <w:color w:val="auto"/>
                    </w:rPr>
                    <w:t>的除外）</w:t>
                  </w:r>
                </w:p>
              </w:tc>
              <w:tc>
                <w:tcPr>
                  <w:tcW w:w="877" w:type="dxa"/>
                  <w:tcBorders>
                    <w:tl2br w:val="nil"/>
                    <w:tr2bl w:val="nil"/>
                  </w:tcBorders>
                  <w:vAlign w:val="center"/>
                </w:tcPr>
                <w:p w14:paraId="1B7D15B0">
                  <w:pPr>
                    <w:spacing w:before="284" w:line="274" w:lineRule="exact"/>
                    <w:ind w:left="466" w:leftChars="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w:t>
                  </w:r>
                </w:p>
              </w:tc>
            </w:tr>
            <w:tr w14:paraId="4E13D9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642" w:type="dxa"/>
                  <w:gridSpan w:val="5"/>
                  <w:tcBorders>
                    <w:tl2br w:val="nil"/>
                    <w:tr2bl w:val="nil"/>
                  </w:tcBorders>
                  <w:shd w:val="clear" w:color="auto" w:fill="A4A4A4"/>
                  <w:vAlign w:val="center"/>
                </w:tcPr>
                <w:p w14:paraId="3EA0ABFC">
                  <w:pPr>
                    <w:pStyle w:val="138"/>
                    <w:shd w:val="clear" w:color="auto" w:fill="auto"/>
                    <w:bidi w:val="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highlight w:val="none"/>
                      <w:shd w:val="clear" w:color="auto" w:fill="auto"/>
                      <w:lang w:val="en-US" w:eastAsia="zh-CN"/>
                    </w:rPr>
                    <w:t>三十、金属制品业 33</w:t>
                  </w:r>
                </w:p>
              </w:tc>
            </w:tr>
            <w:tr w14:paraId="696C05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36" w:type="dxa"/>
                  <w:tcBorders>
                    <w:tl2br w:val="nil"/>
                    <w:tr2bl w:val="nil"/>
                  </w:tcBorders>
                  <w:shd w:val="clear" w:color="auto" w:fill="auto"/>
                  <w:vAlign w:val="center"/>
                </w:tcPr>
                <w:p w14:paraId="3A7C5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highlight w:val="none"/>
                      <w:lang w:val="en-US" w:eastAsia="zh-CN"/>
                    </w:rPr>
                    <w:t>67</w:t>
                  </w:r>
                </w:p>
              </w:tc>
              <w:tc>
                <w:tcPr>
                  <w:tcW w:w="2476" w:type="dxa"/>
                  <w:tcBorders>
                    <w:tl2br w:val="nil"/>
                    <w:tr2bl w:val="nil"/>
                  </w:tcBorders>
                  <w:shd w:val="clear" w:color="auto" w:fill="auto"/>
                  <w:vAlign w:val="center"/>
                </w:tcPr>
                <w:p w14:paraId="75D08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spacing w:val="-2"/>
                      <w:sz w:val="21"/>
                    </w:rPr>
                    <w:t>金属表面处理及热处理加工</w:t>
                  </w:r>
                </w:p>
              </w:tc>
              <w:tc>
                <w:tcPr>
                  <w:tcW w:w="2035" w:type="dxa"/>
                  <w:tcBorders>
                    <w:tl2br w:val="nil"/>
                    <w:tr2bl w:val="nil"/>
                  </w:tcBorders>
                  <w:shd w:val="clear" w:color="auto" w:fill="auto"/>
                  <w:vAlign w:val="center"/>
                </w:tcPr>
                <w:p w14:paraId="4C5B27DF">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val="0"/>
                      <w:color w:val="auto"/>
                      <w:sz w:val="21"/>
                      <w:szCs w:val="24"/>
                    </w:rPr>
                    <w:t>有电镀工艺的；有钝化工艺的热镀锌；使用有机涂层的（喷粉、喷塑、浸塑和电泳除外；年用溶剂型涂料（含稀释剂）10吨以下和用非溶剂型低VOCs含量涂料的除外）</w:t>
                  </w:r>
                </w:p>
              </w:tc>
              <w:tc>
                <w:tcPr>
                  <w:tcW w:w="2618" w:type="dxa"/>
                  <w:tcBorders>
                    <w:tl2br w:val="nil"/>
                    <w:tr2bl w:val="nil"/>
                  </w:tcBorders>
                  <w:shd w:val="clear" w:color="auto" w:fill="A4A4A4"/>
                  <w:vAlign w:val="center"/>
                </w:tcPr>
                <w:p w14:paraId="5259C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4"/>
                    </w:rPr>
                    <w:t>其他</w:t>
                  </w:r>
                  <w:r>
                    <w:rPr>
                      <w:rFonts w:hint="default"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年用非溶剂型低VOCs含量涂料10吨以下的除外</w:t>
                  </w:r>
                  <w:r>
                    <w:rPr>
                      <w:rFonts w:hint="default" w:ascii="Times New Roman" w:hAnsi="Times New Roman" w:eastAsia="宋体" w:cs="Times New Roman"/>
                      <w:color w:val="auto"/>
                      <w:sz w:val="21"/>
                      <w:szCs w:val="24"/>
                      <w:lang w:eastAsia="zh-CN"/>
                    </w:rPr>
                    <w:t>）</w:t>
                  </w:r>
                </w:p>
              </w:tc>
              <w:tc>
                <w:tcPr>
                  <w:tcW w:w="877" w:type="dxa"/>
                  <w:tcBorders>
                    <w:tl2br w:val="nil"/>
                    <w:tr2bl w:val="nil"/>
                  </w:tcBorders>
                  <w:shd w:val="clear" w:color="auto" w:fill="auto"/>
                  <w:vAlign w:val="center"/>
                </w:tcPr>
                <w:p w14:paraId="0387C3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4"/>
                      <w:lang w:val="en-US" w:eastAsia="zh-CN"/>
                    </w:rPr>
                    <w:t>/</w:t>
                  </w:r>
                </w:p>
              </w:tc>
            </w:tr>
          </w:tbl>
          <w:p w14:paraId="742BA155">
            <w:pPr>
              <w:pStyle w:val="3"/>
              <w:bidi w:val="0"/>
              <w:ind w:left="0" w:leftChars="0" w:firstLine="0" w:firstLineChars="0"/>
              <w:rPr>
                <w:rFonts w:hint="eastAsia"/>
                <w:color w:val="auto"/>
                <w:highlight w:val="none"/>
              </w:rPr>
            </w:pPr>
            <w:r>
              <w:rPr>
                <w:rFonts w:hint="eastAsia"/>
                <w:color w:val="auto"/>
                <w:highlight w:val="none"/>
              </w:rPr>
              <w:t>项目概况</w:t>
            </w:r>
          </w:p>
          <w:p w14:paraId="5A336DAE">
            <w:pPr>
              <w:pStyle w:val="46"/>
              <w:ind w:firstLine="480"/>
              <w:rPr>
                <w:rFonts w:hint="default" w:eastAsia="宋体"/>
                <w:color w:val="auto"/>
                <w:highlight w:val="none"/>
                <w:lang w:val="en-US" w:eastAsia="zh-CN"/>
              </w:rPr>
            </w:pPr>
            <w:r>
              <w:rPr>
                <w:color w:val="auto"/>
                <w:highlight w:val="none"/>
              </w:rPr>
              <w:t>项目名称：</w:t>
            </w:r>
            <w:r>
              <w:rPr>
                <w:rFonts w:hint="eastAsia"/>
                <w:color w:val="auto"/>
                <w:highlight w:val="none"/>
                <w:lang w:eastAsia="zh-CN"/>
              </w:rPr>
              <w:t>福州景卓汽车零部件有限公司年加工汽车座椅骨架12万套项目；</w:t>
            </w:r>
          </w:p>
          <w:p w14:paraId="59EFDE5E">
            <w:pPr>
              <w:pStyle w:val="46"/>
              <w:ind w:firstLine="480"/>
              <w:rPr>
                <w:rFonts w:hint="default"/>
                <w:color w:val="auto"/>
                <w:highlight w:val="none"/>
                <w:lang w:val="en-US" w:eastAsia="zh-CN"/>
              </w:rPr>
            </w:pPr>
            <w:r>
              <w:rPr>
                <w:color w:val="auto"/>
                <w:highlight w:val="none"/>
              </w:rPr>
              <w:t>建设单位：</w:t>
            </w:r>
            <w:r>
              <w:rPr>
                <w:rFonts w:hint="eastAsia"/>
                <w:color w:val="auto"/>
                <w:highlight w:val="none"/>
                <w:lang w:eastAsia="zh-CN"/>
              </w:rPr>
              <w:t>福州景卓汽车零部件有限公司；</w:t>
            </w:r>
          </w:p>
          <w:p w14:paraId="31DDF595">
            <w:pPr>
              <w:pStyle w:val="46"/>
              <w:ind w:firstLine="480"/>
              <w:rPr>
                <w:rFonts w:hint="default"/>
                <w:color w:val="auto"/>
                <w:lang w:val="en-US" w:eastAsia="zh-CN"/>
              </w:rPr>
            </w:pPr>
            <w:r>
              <w:rPr>
                <w:color w:val="auto"/>
                <w:highlight w:val="none"/>
              </w:rPr>
              <w:t>建设地点：</w:t>
            </w:r>
            <w:r>
              <w:rPr>
                <w:rFonts w:hint="eastAsia"/>
                <w:color w:val="auto"/>
                <w:lang w:val="en-US" w:eastAsia="zh-CN"/>
              </w:rPr>
              <w:t>福建省福州市福建省福州市福清市镜洋镇工业区（租赁福州鼎力机械有限公司内铸造车间1号）；</w:t>
            </w:r>
          </w:p>
          <w:p w14:paraId="725B8E26">
            <w:pPr>
              <w:pStyle w:val="46"/>
              <w:ind w:firstLine="480"/>
              <w:rPr>
                <w:rFonts w:hint="default" w:eastAsia="宋体"/>
                <w:color w:val="auto"/>
                <w:highlight w:val="none"/>
                <w:lang w:val="en-US" w:eastAsia="zh-CN"/>
              </w:rPr>
            </w:pPr>
            <w:r>
              <w:rPr>
                <w:color w:val="auto"/>
                <w:highlight w:val="none"/>
              </w:rPr>
              <w:t>建设性质：</w:t>
            </w:r>
            <w:r>
              <w:rPr>
                <w:rFonts w:hint="eastAsia"/>
                <w:color w:val="auto"/>
                <w:highlight w:val="none"/>
                <w:lang w:val="en-US" w:eastAsia="zh-CN"/>
              </w:rPr>
              <w:t>新建；</w:t>
            </w:r>
          </w:p>
          <w:p w14:paraId="24EEDE82">
            <w:pPr>
              <w:pStyle w:val="46"/>
              <w:shd w:val="clear"/>
              <w:ind w:firstLine="480"/>
              <w:rPr>
                <w:rFonts w:hint="eastAsia" w:ascii="Times New Roman" w:hAnsi="Times New Roman" w:eastAsia="宋体" w:cs="宋体"/>
                <w:color w:val="auto"/>
                <w:highlight w:val="none"/>
                <w:lang w:val="en-US" w:eastAsia="zh-CN"/>
              </w:rPr>
            </w:pPr>
            <w:r>
              <w:rPr>
                <w:color w:val="auto"/>
                <w:highlight w:val="none"/>
              </w:rPr>
              <w:t>项目投资：</w:t>
            </w:r>
            <w:r>
              <w:rPr>
                <w:rFonts w:hint="eastAsia" w:cs="宋体"/>
                <w:color w:val="auto"/>
                <w:highlight w:val="none"/>
                <w:lang w:val="en-US" w:eastAsia="zh-CN"/>
              </w:rPr>
              <w:t>360</w:t>
            </w:r>
            <w:r>
              <w:rPr>
                <w:rFonts w:hint="eastAsia" w:ascii="Times New Roman" w:hAnsi="Times New Roman" w:eastAsia="宋体" w:cs="宋体"/>
                <w:color w:val="auto"/>
                <w:highlight w:val="none"/>
              </w:rPr>
              <w:t>万元</w:t>
            </w:r>
            <w:r>
              <w:rPr>
                <w:rFonts w:hint="eastAsia" w:cs="宋体"/>
                <w:color w:val="auto"/>
                <w:highlight w:val="none"/>
                <w:lang w:eastAsia="zh-CN"/>
              </w:rPr>
              <w:t>；</w:t>
            </w:r>
          </w:p>
          <w:p w14:paraId="7517E292">
            <w:pPr>
              <w:pStyle w:val="46"/>
              <w:shd w:val="clear"/>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职工人数：职工人数共</w:t>
            </w:r>
            <w:r>
              <w:rPr>
                <w:rFonts w:hint="eastAsia" w:ascii="Times New Roman" w:hAnsi="Times New Roman" w:eastAsia="宋体" w:cs="宋体"/>
                <w:color w:val="auto"/>
                <w:highlight w:val="none"/>
                <w:lang w:val="en-US" w:eastAsia="zh-CN"/>
              </w:rPr>
              <w:t>30</w:t>
            </w:r>
            <w:r>
              <w:rPr>
                <w:rFonts w:hint="eastAsia" w:ascii="Times New Roman" w:hAnsi="Times New Roman" w:eastAsia="宋体" w:cs="宋体"/>
                <w:color w:val="auto"/>
                <w:highlight w:val="none"/>
              </w:rPr>
              <w:t>人，均不</w:t>
            </w:r>
            <w:r>
              <w:rPr>
                <w:rFonts w:hint="eastAsia" w:ascii="Times New Roman" w:hAnsi="Times New Roman" w:eastAsia="宋体" w:cs="宋体"/>
                <w:color w:val="auto"/>
                <w:highlight w:val="none"/>
                <w:lang w:val="en-US" w:eastAsia="zh-CN"/>
              </w:rPr>
              <w:t>住</w:t>
            </w:r>
            <w:r>
              <w:rPr>
                <w:rFonts w:hint="eastAsia" w:ascii="Times New Roman" w:hAnsi="Times New Roman" w:eastAsia="宋体" w:cs="宋体"/>
                <w:color w:val="auto"/>
                <w:highlight w:val="none"/>
              </w:rPr>
              <w:t>厂</w:t>
            </w:r>
            <w:r>
              <w:rPr>
                <w:rFonts w:hint="eastAsia" w:cs="宋体"/>
                <w:color w:val="auto"/>
                <w:highlight w:val="none"/>
                <w:lang w:eastAsia="zh-CN"/>
              </w:rPr>
              <w:t>；</w:t>
            </w:r>
          </w:p>
          <w:p w14:paraId="69121A37">
            <w:pPr>
              <w:pStyle w:val="46"/>
              <w:shd w:val="clear"/>
              <w:ind w:firstLine="480"/>
              <w:rPr>
                <w:rFonts w:hint="default" w:ascii="Times New Roman" w:hAnsi="Times New Roman" w:eastAsia="宋体" w:cs="宋体"/>
                <w:color w:val="auto"/>
                <w:highlight w:val="none"/>
                <w:lang w:val="en-US"/>
              </w:rPr>
            </w:pPr>
            <w:r>
              <w:rPr>
                <w:rFonts w:hint="eastAsia" w:ascii="Times New Roman" w:hAnsi="Times New Roman" w:eastAsia="宋体" w:cs="宋体"/>
                <w:color w:val="auto"/>
                <w:highlight w:val="none"/>
              </w:rPr>
              <w:t>工作制度：年生产3</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0天，</w:t>
            </w:r>
            <w:r>
              <w:rPr>
                <w:rFonts w:hint="eastAsia" w:ascii="Times New Roman" w:hAnsi="Times New Roman" w:eastAsia="宋体" w:cs="宋体"/>
                <w:color w:val="auto"/>
                <w:highlight w:val="none"/>
                <w:lang w:val="en-US" w:eastAsia="zh-CN"/>
              </w:rPr>
              <w:t>单班制，每班8h</w:t>
            </w:r>
            <w:r>
              <w:rPr>
                <w:rFonts w:hint="eastAsia" w:cs="宋体"/>
                <w:color w:val="auto"/>
                <w:highlight w:val="none"/>
                <w:lang w:val="en-US" w:eastAsia="zh-CN"/>
              </w:rPr>
              <w:t>；</w:t>
            </w:r>
          </w:p>
          <w:p w14:paraId="7F806063">
            <w:pPr>
              <w:pStyle w:val="46"/>
              <w:shd w:val="clear"/>
              <w:ind w:firstLine="480"/>
              <w:rPr>
                <w:rFonts w:hint="default" w:ascii="Times New Roman" w:hAnsi="Times New Roman" w:eastAsia="宋体" w:cs="宋体"/>
                <w:color w:val="auto"/>
                <w:highlight w:val="none"/>
                <w:lang w:val="en-US"/>
              </w:rPr>
            </w:pPr>
            <w:r>
              <w:rPr>
                <w:rFonts w:hint="eastAsia" w:ascii="Times New Roman" w:hAnsi="Times New Roman" w:eastAsia="宋体" w:cs="宋体"/>
                <w:color w:val="auto"/>
                <w:highlight w:val="none"/>
              </w:rPr>
              <w:t>建设内容及规模：</w:t>
            </w:r>
            <w:r>
              <w:rPr>
                <w:rFonts w:hint="eastAsia" w:ascii="Times New Roman" w:hAnsi="Times New Roman" w:eastAsia="宋体" w:cs="宋体"/>
                <w:color w:val="auto"/>
                <w:highlight w:val="none"/>
                <w:lang w:val="en-US" w:eastAsia="zh-CN"/>
              </w:rPr>
              <w:t>年加工汽车座椅骨架</w:t>
            </w:r>
            <w:r>
              <w:rPr>
                <w:rFonts w:hint="eastAsia" w:cs="宋体"/>
                <w:color w:val="auto"/>
                <w:highlight w:val="none"/>
                <w:lang w:val="en-US" w:eastAsia="zh-CN"/>
              </w:rPr>
              <w:t>12</w:t>
            </w:r>
            <w:r>
              <w:rPr>
                <w:rFonts w:hint="eastAsia" w:ascii="Times New Roman" w:hAnsi="Times New Roman" w:eastAsia="宋体" w:cs="宋体"/>
                <w:color w:val="auto"/>
                <w:highlight w:val="none"/>
                <w:lang w:val="en-US" w:eastAsia="zh-CN"/>
              </w:rPr>
              <w:t>万套</w:t>
            </w:r>
            <w:r>
              <w:rPr>
                <w:rFonts w:hint="eastAsia" w:cs="宋体"/>
                <w:color w:val="auto"/>
                <w:highlight w:val="none"/>
                <w:lang w:val="en-US" w:eastAsia="zh-CN"/>
              </w:rPr>
              <w:t>。</w:t>
            </w:r>
          </w:p>
          <w:p w14:paraId="305B200E">
            <w:pPr>
              <w:pStyle w:val="4"/>
              <w:bidi w:val="0"/>
              <w:ind w:left="720" w:leftChars="0" w:hanging="720" w:firstLineChars="0"/>
              <w:rPr>
                <w:color w:val="auto"/>
                <w:highlight w:val="none"/>
              </w:rPr>
            </w:pPr>
            <w:r>
              <w:rPr>
                <w:rFonts w:hint="eastAsia"/>
                <w:color w:val="auto"/>
                <w:highlight w:val="none"/>
              </w:rPr>
              <w:t>产品方案</w:t>
            </w:r>
          </w:p>
          <w:p w14:paraId="01DA6738">
            <w:pPr>
              <w:spacing w:line="360" w:lineRule="auto"/>
              <w:ind w:left="480"/>
              <w:rPr>
                <w:rFonts w:ascii="宋体" w:cs="宋体"/>
                <w:color w:val="auto"/>
                <w:kern w:val="0"/>
                <w:highlight w:val="none"/>
              </w:rPr>
            </w:pPr>
            <w:r>
              <w:rPr>
                <w:rFonts w:hint="eastAsia" w:ascii="宋体" w:cs="宋体"/>
                <w:color w:val="auto"/>
                <w:kern w:val="0"/>
                <w:sz w:val="24"/>
                <w:highlight w:val="none"/>
                <w:lang w:bidi="ar"/>
              </w:rPr>
              <w:t>本项目产品方案见下表。</w:t>
            </w:r>
          </w:p>
          <w:p w14:paraId="2BB98315">
            <w:pPr>
              <w:pStyle w:val="44"/>
              <w:keepNext/>
              <w:keepLines/>
              <w:pageBreakBefore w:val="0"/>
              <w:widowControl w:val="0"/>
              <w:shd w:val="clear"/>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color w:val="auto"/>
                <w:highlight w:val="none"/>
                <w:lang w:val="en-US" w:eastAsia="zh-CN"/>
              </w:rPr>
              <w:t>本项目</w:t>
            </w:r>
            <w:r>
              <w:rPr>
                <w:rFonts w:hint="eastAsia" w:ascii="Times New Roman" w:hAnsi="Times New Roman" w:eastAsia="宋体"/>
                <w:color w:val="auto"/>
                <w:highlight w:val="none"/>
              </w:rPr>
              <w:t>产品方案</w:t>
            </w:r>
          </w:p>
          <w:tbl>
            <w:tblPr>
              <w:tblStyle w:val="86"/>
              <w:tblW w:w="8670"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866"/>
              <w:gridCol w:w="2774"/>
              <w:gridCol w:w="3030"/>
            </w:tblGrid>
            <w:tr w14:paraId="4D69E4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866" w:type="dxa"/>
                  <w:tcBorders>
                    <w:bottom w:val="single" w:color="000000" w:sz="12" w:space="0"/>
                  </w:tcBorders>
                  <w:vAlign w:val="center"/>
                </w:tcPr>
                <w:p w14:paraId="59BB64A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3"/>
                      <w:sz w:val="21"/>
                    </w:rPr>
                    <w:t>产品</w:t>
                  </w:r>
                </w:p>
              </w:tc>
              <w:tc>
                <w:tcPr>
                  <w:tcW w:w="2774" w:type="dxa"/>
                  <w:tcBorders>
                    <w:bottom w:val="single" w:color="000000" w:sz="12" w:space="0"/>
                  </w:tcBorders>
                  <w:vAlign w:val="center"/>
                </w:tcPr>
                <w:p w14:paraId="499AACE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年设计能力</w:t>
                  </w:r>
                </w:p>
              </w:tc>
              <w:tc>
                <w:tcPr>
                  <w:tcW w:w="3030" w:type="dxa"/>
                  <w:tcBorders>
                    <w:bottom w:val="single" w:color="000000" w:sz="12" w:space="0"/>
                  </w:tcBorders>
                  <w:vAlign w:val="center"/>
                </w:tcPr>
                <w:p w14:paraId="7AF2AF9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年运行时间</w:t>
                  </w:r>
                </w:p>
              </w:tc>
            </w:tr>
            <w:tr w14:paraId="4CAF81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66" w:type="dxa"/>
                  <w:tcBorders>
                    <w:top w:val="single" w:color="000000" w:sz="12" w:space="0"/>
                    <w:tl2br w:val="nil"/>
                    <w:tr2bl w:val="nil"/>
                  </w:tcBorders>
                  <w:vAlign w:val="center"/>
                </w:tcPr>
                <w:p w14:paraId="717548C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汽车座椅骨架</w:t>
                  </w:r>
                </w:p>
              </w:tc>
              <w:tc>
                <w:tcPr>
                  <w:tcW w:w="2774" w:type="dxa"/>
                  <w:tcBorders>
                    <w:top w:val="single" w:color="000000" w:sz="12" w:space="0"/>
                    <w:tl2br w:val="nil"/>
                    <w:tr2bl w:val="nil"/>
                  </w:tcBorders>
                  <w:shd w:val="clear" w:color="auto" w:fill="auto"/>
                  <w:vAlign w:val="center"/>
                </w:tcPr>
                <w:p w14:paraId="030904A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hint="eastAsia" w:ascii="Times New Roman" w:hAnsi="Times New Roman" w:cs="Times New Roman"/>
                      <w:color w:val="auto"/>
                      <w:spacing w:val="2"/>
                      <w:position w:val="1"/>
                      <w:sz w:val="21"/>
                      <w:highlight w:val="none"/>
                      <w:lang w:val="en-US" w:eastAsia="zh-CN"/>
                    </w:rPr>
                    <w:t>12</w:t>
                  </w:r>
                  <w:r>
                    <w:rPr>
                      <w:rFonts w:ascii="Times New Roman" w:hAnsi="Times New Roman" w:eastAsia="宋体"/>
                      <w:color w:val="auto"/>
                      <w:spacing w:val="2"/>
                      <w:position w:val="1"/>
                      <w:sz w:val="21"/>
                      <w:highlight w:val="none"/>
                    </w:rPr>
                    <w:t>万套</w:t>
                  </w:r>
                </w:p>
              </w:tc>
              <w:tc>
                <w:tcPr>
                  <w:tcW w:w="3030" w:type="dxa"/>
                  <w:tcBorders>
                    <w:top w:val="single" w:color="000000" w:sz="12" w:space="0"/>
                    <w:tl2br w:val="nil"/>
                    <w:tr2bl w:val="nil"/>
                  </w:tcBorders>
                  <w:shd w:val="clear" w:color="auto" w:fill="auto"/>
                  <w:vAlign w:val="center"/>
                </w:tcPr>
                <w:p w14:paraId="2C7799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hint="eastAsia" w:ascii="Times New Roman" w:hAnsi="Times New Roman" w:eastAsia="宋体" w:cs="Times New Roman"/>
                      <w:color w:val="auto"/>
                      <w:spacing w:val="4"/>
                      <w:position w:val="1"/>
                      <w:sz w:val="21"/>
                      <w:szCs w:val="20"/>
                      <w:highlight w:val="none"/>
                      <w:shd w:val="clear"/>
                      <w:lang w:val="en-US" w:eastAsia="zh-CN"/>
                    </w:rPr>
                    <w:t>24</w:t>
                  </w:r>
                  <w:r>
                    <w:rPr>
                      <w:rFonts w:ascii="Times New Roman" w:hAnsi="Times New Roman" w:eastAsia="宋体" w:cs="Times New Roman"/>
                      <w:color w:val="auto"/>
                      <w:spacing w:val="4"/>
                      <w:position w:val="1"/>
                      <w:sz w:val="21"/>
                      <w:szCs w:val="20"/>
                      <w:highlight w:val="none"/>
                      <w:shd w:val="clear"/>
                    </w:rPr>
                    <w:t>00h</w:t>
                  </w:r>
                </w:p>
              </w:tc>
            </w:tr>
          </w:tbl>
          <w:p w14:paraId="684CA25A">
            <w:pPr>
              <w:rPr>
                <w:rFonts w:hint="eastAsia"/>
                <w:color w:val="auto"/>
              </w:rPr>
            </w:pPr>
          </w:p>
          <w:p w14:paraId="62AAFC52">
            <w:pPr>
              <w:pStyle w:val="3"/>
              <w:bidi w:val="0"/>
              <w:ind w:left="0" w:leftChars="0" w:firstLine="0" w:firstLineChars="0"/>
              <w:rPr>
                <w:rFonts w:hint="eastAsia"/>
                <w:color w:val="auto"/>
                <w:highlight w:val="none"/>
              </w:rPr>
            </w:pPr>
            <w:r>
              <w:rPr>
                <w:rFonts w:hint="eastAsia"/>
                <w:color w:val="auto"/>
                <w:highlight w:val="none"/>
              </w:rPr>
              <w:t>项目建设内容</w:t>
            </w:r>
            <w:r>
              <w:rPr>
                <w:rFonts w:hint="eastAsia"/>
                <w:color w:val="auto"/>
                <w:highlight w:val="none"/>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10"/>
                          <a:stretch>
                            <a:fillRect/>
                          </a:stretch>
                        </pic:blipFill>
                        <pic:spPr>
                          <a:xfrm>
                            <a:off x="0" y="0"/>
                            <a:ext cx="635" cy="0"/>
                          </a:xfrm>
                          <a:prstGeom prst="rect">
                            <a:avLst/>
                          </a:prstGeom>
                          <a:noFill/>
                          <a:ln>
                            <a:noFill/>
                          </a:ln>
                        </pic:spPr>
                      </pic:pic>
                    </a:graphicData>
                  </a:graphic>
                </wp:inline>
              </w:drawing>
            </w:r>
          </w:p>
          <w:p w14:paraId="3EA40E8A">
            <w:pPr>
              <w:pStyle w:val="4"/>
              <w:bidi w:val="0"/>
              <w:ind w:left="720" w:leftChars="0" w:hanging="720" w:firstLineChars="0"/>
              <w:rPr>
                <w:rFonts w:hint="eastAsia"/>
                <w:color w:val="auto"/>
                <w:highlight w:val="none"/>
              </w:rPr>
            </w:pPr>
            <w:r>
              <w:rPr>
                <w:rFonts w:hint="eastAsia"/>
                <w:color w:val="auto"/>
                <w:highlight w:val="none"/>
              </w:rPr>
              <w:t>主要建设内容</w:t>
            </w:r>
          </w:p>
          <w:p w14:paraId="1E90F9D2">
            <w:pPr>
              <w:pStyle w:val="46"/>
              <w:ind w:firstLine="480"/>
              <w:rPr>
                <w:color w:val="auto"/>
                <w:highlight w:val="none"/>
              </w:rPr>
            </w:pPr>
            <w:r>
              <w:rPr>
                <w:color w:val="auto"/>
                <w:highlight w:val="none"/>
              </w:rPr>
              <w:t>项目</w:t>
            </w:r>
            <w:r>
              <w:rPr>
                <w:rFonts w:hint="eastAsia"/>
                <w:color w:val="auto"/>
                <w:highlight w:val="none"/>
              </w:rPr>
              <w:t>工程</w:t>
            </w:r>
            <w:r>
              <w:rPr>
                <w:color w:val="auto"/>
                <w:highlight w:val="none"/>
              </w:rPr>
              <w:t>组成见</w:t>
            </w:r>
            <w:r>
              <w:rPr>
                <w:rFonts w:hint="eastAsia"/>
                <w:color w:val="auto"/>
                <w:highlight w:val="none"/>
              </w:rPr>
              <w:t>下表</w:t>
            </w:r>
            <w:r>
              <w:rPr>
                <w:rFonts w:hint="eastAsia"/>
                <w:color w:val="auto"/>
                <w:highlight w:val="none"/>
                <w:lang w:eastAsia="zh-CN"/>
              </w:rPr>
              <w:t>。</w:t>
            </w:r>
          </w:p>
          <w:p w14:paraId="3908E0A2">
            <w:pPr>
              <w:pStyle w:val="44"/>
              <w:keepNext/>
              <w:keepLines/>
              <w:pageBreakBefore w:val="0"/>
              <w:widowControl w:val="0"/>
              <w:shd w:val="clear"/>
              <w:kinsoku/>
              <w:wordWrap/>
              <w:overflowPunct/>
              <w:topLinePunct w:val="0"/>
              <w:autoSpaceDE/>
              <w:autoSpaceDN/>
              <w:bidi w:val="0"/>
              <w:adjustRightInd/>
              <w:snapToGrid/>
              <w:spacing w:before="0" w:after="0" w:line="240" w:lineRule="auto"/>
              <w:ind w:left="630" w:leftChars="0" w:firstLineChars="0"/>
              <w:textAlignment w:val="auto"/>
              <w:rPr>
                <w:color w:val="auto"/>
                <w:highlight w:val="none"/>
              </w:rPr>
            </w:pPr>
            <w:r>
              <w:rPr>
                <w:rFonts w:hint="eastAsia" w:ascii="Times New Roman" w:hAnsi="Times New Roman" w:eastAsia="宋体" w:cs="Times New Roman"/>
                <w:color w:val="auto"/>
                <w:lang w:val="en-US" w:eastAsia="zh-CN"/>
              </w:rPr>
              <w:t>工</w:t>
            </w:r>
            <w:r>
              <w:rPr>
                <w:rFonts w:hint="eastAsia" w:ascii="Times New Roman" w:hAnsi="Times New Roman" w:eastAsia="宋体" w:cs="宋体"/>
                <w:b/>
                <w:bCs/>
                <w:color w:val="auto"/>
                <w:kern w:val="0"/>
                <w:sz w:val="24"/>
                <w:szCs w:val="21"/>
                <w:highlight w:val="none"/>
                <w:lang w:val="en-US" w:eastAsia="zh-CN" w:bidi="ar-SA"/>
              </w:rPr>
              <w:t>程</w:t>
            </w:r>
            <w:r>
              <w:rPr>
                <w:rFonts w:hint="default" w:ascii="Times New Roman" w:hAnsi="Times New Roman" w:eastAsia="宋体" w:cs="宋体"/>
                <w:b/>
                <w:bCs/>
                <w:color w:val="auto"/>
                <w:kern w:val="0"/>
                <w:sz w:val="24"/>
                <w:szCs w:val="21"/>
                <w:highlight w:val="none"/>
                <w:lang w:val="en-US" w:eastAsia="zh-CN" w:bidi="ar-SA"/>
              </w:rPr>
              <w:t>主要建设内容情况一览表</w:t>
            </w:r>
          </w:p>
          <w:tbl>
            <w:tblPr>
              <w:tblStyle w:val="35"/>
              <w:tblW w:w="9990"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36"/>
              <w:gridCol w:w="2054"/>
              <w:gridCol w:w="3072"/>
              <w:gridCol w:w="2110"/>
              <w:gridCol w:w="1318"/>
            </w:tblGrid>
            <w:tr w14:paraId="384AC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bottom w:val="single" w:color="000000" w:sz="12" w:space="0"/>
                  </w:tcBorders>
                  <w:shd w:val="clear" w:color="auto" w:fill="auto"/>
                  <w:vAlign w:val="center"/>
                </w:tcPr>
                <w:p w14:paraId="1CDD0907">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2"/>
                      <w:sz w:val="21"/>
                      <w:szCs w:val="21"/>
                    </w:rPr>
                    <w:t>工程</w:t>
                  </w:r>
                </w:p>
                <w:p w14:paraId="0F81E770">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3"/>
                      <w:sz w:val="21"/>
                      <w:szCs w:val="21"/>
                    </w:rPr>
                    <w:t>类别</w:t>
                  </w:r>
                </w:p>
              </w:tc>
              <w:tc>
                <w:tcPr>
                  <w:tcW w:w="2054" w:type="dxa"/>
                  <w:tcBorders>
                    <w:bottom w:val="single" w:color="000000" w:sz="12" w:space="0"/>
                  </w:tcBorders>
                  <w:shd w:val="clear" w:color="auto" w:fill="auto"/>
                  <w:vAlign w:val="center"/>
                </w:tcPr>
                <w:p w14:paraId="106480A6">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5"/>
                      <w:sz w:val="21"/>
                      <w:szCs w:val="21"/>
                    </w:rPr>
                    <w:t>工程名称</w:t>
                  </w:r>
                </w:p>
              </w:tc>
              <w:tc>
                <w:tcPr>
                  <w:tcW w:w="3072" w:type="dxa"/>
                  <w:tcBorders>
                    <w:bottom w:val="single" w:color="000000" w:sz="12" w:space="0"/>
                  </w:tcBorders>
                  <w:shd w:val="clear" w:color="auto" w:fill="auto"/>
                  <w:vAlign w:val="center"/>
                </w:tcPr>
                <w:p w14:paraId="0132B53C">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6"/>
                      <w:sz w:val="21"/>
                      <w:szCs w:val="21"/>
                    </w:rPr>
                    <w:t>工程规模和内容</w:t>
                  </w:r>
                </w:p>
              </w:tc>
              <w:tc>
                <w:tcPr>
                  <w:tcW w:w="2110" w:type="dxa"/>
                  <w:tcBorders>
                    <w:bottom w:val="single" w:color="000000" w:sz="12" w:space="0"/>
                  </w:tcBorders>
                  <w:shd w:val="clear" w:color="auto" w:fill="auto"/>
                  <w:vAlign w:val="center"/>
                </w:tcPr>
                <w:p w14:paraId="74239EB0">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2"/>
                      <w:sz w:val="21"/>
                      <w:szCs w:val="21"/>
                    </w:rPr>
                    <w:t>备注</w:t>
                  </w:r>
                </w:p>
              </w:tc>
            </w:tr>
            <w:tr w14:paraId="4D4555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op w:val="single" w:color="000000" w:sz="12" w:space="0"/>
                    <w:tl2br w:val="nil"/>
                    <w:tr2bl w:val="nil"/>
                  </w:tcBorders>
                  <w:shd w:val="clear" w:color="auto" w:fill="auto"/>
                  <w:vAlign w:val="center"/>
                </w:tcPr>
                <w:p w14:paraId="319E6101">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主体</w:t>
                  </w:r>
                </w:p>
                <w:p w14:paraId="14FEA10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工程</w:t>
                  </w:r>
                </w:p>
              </w:tc>
              <w:tc>
                <w:tcPr>
                  <w:tcW w:w="2054" w:type="dxa"/>
                  <w:tcBorders>
                    <w:top w:val="single" w:color="000000" w:sz="12" w:space="0"/>
                    <w:tl2br w:val="nil"/>
                    <w:tr2bl w:val="nil"/>
                  </w:tcBorders>
                  <w:shd w:val="clear" w:color="auto" w:fill="auto"/>
                  <w:vAlign w:val="center"/>
                </w:tcPr>
                <w:p w14:paraId="02B4FF6E">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焊接区</w:t>
                  </w:r>
                </w:p>
              </w:tc>
              <w:tc>
                <w:tcPr>
                  <w:tcW w:w="3072" w:type="dxa"/>
                  <w:tcBorders>
                    <w:top w:val="single" w:color="000000" w:sz="12" w:space="0"/>
                    <w:tl2br w:val="nil"/>
                    <w:tr2bl w:val="nil"/>
                  </w:tcBorders>
                  <w:shd w:val="clear" w:color="auto" w:fill="auto"/>
                  <w:vAlign w:val="center"/>
                </w:tcPr>
                <w:p w14:paraId="5405BEE3">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主要建设焊接工序，面积528m</w:t>
                  </w:r>
                  <w:r>
                    <w:rPr>
                      <w:rFonts w:hint="eastAsia" w:ascii="Times New Roman" w:hAnsi="Times New Roman" w:cs="宋体"/>
                      <w:color w:val="auto"/>
                      <w:kern w:val="2"/>
                      <w:sz w:val="21"/>
                      <w:szCs w:val="21"/>
                      <w:vertAlign w:val="superscript"/>
                      <w:lang w:val="en-US" w:eastAsia="zh-CN" w:bidi="ar-SA"/>
                    </w:rPr>
                    <w:t>2</w:t>
                  </w:r>
                </w:p>
              </w:tc>
              <w:tc>
                <w:tcPr>
                  <w:tcW w:w="2110" w:type="dxa"/>
                  <w:vMerge w:val="restart"/>
                  <w:tcBorders>
                    <w:top w:val="single" w:color="000000" w:sz="12" w:space="0"/>
                    <w:tl2br w:val="nil"/>
                    <w:tr2bl w:val="nil"/>
                  </w:tcBorders>
                  <w:shd w:val="clear" w:color="auto" w:fill="auto"/>
                  <w:vAlign w:val="center"/>
                </w:tcPr>
                <w:p w14:paraId="44D3B5FD">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6"/>
                      <w:sz w:val="21"/>
                      <w:szCs w:val="21"/>
                    </w:rPr>
                  </w:pPr>
                  <w:r>
                    <w:rPr>
                      <w:rFonts w:ascii="Times New Roman" w:hAnsi="Times New Roman" w:eastAsia="宋体"/>
                      <w:color w:val="auto"/>
                      <w:spacing w:val="6"/>
                      <w:sz w:val="21"/>
                      <w:szCs w:val="21"/>
                    </w:rPr>
                    <w:t>场地租赁，</w:t>
                  </w:r>
                  <w:r>
                    <w:rPr>
                      <w:rFonts w:ascii="Times New Roman" w:hAnsi="Times New Roman" w:eastAsia="宋体"/>
                      <w:color w:val="auto"/>
                      <w:spacing w:val="3"/>
                      <w:sz w:val="21"/>
                      <w:szCs w:val="21"/>
                    </w:rPr>
                    <w:t>内部设施新</w:t>
                  </w:r>
                  <w:r>
                    <w:rPr>
                      <w:rFonts w:ascii="Times New Roman" w:hAnsi="Times New Roman" w:eastAsia="宋体"/>
                      <w:color w:val="auto"/>
                      <w:sz w:val="21"/>
                      <w:szCs w:val="21"/>
                    </w:rPr>
                    <w:t>建</w:t>
                  </w:r>
                </w:p>
                <w:p w14:paraId="300A093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73EB8C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Height w:val="90" w:hRule="atLeast"/>
              </w:trPr>
              <w:tc>
                <w:tcPr>
                  <w:tcW w:w="1436" w:type="dxa"/>
                  <w:vMerge w:val="continue"/>
                  <w:tcBorders>
                    <w:tl2br w:val="nil"/>
                    <w:tr2bl w:val="nil"/>
                  </w:tcBorders>
                  <w:shd w:val="clear" w:color="auto" w:fill="auto"/>
                  <w:vAlign w:val="center"/>
                </w:tcPr>
                <w:p w14:paraId="5FDF763D">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3"/>
                      <w:sz w:val="21"/>
                      <w:szCs w:val="21"/>
                    </w:rPr>
                  </w:pPr>
                </w:p>
              </w:tc>
              <w:tc>
                <w:tcPr>
                  <w:tcW w:w="2054" w:type="dxa"/>
                  <w:tcBorders>
                    <w:tl2br w:val="nil"/>
                    <w:tr2bl w:val="nil"/>
                  </w:tcBorders>
                  <w:shd w:val="clear" w:color="auto" w:fill="auto"/>
                  <w:vAlign w:val="center"/>
                </w:tcPr>
                <w:p w14:paraId="5DDF2914">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olor w:val="auto"/>
                      <w:spacing w:val="6"/>
                      <w:sz w:val="21"/>
                      <w:szCs w:val="21"/>
                      <w:lang w:val="en-US" w:eastAsia="zh-CN"/>
                    </w:rPr>
                  </w:pPr>
                  <w:r>
                    <w:rPr>
                      <w:rFonts w:hint="eastAsia" w:ascii="Times New Roman" w:hAnsi="Times New Roman"/>
                      <w:color w:val="auto"/>
                      <w:spacing w:val="6"/>
                      <w:sz w:val="21"/>
                      <w:szCs w:val="21"/>
                      <w:lang w:val="en-US" w:eastAsia="zh-CN"/>
                    </w:rPr>
                    <w:t>电泳区</w:t>
                  </w:r>
                </w:p>
              </w:tc>
              <w:tc>
                <w:tcPr>
                  <w:tcW w:w="3072" w:type="dxa"/>
                  <w:tcBorders>
                    <w:tl2br w:val="nil"/>
                    <w:tr2bl w:val="nil"/>
                  </w:tcBorders>
                  <w:shd w:val="clear" w:color="auto" w:fill="auto"/>
                  <w:vAlign w:val="center"/>
                </w:tcPr>
                <w:p w14:paraId="38CFAA43">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15"/>
                      <w:sz w:val="21"/>
                      <w:szCs w:val="21"/>
                      <w:highlight w:val="yellow"/>
                    </w:rPr>
                  </w:pPr>
                  <w:r>
                    <w:rPr>
                      <w:rFonts w:hint="eastAsia" w:ascii="Times New Roman" w:hAnsi="Times New Roman" w:cs="宋体"/>
                      <w:color w:val="auto"/>
                      <w:kern w:val="2"/>
                      <w:sz w:val="21"/>
                      <w:szCs w:val="21"/>
                      <w:lang w:val="en-US" w:eastAsia="zh-CN" w:bidi="ar-SA"/>
                    </w:rPr>
                    <w:t>主要建设电泳工序，面积1152m</w:t>
                  </w:r>
                  <w:r>
                    <w:rPr>
                      <w:rFonts w:hint="eastAsia" w:ascii="Times New Roman" w:hAnsi="Times New Roman" w:cs="宋体"/>
                      <w:color w:val="auto"/>
                      <w:kern w:val="2"/>
                      <w:sz w:val="21"/>
                      <w:szCs w:val="21"/>
                      <w:vertAlign w:val="superscript"/>
                      <w:lang w:val="en-US" w:eastAsia="zh-CN" w:bidi="ar-SA"/>
                    </w:rPr>
                    <w:t>2</w:t>
                  </w:r>
                </w:p>
              </w:tc>
              <w:tc>
                <w:tcPr>
                  <w:tcW w:w="2110" w:type="dxa"/>
                  <w:vMerge w:val="continue"/>
                  <w:tcBorders>
                    <w:tl2br w:val="nil"/>
                    <w:tr2bl w:val="nil"/>
                  </w:tcBorders>
                  <w:shd w:val="clear" w:color="auto" w:fill="auto"/>
                  <w:vAlign w:val="center"/>
                </w:tcPr>
                <w:p w14:paraId="728E911F">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4"/>
                      <w:sz w:val="21"/>
                      <w:szCs w:val="21"/>
                    </w:rPr>
                  </w:pPr>
                </w:p>
              </w:tc>
            </w:tr>
            <w:tr w14:paraId="5F3F4E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shd w:val="clear" w:color="auto" w:fill="auto"/>
                  <w:vAlign w:val="center"/>
                </w:tcPr>
                <w:p w14:paraId="1773FBAE">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3"/>
                      <w:sz w:val="21"/>
                      <w:szCs w:val="21"/>
                    </w:rPr>
                  </w:pPr>
                </w:p>
              </w:tc>
              <w:tc>
                <w:tcPr>
                  <w:tcW w:w="2054" w:type="dxa"/>
                  <w:tcBorders>
                    <w:tl2br w:val="nil"/>
                    <w:tr2bl w:val="nil"/>
                  </w:tcBorders>
                  <w:shd w:val="clear" w:color="auto" w:fill="auto"/>
                  <w:vAlign w:val="center"/>
                </w:tcPr>
                <w:p w14:paraId="6F06BA91">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color w:val="auto"/>
                      <w:spacing w:val="6"/>
                      <w:sz w:val="21"/>
                      <w:szCs w:val="21"/>
                      <w:lang w:val="en-US" w:eastAsia="zh-CN"/>
                    </w:rPr>
                  </w:pPr>
                  <w:r>
                    <w:rPr>
                      <w:rFonts w:hint="eastAsia" w:ascii="Times New Roman" w:hAnsi="Times New Roman"/>
                      <w:color w:val="auto"/>
                      <w:spacing w:val="6"/>
                      <w:sz w:val="21"/>
                      <w:szCs w:val="21"/>
                      <w:lang w:val="en-US" w:eastAsia="zh-CN"/>
                    </w:rPr>
                    <w:t>喷漆、喷粉区</w:t>
                  </w:r>
                </w:p>
              </w:tc>
              <w:tc>
                <w:tcPr>
                  <w:tcW w:w="3072" w:type="dxa"/>
                  <w:tcBorders>
                    <w:tl2br w:val="nil"/>
                    <w:tr2bl w:val="nil"/>
                  </w:tcBorders>
                  <w:shd w:val="clear" w:color="auto" w:fill="auto"/>
                  <w:vAlign w:val="center"/>
                </w:tcPr>
                <w:p w14:paraId="0A661657">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主要建设</w:t>
                  </w:r>
                  <w:r>
                    <w:rPr>
                      <w:rFonts w:hint="eastAsia" w:ascii="Times New Roman" w:hAnsi="Times New Roman"/>
                      <w:color w:val="auto"/>
                      <w:spacing w:val="6"/>
                      <w:sz w:val="21"/>
                      <w:szCs w:val="21"/>
                      <w:lang w:val="en-US" w:eastAsia="zh-CN"/>
                    </w:rPr>
                    <w:t>喷漆、</w:t>
                  </w:r>
                  <w:r>
                    <w:rPr>
                      <w:rFonts w:hint="eastAsia" w:ascii="Times New Roman" w:hAnsi="Times New Roman" w:cs="宋体"/>
                      <w:color w:val="auto"/>
                      <w:kern w:val="2"/>
                      <w:sz w:val="21"/>
                      <w:szCs w:val="21"/>
                      <w:lang w:val="en-US" w:eastAsia="zh-CN" w:bidi="ar-SA"/>
                    </w:rPr>
                    <w:t>喷粉工序，面积624m</w:t>
                  </w:r>
                  <w:r>
                    <w:rPr>
                      <w:rFonts w:hint="eastAsia" w:ascii="Times New Roman" w:hAnsi="Times New Roman" w:cs="宋体"/>
                      <w:color w:val="auto"/>
                      <w:kern w:val="2"/>
                      <w:sz w:val="21"/>
                      <w:szCs w:val="21"/>
                      <w:vertAlign w:val="superscript"/>
                      <w:lang w:val="en-US" w:eastAsia="zh-CN" w:bidi="ar-SA"/>
                    </w:rPr>
                    <w:t>2</w:t>
                  </w:r>
                </w:p>
              </w:tc>
              <w:tc>
                <w:tcPr>
                  <w:tcW w:w="2110" w:type="dxa"/>
                  <w:vMerge w:val="continue"/>
                  <w:tcBorders>
                    <w:tl2br w:val="nil"/>
                    <w:tr2bl w:val="nil"/>
                  </w:tcBorders>
                  <w:shd w:val="clear" w:color="auto" w:fill="auto"/>
                  <w:vAlign w:val="center"/>
                </w:tcPr>
                <w:p w14:paraId="3C7E765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4"/>
                      <w:sz w:val="21"/>
                      <w:szCs w:val="21"/>
                    </w:rPr>
                  </w:pPr>
                </w:p>
              </w:tc>
            </w:tr>
            <w:tr w14:paraId="49783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7FA2C0A9">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储运</w:t>
                  </w:r>
                </w:p>
                <w:p w14:paraId="2F2A3ED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工程</w:t>
                  </w:r>
                </w:p>
              </w:tc>
              <w:tc>
                <w:tcPr>
                  <w:tcW w:w="2054" w:type="dxa"/>
                  <w:tcBorders>
                    <w:tl2br w:val="nil"/>
                    <w:tr2bl w:val="nil"/>
                  </w:tcBorders>
                  <w:shd w:val="clear" w:color="auto" w:fill="auto"/>
                  <w:vAlign w:val="center"/>
                </w:tcPr>
                <w:p w14:paraId="081A6D4D">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spacing w:val="8"/>
                      <w:sz w:val="21"/>
                      <w:szCs w:val="21"/>
                      <w:lang w:val="en-US" w:eastAsia="zh-CN"/>
                    </w:rPr>
                    <w:t>原材料区</w:t>
                  </w:r>
                </w:p>
              </w:tc>
              <w:tc>
                <w:tcPr>
                  <w:tcW w:w="3072" w:type="dxa"/>
                  <w:tcBorders>
                    <w:tl2br w:val="nil"/>
                    <w:tr2bl w:val="nil"/>
                  </w:tcBorders>
                  <w:shd w:val="clear" w:color="auto" w:fill="auto"/>
                  <w:vAlign w:val="center"/>
                </w:tcPr>
                <w:p w14:paraId="11E87DE9">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厂房</w:t>
                  </w:r>
                  <w:r>
                    <w:rPr>
                      <w:rFonts w:hint="eastAsia" w:ascii="Times New Roman" w:hAnsi="Times New Roman"/>
                      <w:color w:val="auto"/>
                      <w:spacing w:val="10"/>
                      <w:position w:val="1"/>
                      <w:sz w:val="21"/>
                      <w:szCs w:val="21"/>
                      <w:highlight w:val="none"/>
                      <w:lang w:val="en-US" w:eastAsia="zh-CN"/>
                    </w:rPr>
                    <w:t>东南</w:t>
                  </w:r>
                  <w:r>
                    <w:rPr>
                      <w:rFonts w:ascii="Times New Roman" w:hAnsi="Times New Roman" w:eastAsia="宋体"/>
                      <w:color w:val="auto"/>
                      <w:spacing w:val="10"/>
                      <w:position w:val="1"/>
                      <w:sz w:val="21"/>
                      <w:szCs w:val="21"/>
                      <w:highlight w:val="none"/>
                    </w:rPr>
                    <w:t>侧</w:t>
                  </w:r>
                  <w:r>
                    <w:rPr>
                      <w:rFonts w:hint="eastAsia" w:ascii="Times New Roman" w:hAnsi="Times New Roman" w:eastAsia="宋体"/>
                      <w:color w:val="auto"/>
                      <w:spacing w:val="10"/>
                      <w:position w:val="1"/>
                      <w:sz w:val="21"/>
                      <w:szCs w:val="21"/>
                      <w:highlight w:val="none"/>
                      <w:lang w:eastAsia="zh-CN"/>
                    </w:rPr>
                    <w:t>，</w:t>
                  </w:r>
                  <w:r>
                    <w:rPr>
                      <w:rFonts w:ascii="Times New Roman" w:hAnsi="Times New Roman" w:eastAsia="宋体"/>
                      <w:color w:val="auto"/>
                      <w:spacing w:val="9"/>
                      <w:sz w:val="21"/>
                      <w:szCs w:val="21"/>
                      <w:highlight w:val="none"/>
                    </w:rPr>
                    <w:t>主要承担</w:t>
                  </w:r>
                  <w:r>
                    <w:rPr>
                      <w:rFonts w:hint="eastAsia" w:ascii="Times New Roman" w:hAnsi="Times New Roman"/>
                      <w:color w:val="auto"/>
                      <w:spacing w:val="9"/>
                      <w:sz w:val="21"/>
                      <w:szCs w:val="21"/>
                      <w:highlight w:val="none"/>
                      <w:lang w:val="en-US" w:eastAsia="zh-CN"/>
                    </w:rPr>
                    <w:t>电泳</w:t>
                  </w:r>
                  <w:r>
                    <w:rPr>
                      <w:rFonts w:ascii="Times New Roman" w:hAnsi="Times New Roman" w:eastAsia="宋体"/>
                      <w:color w:val="auto"/>
                      <w:spacing w:val="9"/>
                      <w:sz w:val="21"/>
                      <w:szCs w:val="21"/>
                      <w:highlight w:val="none"/>
                    </w:rPr>
                    <w:t>涂料等存放任务，仓库面积</w:t>
                  </w:r>
                  <w:r>
                    <w:rPr>
                      <w:rFonts w:hint="eastAsia" w:ascii="Times New Roman" w:hAnsi="Times New Roman"/>
                      <w:color w:val="auto"/>
                      <w:spacing w:val="9"/>
                      <w:sz w:val="21"/>
                      <w:szCs w:val="21"/>
                      <w:highlight w:val="none"/>
                      <w:lang w:val="en-US" w:eastAsia="zh-CN"/>
                    </w:rPr>
                    <w:t>428</w:t>
                  </w:r>
                  <w:r>
                    <w:rPr>
                      <w:rFonts w:ascii="Times New Roman" w:hAnsi="Times New Roman" w:eastAsia="宋体" w:cs="Times New Roman"/>
                      <w:color w:val="auto"/>
                      <w:spacing w:val="3"/>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r>
                    <w:rPr>
                      <w:rFonts w:ascii="Times New Roman" w:hAnsi="Times New Roman" w:eastAsia="宋体"/>
                      <w:color w:val="auto"/>
                      <w:spacing w:val="3"/>
                      <w:position w:val="1"/>
                      <w:sz w:val="21"/>
                      <w:szCs w:val="21"/>
                      <w:highlight w:val="none"/>
                    </w:rPr>
                    <w:t>。</w:t>
                  </w:r>
                </w:p>
              </w:tc>
              <w:tc>
                <w:tcPr>
                  <w:tcW w:w="2110" w:type="dxa"/>
                  <w:vMerge w:val="continue"/>
                  <w:tcBorders>
                    <w:tl2br w:val="nil"/>
                    <w:tr2bl w:val="nil"/>
                  </w:tcBorders>
                  <w:shd w:val="clear" w:color="auto" w:fill="auto"/>
                  <w:vAlign w:val="center"/>
                </w:tcPr>
                <w:p w14:paraId="5D534D6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49CD8F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500269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8CBCAF0">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spacing w:val="7"/>
                      <w:sz w:val="21"/>
                      <w:szCs w:val="21"/>
                      <w:lang w:val="en-US" w:eastAsia="zh-CN"/>
                    </w:rPr>
                    <w:t>半成品区</w:t>
                  </w:r>
                </w:p>
              </w:tc>
              <w:tc>
                <w:tcPr>
                  <w:tcW w:w="3072" w:type="dxa"/>
                  <w:tcBorders>
                    <w:tl2br w:val="nil"/>
                    <w:tr2bl w:val="nil"/>
                  </w:tcBorders>
                  <w:shd w:val="clear" w:color="auto" w:fill="auto"/>
                  <w:vAlign w:val="center"/>
                </w:tcPr>
                <w:p w14:paraId="7522EDC5">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中部</w:t>
                  </w:r>
                  <w:r>
                    <w:rPr>
                      <w:rFonts w:ascii="Times New Roman" w:hAnsi="Times New Roman" w:eastAsia="宋体"/>
                      <w:color w:val="auto"/>
                      <w:spacing w:val="10"/>
                      <w:position w:val="1"/>
                      <w:sz w:val="21"/>
                      <w:szCs w:val="21"/>
                      <w:highlight w:val="none"/>
                    </w:rPr>
                    <w:t>，建筑面积</w:t>
                  </w:r>
                  <w:r>
                    <w:rPr>
                      <w:rFonts w:hint="eastAsia" w:ascii="Times New Roman" w:hAnsi="Times New Roman"/>
                      <w:color w:val="auto"/>
                      <w:spacing w:val="10"/>
                      <w:position w:val="1"/>
                      <w:sz w:val="21"/>
                      <w:szCs w:val="21"/>
                      <w:highlight w:val="none"/>
                      <w:lang w:val="en-US" w:eastAsia="zh-CN"/>
                    </w:rPr>
                    <w:t>528</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r>
                    <w:rPr>
                      <w:rFonts w:ascii="Times New Roman" w:hAnsi="Times New Roman" w:eastAsia="宋体"/>
                      <w:color w:val="auto"/>
                      <w:spacing w:val="10"/>
                      <w:position w:val="1"/>
                      <w:sz w:val="21"/>
                      <w:szCs w:val="21"/>
                      <w:highlight w:val="none"/>
                    </w:rPr>
                    <w:t>。</w:t>
                  </w:r>
                </w:p>
              </w:tc>
              <w:tc>
                <w:tcPr>
                  <w:tcW w:w="2110" w:type="dxa"/>
                  <w:vMerge w:val="continue"/>
                  <w:tcBorders>
                    <w:tl2br w:val="nil"/>
                    <w:tr2bl w:val="nil"/>
                  </w:tcBorders>
                  <w:shd w:val="clear" w:color="auto" w:fill="auto"/>
                  <w:vAlign w:val="center"/>
                </w:tcPr>
                <w:p w14:paraId="273D8B46">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color w:val="auto"/>
                      <w:kern w:val="2"/>
                      <w:sz w:val="21"/>
                      <w:szCs w:val="21"/>
                      <w:lang w:val="en-US" w:eastAsia="en-US" w:bidi="ar-SA"/>
                    </w:rPr>
                  </w:pPr>
                </w:p>
              </w:tc>
            </w:tr>
            <w:tr w14:paraId="1EF8F8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275C8AA5">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F7A530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spacing w:val="6"/>
                      <w:sz w:val="21"/>
                      <w:szCs w:val="21"/>
                      <w:lang w:eastAsia="zh-CN"/>
                    </w:rPr>
                    <w:t>危废贮存库</w:t>
                  </w:r>
                </w:p>
              </w:tc>
              <w:tc>
                <w:tcPr>
                  <w:tcW w:w="3072" w:type="dxa"/>
                  <w:tcBorders>
                    <w:tl2br w:val="nil"/>
                    <w:tr2bl w:val="nil"/>
                  </w:tcBorders>
                  <w:shd w:val="clear" w:color="auto" w:fill="auto"/>
                  <w:vAlign w:val="center"/>
                </w:tcPr>
                <w:p w14:paraId="2C684B1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西南</w:t>
                  </w:r>
                  <w:r>
                    <w:rPr>
                      <w:rFonts w:ascii="Times New Roman" w:hAnsi="Times New Roman" w:eastAsia="宋体"/>
                      <w:color w:val="auto"/>
                      <w:spacing w:val="10"/>
                      <w:position w:val="1"/>
                      <w:sz w:val="21"/>
                      <w:szCs w:val="21"/>
                      <w:highlight w:val="none"/>
                    </w:rPr>
                    <w:t>侧，建筑面积</w:t>
                  </w:r>
                  <w:r>
                    <w:rPr>
                      <w:rFonts w:hint="eastAsia" w:ascii="Times New Roman" w:hAnsi="Times New Roman" w:cs="Times New Roman"/>
                      <w:color w:val="auto"/>
                      <w:spacing w:val="10"/>
                      <w:position w:val="1"/>
                      <w:sz w:val="21"/>
                      <w:szCs w:val="21"/>
                      <w:highlight w:val="none"/>
                      <w:lang w:val="en-US" w:eastAsia="zh-CN"/>
                    </w:rPr>
                    <w:t>5</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r>
                    <w:rPr>
                      <w:rFonts w:ascii="Times New Roman" w:hAnsi="Times New Roman" w:eastAsia="宋体"/>
                      <w:color w:val="auto"/>
                      <w:spacing w:val="10"/>
                      <w:position w:val="1"/>
                      <w:sz w:val="21"/>
                      <w:szCs w:val="21"/>
                      <w:highlight w:val="none"/>
                    </w:rPr>
                    <w:t>。</w:t>
                  </w:r>
                </w:p>
              </w:tc>
              <w:tc>
                <w:tcPr>
                  <w:tcW w:w="2110" w:type="dxa"/>
                  <w:vMerge w:val="continue"/>
                  <w:tcBorders>
                    <w:tl2br w:val="nil"/>
                    <w:tr2bl w:val="nil"/>
                  </w:tcBorders>
                  <w:shd w:val="clear" w:color="auto" w:fill="auto"/>
                  <w:vAlign w:val="center"/>
                </w:tcPr>
                <w:p w14:paraId="1FDAE93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61085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55E3D4BB">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6CEF493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5"/>
                      <w:sz w:val="21"/>
                      <w:szCs w:val="21"/>
                    </w:rPr>
                    <w:t>成品库</w:t>
                  </w:r>
                </w:p>
              </w:tc>
              <w:tc>
                <w:tcPr>
                  <w:tcW w:w="3072" w:type="dxa"/>
                  <w:tcBorders>
                    <w:tl2br w:val="nil"/>
                    <w:tr2bl w:val="nil"/>
                  </w:tcBorders>
                  <w:shd w:val="clear" w:color="auto" w:fill="auto"/>
                  <w:vAlign w:val="center"/>
                </w:tcPr>
                <w:p w14:paraId="162CAF3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东</w:t>
                  </w:r>
                  <w:r>
                    <w:rPr>
                      <w:rFonts w:ascii="Times New Roman" w:hAnsi="Times New Roman" w:eastAsia="宋体"/>
                      <w:color w:val="auto"/>
                      <w:spacing w:val="10"/>
                      <w:position w:val="1"/>
                      <w:sz w:val="21"/>
                      <w:szCs w:val="21"/>
                      <w:highlight w:val="none"/>
                    </w:rPr>
                    <w:t>侧，建筑面积</w:t>
                  </w:r>
                  <w:r>
                    <w:rPr>
                      <w:rFonts w:hint="eastAsia" w:ascii="Times New Roman" w:hAnsi="Times New Roman"/>
                      <w:color w:val="auto"/>
                      <w:spacing w:val="10"/>
                      <w:position w:val="1"/>
                      <w:sz w:val="21"/>
                      <w:szCs w:val="21"/>
                      <w:highlight w:val="none"/>
                      <w:lang w:val="en-US" w:eastAsia="zh-CN"/>
                    </w:rPr>
                    <w:t>228</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r>
                    <w:rPr>
                      <w:rFonts w:ascii="Times New Roman" w:hAnsi="Times New Roman" w:eastAsia="宋体"/>
                      <w:color w:val="auto"/>
                      <w:spacing w:val="10"/>
                      <w:position w:val="1"/>
                      <w:sz w:val="21"/>
                      <w:szCs w:val="21"/>
                      <w:highlight w:val="none"/>
                    </w:rPr>
                    <w:t>。</w:t>
                  </w:r>
                </w:p>
              </w:tc>
              <w:tc>
                <w:tcPr>
                  <w:tcW w:w="2110" w:type="dxa"/>
                  <w:vMerge w:val="continue"/>
                  <w:tcBorders>
                    <w:tl2br w:val="nil"/>
                    <w:tr2bl w:val="nil"/>
                  </w:tcBorders>
                  <w:shd w:val="clear" w:color="auto" w:fill="auto"/>
                  <w:vAlign w:val="center"/>
                </w:tcPr>
                <w:p w14:paraId="0E58C17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08ADE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0516CAB3">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1"/>
                      <w:sz w:val="21"/>
                      <w:szCs w:val="21"/>
                    </w:rPr>
                    <w:t>公用</w:t>
                  </w:r>
                </w:p>
                <w:p w14:paraId="0C77216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3"/>
                      <w:sz w:val="21"/>
                      <w:szCs w:val="21"/>
                    </w:rPr>
                    <w:t>工程</w:t>
                  </w:r>
                </w:p>
              </w:tc>
              <w:tc>
                <w:tcPr>
                  <w:tcW w:w="2054" w:type="dxa"/>
                  <w:tcBorders>
                    <w:tl2br w:val="nil"/>
                    <w:tr2bl w:val="nil"/>
                  </w:tcBorders>
                  <w:shd w:val="clear" w:color="auto" w:fill="auto"/>
                  <w:vAlign w:val="center"/>
                </w:tcPr>
                <w:p w14:paraId="7D32ABC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供水系统</w:t>
                  </w:r>
                </w:p>
              </w:tc>
              <w:tc>
                <w:tcPr>
                  <w:tcW w:w="3072" w:type="dxa"/>
                  <w:tcBorders>
                    <w:tl2br w:val="nil"/>
                    <w:tr2bl w:val="nil"/>
                  </w:tcBorders>
                  <w:shd w:val="clear" w:color="auto" w:fill="auto"/>
                  <w:vAlign w:val="center"/>
                </w:tcPr>
                <w:p w14:paraId="3019460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s="宋体"/>
                      <w:color w:val="auto"/>
                      <w:kern w:val="2"/>
                      <w:sz w:val="21"/>
                      <w:szCs w:val="21"/>
                      <w:lang w:val="en-US" w:eastAsia="en-US" w:bidi="ar-SA"/>
                    </w:rPr>
                    <w:t>接市政供水管网</w:t>
                  </w:r>
                </w:p>
              </w:tc>
              <w:tc>
                <w:tcPr>
                  <w:tcW w:w="2110" w:type="dxa"/>
                  <w:tcBorders>
                    <w:tl2br w:val="nil"/>
                    <w:tr2bl w:val="nil"/>
                  </w:tcBorders>
                  <w:shd w:val="clear" w:color="auto" w:fill="auto"/>
                  <w:vAlign w:val="center"/>
                </w:tcPr>
                <w:p w14:paraId="2910BA9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依托</w:t>
                  </w:r>
                </w:p>
              </w:tc>
            </w:tr>
            <w:tr w14:paraId="3FFF2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A902889">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60EF66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排水系统</w:t>
                  </w:r>
                </w:p>
              </w:tc>
              <w:tc>
                <w:tcPr>
                  <w:tcW w:w="3072" w:type="dxa"/>
                  <w:tcBorders>
                    <w:tl2br w:val="nil"/>
                    <w:tr2bl w:val="nil"/>
                  </w:tcBorders>
                  <w:shd w:val="clear" w:color="auto" w:fill="auto"/>
                  <w:vAlign w:val="center"/>
                </w:tcPr>
                <w:p w14:paraId="09D803E7">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5"/>
                      <w:sz w:val="21"/>
                      <w:szCs w:val="21"/>
                    </w:rPr>
                    <w:t>采用雨污分流的排水体制，雨水经</w:t>
                  </w:r>
                  <w:r>
                    <w:rPr>
                      <w:rFonts w:ascii="Times New Roman" w:hAnsi="Times New Roman" w:eastAsia="宋体"/>
                      <w:color w:val="auto"/>
                      <w:spacing w:val="5"/>
                      <w:sz w:val="21"/>
                      <w:szCs w:val="21"/>
                      <w:highlight w:val="none"/>
                    </w:rPr>
                    <w:t>厂区雨水管道</w:t>
                  </w:r>
                  <w:r>
                    <w:rPr>
                      <w:rFonts w:ascii="Times New Roman" w:hAnsi="Times New Roman" w:eastAsia="宋体"/>
                      <w:color w:val="auto"/>
                      <w:spacing w:val="9"/>
                      <w:sz w:val="21"/>
                      <w:szCs w:val="21"/>
                      <w:highlight w:val="none"/>
                    </w:rPr>
                    <w:t>排入市政雨水管道。生产废水采用“</w:t>
                  </w:r>
                  <w:r>
                    <w:rPr>
                      <w:rFonts w:hint="eastAsia" w:ascii="Times New Roman" w:hAnsi="Times New Roman"/>
                      <w:color w:val="auto"/>
                      <w:spacing w:val="9"/>
                      <w:sz w:val="21"/>
                      <w:szCs w:val="21"/>
                      <w:highlight w:val="none"/>
                      <w:lang w:eastAsia="zh-CN"/>
                    </w:rPr>
                    <w:t>物化+A/O+沉淀</w:t>
                  </w:r>
                  <w:r>
                    <w:rPr>
                      <w:rFonts w:ascii="Times New Roman" w:hAnsi="Times New Roman" w:eastAsia="宋体"/>
                      <w:color w:val="auto"/>
                      <w:spacing w:val="4"/>
                      <w:position w:val="1"/>
                      <w:sz w:val="21"/>
                      <w:szCs w:val="21"/>
                      <w:highlight w:val="none"/>
                    </w:rPr>
                    <w:t>”的水处理工艺，处理后达</w:t>
                  </w:r>
                  <w:r>
                    <w:rPr>
                      <w:rFonts w:ascii="Times New Roman" w:hAnsi="Times New Roman" w:eastAsia="宋体"/>
                      <w:color w:val="auto"/>
                      <w:spacing w:val="6"/>
                      <w:position w:val="1"/>
                      <w:sz w:val="21"/>
                      <w:szCs w:val="21"/>
                      <w:highlight w:val="none"/>
                    </w:rPr>
                    <w:t>标</w:t>
                  </w:r>
                  <w:r>
                    <w:rPr>
                      <w:rFonts w:hint="eastAsia" w:ascii="Times New Roman" w:hAnsi="Times New Roman"/>
                      <w:color w:val="auto"/>
                      <w:spacing w:val="6"/>
                      <w:position w:val="1"/>
                      <w:sz w:val="21"/>
                      <w:szCs w:val="21"/>
                      <w:highlight w:val="none"/>
                      <w:lang w:val="en-US" w:eastAsia="zh-CN"/>
                    </w:rPr>
                    <w:t>排放</w:t>
                  </w:r>
                  <w:r>
                    <w:rPr>
                      <w:rFonts w:ascii="Times New Roman" w:hAnsi="Times New Roman" w:eastAsia="宋体"/>
                      <w:color w:val="auto"/>
                      <w:spacing w:val="5"/>
                      <w:sz w:val="21"/>
                      <w:szCs w:val="21"/>
                      <w:highlight w:val="none"/>
                    </w:rPr>
                    <w:t>后接入市政污水管网</w:t>
                  </w:r>
                  <w:r>
                    <w:rPr>
                      <w:rFonts w:hint="eastAsia" w:ascii="Times New Roman" w:hAnsi="Times New Roman"/>
                      <w:color w:val="auto"/>
                      <w:spacing w:val="6"/>
                      <w:position w:val="1"/>
                      <w:sz w:val="21"/>
                      <w:szCs w:val="21"/>
                      <w:highlight w:val="none"/>
                      <w:lang w:val="en-US" w:eastAsia="zh-CN"/>
                    </w:rPr>
                    <w:t>由</w:t>
                  </w:r>
                  <w:r>
                    <w:rPr>
                      <w:rFonts w:hint="eastAsia" w:ascii="Times New Roman" w:hAnsi="Times New Roman" w:eastAsia="宋体"/>
                      <w:color w:val="auto"/>
                      <w:spacing w:val="5"/>
                      <w:sz w:val="21"/>
                      <w:szCs w:val="21"/>
                      <w:highlight w:val="none"/>
                      <w:lang w:eastAsia="zh-CN"/>
                    </w:rPr>
                    <w:t>福清市第二污水处理厂</w:t>
                  </w:r>
                  <w:r>
                    <w:rPr>
                      <w:rFonts w:ascii="Times New Roman" w:hAnsi="Times New Roman" w:eastAsia="宋体"/>
                      <w:color w:val="auto"/>
                      <w:spacing w:val="5"/>
                      <w:sz w:val="21"/>
                      <w:szCs w:val="21"/>
                      <w:highlight w:val="none"/>
                    </w:rPr>
                    <w:t>接管；</w:t>
                  </w:r>
                  <w:r>
                    <w:rPr>
                      <w:rFonts w:ascii="Times New Roman" w:hAnsi="Times New Roman" w:eastAsia="宋体"/>
                      <w:color w:val="auto"/>
                      <w:spacing w:val="5"/>
                      <w:sz w:val="21"/>
                      <w:szCs w:val="21"/>
                      <w:highlight w:val="none"/>
                      <w:shd w:val="clear"/>
                    </w:rPr>
                    <w:t>生活污水经化粪池处理后</w:t>
                  </w:r>
                  <w:r>
                    <w:rPr>
                      <w:rFonts w:hint="eastAsia" w:ascii="Times New Roman" w:hAnsi="Times New Roman"/>
                      <w:color w:val="auto"/>
                      <w:spacing w:val="5"/>
                      <w:sz w:val="21"/>
                      <w:szCs w:val="21"/>
                      <w:highlight w:val="none"/>
                      <w:shd w:val="clear"/>
                      <w:lang w:val="en-US" w:eastAsia="zh-CN"/>
                    </w:rPr>
                    <w:t>接入市政污水管网送往</w:t>
                  </w:r>
                  <w:r>
                    <w:rPr>
                      <w:rFonts w:hint="eastAsia" w:ascii="Times New Roman" w:hAnsi="Times New Roman" w:eastAsia="宋体"/>
                      <w:color w:val="auto"/>
                      <w:spacing w:val="8"/>
                      <w:sz w:val="21"/>
                      <w:szCs w:val="21"/>
                      <w:highlight w:val="none"/>
                      <w:shd w:val="clear"/>
                      <w:lang w:eastAsia="zh-CN"/>
                    </w:rPr>
                    <w:t>福清市第二污水处理厂</w:t>
                  </w:r>
                  <w:r>
                    <w:rPr>
                      <w:rFonts w:hint="eastAsia" w:ascii="Times New Roman" w:hAnsi="Times New Roman"/>
                      <w:color w:val="auto"/>
                      <w:spacing w:val="8"/>
                      <w:sz w:val="21"/>
                      <w:szCs w:val="21"/>
                      <w:highlight w:val="none"/>
                      <w:shd w:val="clear"/>
                      <w:lang w:eastAsia="zh-CN"/>
                    </w:rPr>
                    <w:t>。</w:t>
                  </w:r>
                </w:p>
              </w:tc>
              <w:tc>
                <w:tcPr>
                  <w:tcW w:w="2110" w:type="dxa"/>
                  <w:tcBorders>
                    <w:tl2br w:val="nil"/>
                    <w:tr2bl w:val="nil"/>
                  </w:tcBorders>
                  <w:shd w:val="clear" w:color="auto" w:fill="auto"/>
                  <w:vAlign w:val="center"/>
                </w:tcPr>
                <w:p w14:paraId="5067BEE2">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eastAsia" w:ascii="Times New Roman" w:hAnsi="Times New Roman"/>
                      <w:color w:val="auto"/>
                      <w:spacing w:val="4"/>
                      <w:sz w:val="21"/>
                      <w:szCs w:val="21"/>
                      <w:lang w:eastAsia="zh-CN"/>
                    </w:rPr>
                  </w:pPr>
                  <w:r>
                    <w:rPr>
                      <w:rFonts w:hint="eastAsia" w:ascii="Times New Roman" w:hAnsi="Times New Roman"/>
                      <w:color w:val="auto"/>
                      <w:spacing w:val="7"/>
                      <w:sz w:val="21"/>
                      <w:szCs w:val="21"/>
                      <w:lang w:val="en-US" w:eastAsia="zh-CN"/>
                    </w:rPr>
                    <w:t>污水处理设施</w:t>
                  </w:r>
                  <w:r>
                    <w:rPr>
                      <w:rFonts w:ascii="Times New Roman" w:hAnsi="Times New Roman" w:eastAsia="宋体"/>
                      <w:color w:val="auto"/>
                      <w:spacing w:val="7"/>
                      <w:sz w:val="21"/>
                      <w:szCs w:val="21"/>
                    </w:rPr>
                    <w:t>厂区内设施</w:t>
                  </w:r>
                  <w:r>
                    <w:rPr>
                      <w:rFonts w:ascii="Times New Roman" w:hAnsi="Times New Roman" w:eastAsia="宋体"/>
                      <w:color w:val="auto"/>
                      <w:spacing w:val="4"/>
                      <w:sz w:val="21"/>
                      <w:szCs w:val="21"/>
                    </w:rPr>
                    <w:t>新建</w:t>
                  </w:r>
                  <w:r>
                    <w:rPr>
                      <w:rFonts w:hint="eastAsia" w:ascii="Times New Roman" w:hAnsi="Times New Roman"/>
                      <w:color w:val="auto"/>
                      <w:spacing w:val="4"/>
                      <w:sz w:val="21"/>
                      <w:szCs w:val="21"/>
                      <w:lang w:eastAsia="zh-CN"/>
                    </w:rPr>
                    <w:t>；</w:t>
                  </w:r>
                </w:p>
                <w:p w14:paraId="749FA3A9">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spacing w:val="4"/>
                      <w:sz w:val="21"/>
                      <w:szCs w:val="21"/>
                      <w:lang w:val="en-US" w:eastAsia="zh-CN"/>
                    </w:rPr>
                    <w:t>化粪池依托原有厂区化粪池</w:t>
                  </w:r>
                </w:p>
              </w:tc>
            </w:tr>
            <w:tr w14:paraId="16E8A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5B90688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266A7B0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供气系统</w:t>
                  </w:r>
                </w:p>
              </w:tc>
              <w:tc>
                <w:tcPr>
                  <w:tcW w:w="3072" w:type="dxa"/>
                  <w:tcBorders>
                    <w:tl2br w:val="nil"/>
                    <w:tr2bl w:val="nil"/>
                  </w:tcBorders>
                  <w:shd w:val="clear" w:color="auto" w:fill="auto"/>
                  <w:vAlign w:val="center"/>
                </w:tcPr>
                <w:p w14:paraId="5E60DC78">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9"/>
                      <w:sz w:val="21"/>
                      <w:szCs w:val="21"/>
                      <w:highlight w:val="none"/>
                    </w:rPr>
                    <w:t>项目</w:t>
                  </w:r>
                  <w:r>
                    <w:rPr>
                      <w:rFonts w:hint="default" w:ascii="Times New Roman" w:hAnsi="Times New Roman" w:eastAsia="宋体"/>
                      <w:color w:val="auto"/>
                      <w:spacing w:val="9"/>
                      <w:sz w:val="21"/>
                      <w:szCs w:val="21"/>
                      <w:highlight w:val="none"/>
                      <w:lang w:val="en-US" w:eastAsia="zh-CN"/>
                    </w:rPr>
                    <w:t>天然气烘干炉</w:t>
                  </w:r>
                  <w:r>
                    <w:rPr>
                      <w:rFonts w:ascii="Times New Roman" w:hAnsi="Times New Roman" w:eastAsia="宋体"/>
                      <w:color w:val="auto"/>
                      <w:spacing w:val="9"/>
                      <w:sz w:val="21"/>
                      <w:szCs w:val="21"/>
                      <w:highlight w:val="none"/>
                    </w:rPr>
                    <w:t>所需天然气由</w:t>
                  </w:r>
                  <w:r>
                    <w:rPr>
                      <w:rFonts w:hint="eastAsia" w:ascii="Times New Roman" w:hAnsi="Times New Roman"/>
                      <w:color w:val="auto"/>
                      <w:spacing w:val="9"/>
                      <w:sz w:val="21"/>
                      <w:szCs w:val="21"/>
                      <w:highlight w:val="none"/>
                      <w:lang w:val="en-US" w:eastAsia="zh-CN"/>
                    </w:rPr>
                    <w:t>市政</w:t>
                  </w:r>
                  <w:r>
                    <w:rPr>
                      <w:rFonts w:ascii="Times New Roman" w:hAnsi="Times New Roman" w:eastAsia="宋体"/>
                      <w:color w:val="auto"/>
                      <w:spacing w:val="9"/>
                      <w:sz w:val="21"/>
                      <w:szCs w:val="21"/>
                      <w:highlight w:val="none"/>
                    </w:rPr>
                    <w:t>供气系统供应入厂，厂区内所需供气设施新建，年用气量</w:t>
                  </w:r>
                  <w:r>
                    <w:rPr>
                      <w:rFonts w:ascii="Times New Roman" w:hAnsi="Times New Roman" w:eastAsia="宋体" w:cs="Times New Roman"/>
                      <w:color w:val="auto"/>
                      <w:spacing w:val="1"/>
                      <w:sz w:val="21"/>
                      <w:szCs w:val="21"/>
                      <w:highlight w:val="none"/>
                    </w:rPr>
                    <w:t>10000m</w:t>
                  </w:r>
                  <w:r>
                    <w:rPr>
                      <w:rFonts w:hint="eastAsia" w:ascii="Times New Roman" w:hAnsi="Times New Roman" w:eastAsia="宋体" w:cs="Times New Roman"/>
                      <w:color w:val="auto"/>
                      <w:spacing w:val="1"/>
                      <w:sz w:val="21"/>
                      <w:szCs w:val="21"/>
                      <w:highlight w:val="none"/>
                      <w:vertAlign w:val="superscript"/>
                      <w:lang w:val="en-US" w:eastAsia="zh-CN"/>
                    </w:rPr>
                    <w:t>3</w:t>
                  </w:r>
                  <w:r>
                    <w:rPr>
                      <w:rFonts w:ascii="Times New Roman" w:hAnsi="Times New Roman" w:eastAsia="宋体"/>
                      <w:color w:val="auto"/>
                      <w:spacing w:val="1"/>
                      <w:sz w:val="21"/>
                      <w:szCs w:val="21"/>
                      <w:highlight w:val="none"/>
                    </w:rPr>
                    <w:t>。</w:t>
                  </w:r>
                </w:p>
              </w:tc>
              <w:tc>
                <w:tcPr>
                  <w:tcW w:w="2110" w:type="dxa"/>
                  <w:tcBorders>
                    <w:tl2br w:val="nil"/>
                    <w:tr2bl w:val="nil"/>
                  </w:tcBorders>
                  <w:shd w:val="clear" w:color="auto" w:fill="auto"/>
                  <w:vAlign w:val="center"/>
                </w:tcPr>
                <w:p w14:paraId="00380C2D">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厂区内供气</w:t>
                  </w:r>
                  <w:r>
                    <w:rPr>
                      <w:rFonts w:ascii="Times New Roman" w:hAnsi="Times New Roman" w:eastAsia="宋体"/>
                      <w:color w:val="auto"/>
                      <w:spacing w:val="6"/>
                      <w:sz w:val="21"/>
                      <w:szCs w:val="21"/>
                    </w:rPr>
                    <w:t>设施新建</w:t>
                  </w:r>
                </w:p>
              </w:tc>
            </w:tr>
            <w:tr w14:paraId="4185C6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6CE53A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49B161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纯水</w:t>
                  </w:r>
                </w:p>
              </w:tc>
              <w:tc>
                <w:tcPr>
                  <w:tcW w:w="3072" w:type="dxa"/>
                  <w:tcBorders>
                    <w:tl2br w:val="nil"/>
                    <w:tr2bl w:val="nil"/>
                  </w:tcBorders>
                  <w:shd w:val="clear" w:color="auto" w:fill="auto"/>
                  <w:vAlign w:val="center"/>
                </w:tcPr>
                <w:p w14:paraId="682F3C3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1"/>
                      <w:lang w:val="en-US" w:eastAsia="zh-CN" w:bidi="ar-SA"/>
                    </w:rPr>
                  </w:pPr>
                  <w:r>
                    <w:rPr>
                      <w:rFonts w:ascii="Times New Roman" w:hAnsi="Times New Roman" w:eastAsia="宋体"/>
                      <w:color w:val="auto"/>
                      <w:spacing w:val="7"/>
                      <w:position w:val="1"/>
                      <w:sz w:val="21"/>
                      <w:szCs w:val="21"/>
                    </w:rPr>
                    <w:t>本项目设有</w:t>
                  </w:r>
                  <w:r>
                    <w:rPr>
                      <w:rFonts w:ascii="Times New Roman" w:hAnsi="Times New Roman" w:eastAsia="宋体" w:cs="Times New Roman"/>
                      <w:color w:val="auto"/>
                      <w:spacing w:val="7"/>
                      <w:position w:val="1"/>
                      <w:sz w:val="21"/>
                      <w:szCs w:val="21"/>
                    </w:rPr>
                    <w:t>1</w:t>
                  </w:r>
                  <w:r>
                    <w:rPr>
                      <w:rFonts w:ascii="Times New Roman" w:hAnsi="Times New Roman" w:eastAsia="宋体"/>
                      <w:color w:val="auto"/>
                      <w:spacing w:val="7"/>
                      <w:position w:val="1"/>
                      <w:sz w:val="21"/>
                      <w:szCs w:val="21"/>
                    </w:rPr>
                    <w:t>套纯水制备系统，工艺为“过滤</w:t>
                  </w:r>
                  <w:r>
                    <w:rPr>
                      <w:rFonts w:ascii="Times New Roman" w:hAnsi="Times New Roman" w:eastAsia="宋体" w:cs="Times New Roman"/>
                      <w:color w:val="auto"/>
                      <w:spacing w:val="7"/>
                      <w:position w:val="1"/>
                      <w:sz w:val="21"/>
                      <w:szCs w:val="21"/>
                    </w:rPr>
                    <w:t>+</w:t>
                  </w:r>
                  <w:r>
                    <w:rPr>
                      <w:rFonts w:ascii="Times New Roman" w:hAnsi="Times New Roman" w:eastAsia="宋体"/>
                      <w:color w:val="auto"/>
                      <w:spacing w:val="3"/>
                      <w:sz w:val="21"/>
                      <w:szCs w:val="21"/>
                    </w:rPr>
                    <w:t>离子交换树脂</w:t>
                  </w:r>
                  <w:r>
                    <w:rPr>
                      <w:rFonts w:ascii="Times New Roman" w:hAnsi="Times New Roman" w:eastAsia="宋体" w:cs="Times New Roman"/>
                      <w:color w:val="auto"/>
                      <w:spacing w:val="3"/>
                      <w:sz w:val="21"/>
                      <w:szCs w:val="21"/>
                    </w:rPr>
                    <w:t>+</w:t>
                  </w:r>
                  <w:r>
                    <w:rPr>
                      <w:rFonts w:ascii="Times New Roman" w:hAnsi="Times New Roman" w:eastAsia="宋体" w:cs="Times New Roman"/>
                      <w:color w:val="auto"/>
                      <w:sz w:val="21"/>
                      <w:szCs w:val="21"/>
                    </w:rPr>
                    <w:t>RO</w:t>
                  </w:r>
                  <w:r>
                    <w:rPr>
                      <w:rFonts w:ascii="Times New Roman" w:hAnsi="Times New Roman" w:eastAsia="宋体"/>
                      <w:color w:val="auto"/>
                      <w:spacing w:val="3"/>
                      <w:sz w:val="21"/>
                      <w:szCs w:val="21"/>
                    </w:rPr>
                    <w:t>（反渗透）”</w:t>
                  </w:r>
                  <w:r>
                    <w:rPr>
                      <w:rFonts w:hint="eastAsia" w:ascii="Times New Roman" w:hAnsi="Times New Roman"/>
                      <w:color w:val="auto"/>
                      <w:spacing w:val="3"/>
                      <w:sz w:val="21"/>
                      <w:szCs w:val="21"/>
                      <w:lang w:eastAsia="zh-CN"/>
                    </w:rPr>
                    <w:t>，</w:t>
                  </w:r>
                  <w:r>
                    <w:rPr>
                      <w:rFonts w:ascii="Times New Roman" w:hAnsi="Times New Roman" w:eastAsia="宋体"/>
                      <w:color w:val="auto"/>
                      <w:spacing w:val="3"/>
                      <w:sz w:val="21"/>
                      <w:szCs w:val="21"/>
                    </w:rPr>
                    <w:t>设计产水量为</w:t>
                  </w:r>
                  <w:r>
                    <w:rPr>
                      <w:rFonts w:ascii="Times New Roman" w:hAnsi="Times New Roman" w:eastAsia="宋体" w:cs="Times New Roman"/>
                      <w:color w:val="auto"/>
                      <w:spacing w:val="6"/>
                      <w:sz w:val="21"/>
                      <w:szCs w:val="21"/>
                    </w:rPr>
                    <w:t>2t/h</w:t>
                  </w:r>
                  <w:r>
                    <w:rPr>
                      <w:rFonts w:ascii="Times New Roman" w:hAnsi="Times New Roman" w:eastAsia="宋体"/>
                      <w:color w:val="auto"/>
                      <w:spacing w:val="6"/>
                      <w:sz w:val="21"/>
                      <w:szCs w:val="21"/>
                    </w:rPr>
                    <w:t>，用于提供电泳线使用的纯水</w:t>
                  </w:r>
                  <w:r>
                    <w:rPr>
                      <w:rFonts w:hint="eastAsia" w:ascii="Times New Roman" w:hAnsi="Times New Roman"/>
                      <w:color w:val="auto"/>
                      <w:spacing w:val="6"/>
                      <w:sz w:val="21"/>
                      <w:szCs w:val="21"/>
                      <w:lang w:eastAsia="zh-CN"/>
                    </w:rPr>
                    <w:t>。</w:t>
                  </w:r>
                </w:p>
              </w:tc>
              <w:tc>
                <w:tcPr>
                  <w:tcW w:w="2110" w:type="dxa"/>
                  <w:tcBorders>
                    <w:tl2br w:val="nil"/>
                    <w:tr2bl w:val="nil"/>
                  </w:tcBorders>
                  <w:shd w:val="clear" w:color="auto" w:fill="auto"/>
                  <w:vAlign w:val="center"/>
                </w:tcPr>
                <w:p w14:paraId="2342797B">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厂区内设施</w:t>
                  </w:r>
                  <w:r>
                    <w:rPr>
                      <w:rFonts w:ascii="Times New Roman" w:hAnsi="Times New Roman" w:eastAsia="宋体"/>
                      <w:color w:val="auto"/>
                      <w:spacing w:val="4"/>
                      <w:sz w:val="21"/>
                      <w:szCs w:val="21"/>
                    </w:rPr>
                    <w:t>新建</w:t>
                  </w:r>
                </w:p>
              </w:tc>
            </w:tr>
            <w:tr w14:paraId="26BA4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0049AA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2259A4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供电系统</w:t>
                  </w:r>
                </w:p>
              </w:tc>
              <w:tc>
                <w:tcPr>
                  <w:tcW w:w="3072" w:type="dxa"/>
                  <w:tcBorders>
                    <w:tl2br w:val="nil"/>
                    <w:tr2bl w:val="nil"/>
                  </w:tcBorders>
                  <w:shd w:val="clear" w:color="auto" w:fill="auto"/>
                  <w:vAlign w:val="center"/>
                </w:tcPr>
                <w:p w14:paraId="3E82FB1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Times New Roman"/>
                      <w:color w:val="auto"/>
                      <w:kern w:val="2"/>
                      <w:sz w:val="21"/>
                      <w:szCs w:val="21"/>
                      <w:lang w:val="en-US" w:eastAsia="en-US" w:bidi="ar-SA"/>
                    </w:rPr>
                  </w:pPr>
                  <w:r>
                    <w:rPr>
                      <w:rFonts w:ascii="Times New Roman" w:hAnsi="Times New Roman" w:eastAsia="宋体" w:cs="宋体"/>
                      <w:color w:val="auto"/>
                      <w:kern w:val="2"/>
                      <w:sz w:val="21"/>
                      <w:szCs w:val="21"/>
                      <w:lang w:val="en-US" w:eastAsia="en-US" w:bidi="ar-SA"/>
                    </w:rPr>
                    <w:t>接市政供</w:t>
                  </w:r>
                  <w:r>
                    <w:rPr>
                      <w:rFonts w:hint="eastAsia" w:ascii="Times New Roman" w:hAnsi="Times New Roman" w:cs="宋体"/>
                      <w:color w:val="auto"/>
                      <w:kern w:val="2"/>
                      <w:sz w:val="21"/>
                      <w:szCs w:val="21"/>
                      <w:lang w:val="en-US" w:eastAsia="zh-CN" w:bidi="ar-SA"/>
                    </w:rPr>
                    <w:t>电</w:t>
                  </w:r>
                  <w:r>
                    <w:rPr>
                      <w:rFonts w:ascii="Times New Roman" w:hAnsi="Times New Roman" w:eastAsia="宋体" w:cs="宋体"/>
                      <w:color w:val="auto"/>
                      <w:kern w:val="2"/>
                      <w:sz w:val="21"/>
                      <w:szCs w:val="21"/>
                      <w:lang w:val="en-US" w:eastAsia="en-US" w:bidi="ar-SA"/>
                    </w:rPr>
                    <w:t>管网</w:t>
                  </w:r>
                </w:p>
              </w:tc>
              <w:tc>
                <w:tcPr>
                  <w:tcW w:w="2110" w:type="dxa"/>
                  <w:tcBorders>
                    <w:tl2br w:val="nil"/>
                    <w:tr2bl w:val="nil"/>
                  </w:tcBorders>
                  <w:shd w:val="clear" w:color="auto" w:fill="auto"/>
                  <w:vAlign w:val="center"/>
                </w:tcPr>
                <w:p w14:paraId="69CB2B9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依托</w:t>
                  </w:r>
                </w:p>
              </w:tc>
            </w:tr>
            <w:tr w14:paraId="1C868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restart"/>
                  <w:tcBorders>
                    <w:tl2br w:val="nil"/>
                    <w:tr2bl w:val="nil"/>
                  </w:tcBorders>
                  <w:shd w:val="clear" w:color="auto" w:fill="auto"/>
                  <w:vAlign w:val="center"/>
                </w:tcPr>
                <w:p w14:paraId="7AE85132">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4"/>
                      <w:sz w:val="21"/>
                      <w:szCs w:val="21"/>
                    </w:rPr>
                    <w:t>环保</w:t>
                  </w:r>
                </w:p>
                <w:p w14:paraId="5267322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3"/>
                      <w:sz w:val="21"/>
                      <w:szCs w:val="21"/>
                    </w:rPr>
                    <w:t>工程</w:t>
                  </w:r>
                </w:p>
              </w:tc>
              <w:tc>
                <w:tcPr>
                  <w:tcW w:w="2054" w:type="dxa"/>
                  <w:vMerge w:val="restart"/>
                  <w:tcBorders>
                    <w:tl2br w:val="nil"/>
                    <w:tr2bl w:val="nil"/>
                  </w:tcBorders>
                  <w:shd w:val="clear" w:color="auto" w:fill="auto"/>
                  <w:vAlign w:val="center"/>
                </w:tcPr>
                <w:p w14:paraId="22FBE3A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7"/>
                      <w:sz w:val="21"/>
                      <w:szCs w:val="21"/>
                    </w:rPr>
                  </w:pPr>
                  <w:r>
                    <w:rPr>
                      <w:rFonts w:ascii="Times New Roman" w:hAnsi="Times New Roman" w:eastAsia="宋体"/>
                      <w:color w:val="auto"/>
                      <w:spacing w:val="8"/>
                      <w:sz w:val="21"/>
                      <w:szCs w:val="21"/>
                    </w:rPr>
                    <w:t>废水处理措</w:t>
                  </w:r>
                  <w:r>
                    <w:rPr>
                      <w:rFonts w:ascii="Times New Roman" w:hAnsi="Times New Roman" w:eastAsia="宋体"/>
                      <w:color w:val="auto"/>
                      <w:spacing w:val="1"/>
                      <w:sz w:val="21"/>
                      <w:szCs w:val="21"/>
                    </w:rPr>
                    <w:t>施</w:t>
                  </w:r>
                </w:p>
              </w:tc>
              <w:tc>
                <w:tcPr>
                  <w:tcW w:w="3072" w:type="dxa"/>
                  <w:tcBorders>
                    <w:tl2br w:val="nil"/>
                    <w:tr2bl w:val="nil"/>
                  </w:tcBorders>
                  <w:shd w:val="clear" w:color="auto" w:fill="auto"/>
                  <w:vAlign w:val="center"/>
                </w:tcPr>
                <w:p w14:paraId="38F2118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6"/>
                      <w:sz w:val="21"/>
                      <w:szCs w:val="21"/>
                    </w:rPr>
                    <w:t>生产废水</w:t>
                  </w:r>
                </w:p>
              </w:tc>
              <w:tc>
                <w:tcPr>
                  <w:tcW w:w="2110" w:type="dxa"/>
                  <w:tcBorders>
                    <w:tl2br w:val="nil"/>
                    <w:tr2bl w:val="nil"/>
                  </w:tcBorders>
                  <w:shd w:val="clear" w:color="auto" w:fill="auto"/>
                  <w:vAlign w:val="center"/>
                </w:tcPr>
                <w:p w14:paraId="173BBA2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本项目配套建设1座废水</w:t>
                  </w:r>
                  <w:r>
                    <w:rPr>
                      <w:rFonts w:ascii="Times New Roman" w:hAnsi="Times New Roman" w:eastAsia="宋体"/>
                      <w:color w:val="auto"/>
                      <w:spacing w:val="1"/>
                      <w:sz w:val="21"/>
                      <w:szCs w:val="21"/>
                    </w:rPr>
                    <w:t>处理设施，处理工艺为“</w:t>
                  </w:r>
                  <w:r>
                    <w:rPr>
                      <w:rFonts w:hint="eastAsia" w:ascii="Times New Roman" w:hAnsi="Times New Roman"/>
                      <w:color w:val="auto"/>
                      <w:spacing w:val="1"/>
                      <w:sz w:val="21"/>
                      <w:szCs w:val="21"/>
                      <w:lang w:val="en-US" w:eastAsia="zh-CN"/>
                    </w:rPr>
                    <w:t>物化+A/O+沉淀</w:t>
                  </w:r>
                  <w:r>
                    <w:rPr>
                      <w:rFonts w:ascii="Times New Roman" w:hAnsi="Times New Roman" w:eastAsia="宋体"/>
                      <w:color w:val="auto"/>
                      <w:spacing w:val="7"/>
                      <w:sz w:val="21"/>
                      <w:szCs w:val="21"/>
                    </w:rPr>
                    <w:t>工艺”。</w:t>
                  </w:r>
                </w:p>
                <w:p w14:paraId="29EA2874">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宋体"/>
                      <w:color w:val="auto"/>
                      <w:kern w:val="2"/>
                      <w:sz w:val="21"/>
                      <w:szCs w:val="21"/>
                      <w:lang w:val="en-US" w:eastAsia="zh-CN" w:bidi="ar-SA"/>
                    </w:rPr>
                  </w:pPr>
                  <w:r>
                    <w:rPr>
                      <w:rFonts w:ascii="Times New Roman" w:hAnsi="Times New Roman" w:eastAsia="宋体"/>
                      <w:color w:val="auto"/>
                      <w:spacing w:val="1"/>
                      <w:sz w:val="21"/>
                      <w:szCs w:val="21"/>
                    </w:rPr>
                    <w:t>本项目脱脂废水、</w:t>
                  </w:r>
                  <w:r>
                    <w:rPr>
                      <w:rFonts w:ascii="Times New Roman" w:hAnsi="Times New Roman" w:eastAsia="宋体"/>
                      <w:color w:val="auto"/>
                      <w:spacing w:val="-4"/>
                      <w:sz w:val="21"/>
                      <w:szCs w:val="21"/>
                    </w:rPr>
                    <w:t>脱脂后水洗废水、硅烷后水洗</w:t>
                  </w:r>
                  <w:r>
                    <w:rPr>
                      <w:rFonts w:ascii="Times New Roman" w:hAnsi="Times New Roman" w:eastAsia="宋体"/>
                      <w:color w:val="auto"/>
                      <w:spacing w:val="5"/>
                      <w:sz w:val="21"/>
                      <w:szCs w:val="21"/>
                    </w:rPr>
                    <w:t>废水、</w:t>
                  </w:r>
                  <w:r>
                    <w:rPr>
                      <w:rFonts w:hint="eastAsia" w:ascii="Times New Roman" w:hAnsi="Times New Roman"/>
                      <w:color w:val="auto"/>
                      <w:spacing w:val="1"/>
                      <w:sz w:val="21"/>
                      <w:szCs w:val="21"/>
                      <w:lang w:val="en-US" w:eastAsia="zh-CN"/>
                    </w:rPr>
                    <w:t>纯</w:t>
                  </w:r>
                  <w:r>
                    <w:rPr>
                      <w:rFonts w:ascii="Times New Roman" w:hAnsi="Times New Roman" w:eastAsia="宋体"/>
                      <w:color w:val="auto"/>
                      <w:spacing w:val="1"/>
                      <w:sz w:val="21"/>
                      <w:szCs w:val="21"/>
                    </w:rPr>
                    <w:t>水洗</w:t>
                  </w:r>
                  <w:r>
                    <w:rPr>
                      <w:rFonts w:hint="eastAsia" w:ascii="Times New Roman" w:hAnsi="Times New Roman"/>
                      <w:color w:val="auto"/>
                      <w:spacing w:val="1"/>
                      <w:sz w:val="21"/>
                      <w:szCs w:val="21"/>
                      <w:lang w:val="en-US" w:eastAsia="zh-CN"/>
                    </w:rPr>
                    <w:t>2</w:t>
                  </w:r>
                  <w:r>
                    <w:rPr>
                      <w:rFonts w:ascii="Times New Roman" w:hAnsi="Times New Roman" w:eastAsia="宋体"/>
                      <w:color w:val="auto"/>
                      <w:spacing w:val="1"/>
                      <w:sz w:val="21"/>
                      <w:szCs w:val="21"/>
                    </w:rPr>
                    <w:t>废水、</w:t>
                  </w:r>
                  <w:r>
                    <w:rPr>
                      <w:rFonts w:ascii="Times New Roman" w:hAnsi="Times New Roman" w:eastAsia="宋体" w:cs="Times New Roman"/>
                      <w:color w:val="auto"/>
                      <w:sz w:val="21"/>
                      <w:szCs w:val="21"/>
                    </w:rPr>
                    <w:t>UF</w:t>
                  </w:r>
                  <w:r>
                    <w:rPr>
                      <w:rFonts w:ascii="Times New Roman" w:hAnsi="Times New Roman" w:eastAsia="宋体"/>
                      <w:color w:val="auto"/>
                      <w:spacing w:val="5"/>
                      <w:sz w:val="21"/>
                      <w:szCs w:val="21"/>
                    </w:rPr>
                    <w:t>清洗后水洗废水、</w:t>
                  </w:r>
                  <w:r>
                    <w:rPr>
                      <w:rFonts w:ascii="Times New Roman" w:hAnsi="Times New Roman" w:eastAsia="宋体"/>
                      <w:color w:val="auto"/>
                      <w:spacing w:val="-4"/>
                      <w:sz w:val="21"/>
                      <w:szCs w:val="21"/>
                    </w:rPr>
                    <w:t>纯水制备尾水</w:t>
                  </w:r>
                  <w:r>
                    <w:rPr>
                      <w:rFonts w:hint="eastAsia" w:ascii="Times New Roman" w:hAnsi="Times New Roman"/>
                      <w:color w:val="auto"/>
                      <w:spacing w:val="-4"/>
                      <w:sz w:val="21"/>
                      <w:szCs w:val="21"/>
                      <w:lang w:eastAsia="zh-CN"/>
                    </w:rPr>
                    <w:t>、</w:t>
                  </w:r>
                  <w:r>
                    <w:rPr>
                      <w:rFonts w:hint="eastAsia" w:ascii="Times New Roman" w:hAnsi="Times New Roman"/>
                      <w:color w:val="auto"/>
                      <w:spacing w:val="-4"/>
                      <w:sz w:val="21"/>
                      <w:szCs w:val="21"/>
                      <w:lang w:val="en-US" w:eastAsia="zh-CN"/>
                    </w:rPr>
                    <w:t>水帘喷漆废水</w:t>
                  </w:r>
                  <w:r>
                    <w:rPr>
                      <w:rFonts w:ascii="Times New Roman" w:hAnsi="Times New Roman" w:eastAsia="宋体"/>
                      <w:color w:val="auto"/>
                      <w:spacing w:val="-4"/>
                      <w:sz w:val="21"/>
                      <w:szCs w:val="21"/>
                    </w:rPr>
                    <w:t>排水经</w:t>
                  </w:r>
                  <w:r>
                    <w:rPr>
                      <w:rFonts w:ascii="Times New Roman" w:hAnsi="Times New Roman" w:eastAsia="宋体"/>
                      <w:color w:val="auto"/>
                      <w:spacing w:val="8"/>
                      <w:sz w:val="21"/>
                      <w:szCs w:val="21"/>
                    </w:rPr>
                    <w:t>收集后进入废水处理设施处</w:t>
                  </w:r>
                  <w:r>
                    <w:rPr>
                      <w:rFonts w:ascii="Times New Roman" w:hAnsi="Times New Roman" w:eastAsia="宋体"/>
                      <w:color w:val="auto"/>
                      <w:sz w:val="21"/>
                      <w:szCs w:val="21"/>
                    </w:rPr>
                    <w:t>理，出水进入</w:t>
                  </w:r>
                  <w:r>
                    <w:rPr>
                      <w:rFonts w:hint="eastAsia" w:ascii="Times New Roman" w:hAnsi="Times New Roman"/>
                      <w:color w:val="auto"/>
                      <w:sz w:val="21"/>
                      <w:szCs w:val="21"/>
                      <w:lang w:val="en-US" w:eastAsia="zh-CN"/>
                    </w:rPr>
                    <w:t>市政</w:t>
                  </w:r>
                  <w:r>
                    <w:rPr>
                      <w:rFonts w:ascii="Times New Roman" w:hAnsi="Times New Roman" w:eastAsia="宋体"/>
                      <w:color w:val="auto"/>
                      <w:sz w:val="21"/>
                      <w:szCs w:val="21"/>
                    </w:rPr>
                    <w:t>污水管</w:t>
                  </w:r>
                  <w:r>
                    <w:rPr>
                      <w:rFonts w:hint="eastAsia" w:ascii="Times New Roman" w:hAnsi="Times New Roman"/>
                      <w:color w:val="auto"/>
                      <w:sz w:val="21"/>
                      <w:szCs w:val="21"/>
                      <w:lang w:val="en-US" w:eastAsia="zh-CN"/>
                    </w:rPr>
                    <w:t>网</w:t>
                  </w:r>
                  <w:r>
                    <w:rPr>
                      <w:rFonts w:ascii="Times New Roman" w:hAnsi="Times New Roman" w:eastAsia="宋体"/>
                      <w:color w:val="auto"/>
                      <w:sz w:val="21"/>
                      <w:szCs w:val="21"/>
                    </w:rPr>
                    <w:t>；</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DW002）</w:t>
                  </w:r>
                </w:p>
              </w:tc>
              <w:tc>
                <w:tcPr>
                  <w:tcW w:w="1318" w:type="dxa"/>
                  <w:tcBorders>
                    <w:tl2br w:val="nil"/>
                    <w:tr2bl w:val="nil"/>
                  </w:tcBorders>
                  <w:shd w:val="clear" w:color="auto" w:fill="auto"/>
                  <w:vAlign w:val="center"/>
                </w:tcPr>
                <w:p w14:paraId="163BEF79">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4"/>
                      <w:sz w:val="21"/>
                      <w:szCs w:val="21"/>
                    </w:rPr>
                    <w:t>新建</w:t>
                  </w:r>
                </w:p>
              </w:tc>
            </w:tr>
            <w:tr w14:paraId="54BC5E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continue"/>
                  <w:tcBorders>
                    <w:tl2br w:val="nil"/>
                    <w:tr2bl w:val="nil"/>
                  </w:tcBorders>
                  <w:vAlign w:val="center"/>
                </w:tcPr>
                <w:p w14:paraId="0DABC8E8">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vMerge w:val="continue"/>
                  <w:tcBorders>
                    <w:tl2br w:val="nil"/>
                    <w:tr2bl w:val="nil"/>
                  </w:tcBorders>
                  <w:shd w:val="clear" w:color="auto" w:fill="auto"/>
                  <w:vAlign w:val="center"/>
                </w:tcPr>
                <w:p w14:paraId="1E13A59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7"/>
                      <w:sz w:val="21"/>
                      <w:szCs w:val="21"/>
                    </w:rPr>
                  </w:pPr>
                </w:p>
              </w:tc>
              <w:tc>
                <w:tcPr>
                  <w:tcW w:w="3072" w:type="dxa"/>
                  <w:tcBorders>
                    <w:tl2br w:val="nil"/>
                    <w:tr2bl w:val="nil"/>
                  </w:tcBorders>
                  <w:shd w:val="clear" w:color="auto" w:fill="auto"/>
                  <w:vAlign w:val="center"/>
                </w:tcPr>
                <w:p w14:paraId="1A3FB74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6"/>
                      <w:sz w:val="21"/>
                      <w:szCs w:val="21"/>
                    </w:rPr>
                    <w:t>生活污水</w:t>
                  </w:r>
                </w:p>
              </w:tc>
              <w:tc>
                <w:tcPr>
                  <w:tcW w:w="2110" w:type="dxa"/>
                  <w:tcBorders>
                    <w:tl2br w:val="nil"/>
                    <w:tr2bl w:val="nil"/>
                  </w:tcBorders>
                  <w:shd w:val="clear" w:color="auto" w:fill="auto"/>
                  <w:vAlign w:val="center"/>
                </w:tcPr>
                <w:p w14:paraId="0439A7B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en-US" w:bidi="ar-SA"/>
                    </w:rPr>
                  </w:pPr>
                  <w:r>
                    <w:rPr>
                      <w:rFonts w:ascii="Times New Roman" w:hAnsi="Times New Roman" w:eastAsia="宋体"/>
                      <w:color w:val="auto"/>
                      <w:spacing w:val="1"/>
                      <w:sz w:val="21"/>
                      <w:szCs w:val="21"/>
                    </w:rPr>
                    <w:t>经化粪池预处理后，通过</w:t>
                  </w:r>
                  <w:r>
                    <w:rPr>
                      <w:rFonts w:hint="eastAsia" w:ascii="Times New Roman" w:hAnsi="Times New Roman"/>
                      <w:color w:val="auto"/>
                      <w:spacing w:val="1"/>
                      <w:sz w:val="21"/>
                      <w:szCs w:val="21"/>
                      <w:lang w:val="en-US" w:eastAsia="zh-CN"/>
                    </w:rPr>
                    <w:t>市政污</w:t>
                  </w:r>
                  <w:r>
                    <w:rPr>
                      <w:rFonts w:hint="eastAsia" w:ascii="Times New Roman" w:hAnsi="Times New Roman"/>
                      <w:color w:val="auto"/>
                      <w:spacing w:val="1"/>
                      <w:sz w:val="21"/>
                      <w:szCs w:val="21"/>
                      <w:highlight w:val="none"/>
                      <w:lang w:val="en-US" w:eastAsia="zh-CN"/>
                    </w:rPr>
                    <w:t>水</w:t>
                  </w:r>
                  <w:r>
                    <w:rPr>
                      <w:rFonts w:ascii="Times New Roman" w:hAnsi="Times New Roman" w:eastAsia="宋体"/>
                      <w:color w:val="auto"/>
                      <w:spacing w:val="7"/>
                      <w:sz w:val="21"/>
                      <w:szCs w:val="21"/>
                      <w:highlight w:val="none"/>
                    </w:rPr>
                    <w:t>管网送至</w:t>
                  </w:r>
                  <w:r>
                    <w:rPr>
                      <w:rFonts w:hint="eastAsia" w:ascii="Times New Roman" w:hAnsi="Times New Roman"/>
                      <w:color w:val="auto"/>
                      <w:spacing w:val="7"/>
                      <w:sz w:val="21"/>
                      <w:szCs w:val="21"/>
                      <w:highlight w:val="none"/>
                      <w:lang w:eastAsia="zh-CN"/>
                    </w:rPr>
                    <w:t>福清市第二污水处理厂</w:t>
                  </w:r>
                  <w:r>
                    <w:rPr>
                      <w:rFonts w:ascii="Times New Roman" w:hAnsi="Times New Roman" w:eastAsia="宋体"/>
                      <w:color w:val="auto"/>
                      <w:spacing w:val="7"/>
                      <w:sz w:val="21"/>
                      <w:szCs w:val="21"/>
                      <w:highlight w:val="none"/>
                    </w:rPr>
                    <w:t>处</w:t>
                  </w:r>
                  <w:r>
                    <w:rPr>
                      <w:rFonts w:ascii="Times New Roman" w:hAnsi="Times New Roman" w:eastAsia="宋体"/>
                      <w:color w:val="auto"/>
                      <w:spacing w:val="7"/>
                      <w:sz w:val="21"/>
                      <w:szCs w:val="21"/>
                    </w:rPr>
                    <w:t>理。</w:t>
                  </w:r>
                  <w:r>
                    <w:rPr>
                      <w:rFonts w:hint="eastAsia" w:ascii="Times New Roman" w:hAnsi="Times New Roman"/>
                      <w:color w:val="auto"/>
                      <w:spacing w:val="7"/>
                      <w:sz w:val="21"/>
                      <w:szCs w:val="21"/>
                      <w:lang w:eastAsia="zh-CN"/>
                    </w:rPr>
                    <w:t>（</w:t>
                  </w:r>
                  <w:r>
                    <w:rPr>
                      <w:rFonts w:hint="eastAsia" w:ascii="Times New Roman" w:hAnsi="Times New Roman"/>
                      <w:color w:val="auto"/>
                      <w:sz w:val="21"/>
                      <w:szCs w:val="21"/>
                      <w:lang w:val="en-US" w:eastAsia="zh-CN"/>
                    </w:rPr>
                    <w:t>DW001）</w:t>
                  </w:r>
                </w:p>
              </w:tc>
              <w:tc>
                <w:tcPr>
                  <w:tcW w:w="1318" w:type="dxa"/>
                  <w:tcBorders>
                    <w:tl2br w:val="nil"/>
                    <w:tr2bl w:val="nil"/>
                  </w:tcBorders>
                  <w:shd w:val="clear" w:color="auto" w:fill="auto"/>
                  <w:vAlign w:val="center"/>
                </w:tcPr>
                <w:p w14:paraId="6E844A20">
                  <w:pPr>
                    <w:pStyle w:val="115"/>
                    <w:keepNext w:val="0"/>
                    <w:keepLines w:val="0"/>
                    <w:pageBreakBefore w:val="0"/>
                    <w:widowControl w:val="0"/>
                    <w:kinsoku/>
                    <w:wordWrap/>
                    <w:overflowPunct/>
                    <w:topLinePunct w:val="0"/>
                    <w:bidi w:val="0"/>
                    <w:adjustRightInd/>
                    <w:snapToGrid/>
                    <w:spacing w:line="240" w:lineRule="auto"/>
                    <w:ind w:left="0" w:right="0" w:firstLine="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化粪池依托配</w:t>
                  </w:r>
                </w:p>
                <w:p w14:paraId="576362B4">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z w:val="21"/>
                      <w:szCs w:val="21"/>
                    </w:rPr>
                    <w:t>套</w:t>
                  </w:r>
                </w:p>
              </w:tc>
            </w:tr>
            <w:tr w14:paraId="270012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6F601430">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vMerge w:val="restart"/>
                  <w:tcBorders>
                    <w:tl2br w:val="nil"/>
                    <w:tr2bl w:val="nil"/>
                  </w:tcBorders>
                  <w:shd w:val="clear" w:color="auto" w:fill="auto"/>
                  <w:vAlign w:val="center"/>
                </w:tcPr>
                <w:p w14:paraId="188A939A">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8"/>
                      <w:sz w:val="21"/>
                      <w:szCs w:val="21"/>
                    </w:rPr>
                    <w:t>废气处理措</w:t>
                  </w:r>
                  <w:r>
                    <w:rPr>
                      <w:rFonts w:ascii="Times New Roman" w:hAnsi="Times New Roman" w:eastAsia="宋体"/>
                      <w:color w:val="auto"/>
                      <w:spacing w:val="1"/>
                      <w:sz w:val="21"/>
                      <w:szCs w:val="21"/>
                    </w:rPr>
                    <w:t>施</w:t>
                  </w:r>
                </w:p>
              </w:tc>
              <w:tc>
                <w:tcPr>
                  <w:tcW w:w="3072" w:type="dxa"/>
                  <w:tcBorders>
                    <w:tl2br w:val="nil"/>
                    <w:tr2bl w:val="nil"/>
                  </w:tcBorders>
                  <w:shd w:val="clear" w:color="auto" w:fill="auto"/>
                  <w:vAlign w:val="center"/>
                </w:tcPr>
                <w:p w14:paraId="3BFACFF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电泳、烘干废气；</w:t>
                  </w:r>
                  <w:r>
                    <w:rPr>
                      <w:rFonts w:hint="eastAsia" w:ascii="Times New Roman" w:hAnsi="Times New Roman"/>
                      <w:color w:val="auto"/>
                      <w:spacing w:val="-3"/>
                      <w:sz w:val="21"/>
                      <w:szCs w:val="21"/>
                      <w:lang w:eastAsia="zh-CN"/>
                    </w:rPr>
                    <w:t>（</w:t>
                  </w:r>
                  <w:r>
                    <w:rPr>
                      <w:rFonts w:hint="eastAsia" w:ascii="Times New Roman" w:hAnsi="Times New Roman"/>
                      <w:color w:val="auto"/>
                      <w:spacing w:val="-3"/>
                      <w:sz w:val="21"/>
                      <w:szCs w:val="21"/>
                      <w:lang w:val="en-US" w:eastAsia="zh-CN"/>
                    </w:rPr>
                    <w:t>电泳）</w:t>
                  </w:r>
                  <w:r>
                    <w:rPr>
                      <w:rFonts w:ascii="Times New Roman" w:hAnsi="Times New Roman" w:eastAsia="宋体"/>
                      <w:color w:val="auto"/>
                      <w:spacing w:val="-3"/>
                      <w:sz w:val="21"/>
                      <w:szCs w:val="21"/>
                    </w:rPr>
                    <w:t>天然气燃烧废气</w:t>
                  </w:r>
                </w:p>
              </w:tc>
              <w:tc>
                <w:tcPr>
                  <w:tcW w:w="2110" w:type="dxa"/>
                  <w:tcBorders>
                    <w:tl2br w:val="nil"/>
                    <w:tr2bl w:val="nil"/>
                  </w:tcBorders>
                  <w:shd w:val="clear" w:color="auto" w:fill="auto"/>
                  <w:vAlign w:val="center"/>
                </w:tcPr>
                <w:p w14:paraId="00FF046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2"/>
                      <w:sz w:val="21"/>
                      <w:szCs w:val="21"/>
                    </w:rPr>
                    <w:t>电</w:t>
                  </w:r>
                  <w:r>
                    <w:rPr>
                      <w:rFonts w:ascii="Times New Roman" w:hAnsi="Times New Roman" w:eastAsia="宋体"/>
                      <w:color w:val="auto"/>
                      <w:spacing w:val="-3"/>
                      <w:sz w:val="21"/>
                      <w:szCs w:val="21"/>
                    </w:rPr>
                    <w:t>泳、烘干废气经</w:t>
                  </w:r>
                  <w:r>
                    <w:rPr>
                      <w:rFonts w:hint="eastAsia" w:ascii="Times New Roman" w:hAnsi="Times New Roman" w:eastAsia="宋体"/>
                      <w:color w:val="auto"/>
                      <w:spacing w:val="-3"/>
                      <w:sz w:val="21"/>
                      <w:szCs w:val="21"/>
                      <w:lang w:eastAsia="zh-CN"/>
                    </w:rPr>
                    <w:t>喷淋塔+过滤棉+二级活性炭吸附</w:t>
                  </w:r>
                  <w:r>
                    <w:rPr>
                      <w:rFonts w:ascii="Times New Roman" w:hAnsi="Times New Roman" w:eastAsia="宋体"/>
                      <w:color w:val="auto"/>
                      <w:spacing w:val="-3"/>
                      <w:sz w:val="21"/>
                      <w:szCs w:val="21"/>
                    </w:rPr>
                    <w:t>处理后，通过1根</w:t>
                  </w:r>
                  <w:r>
                    <w:rPr>
                      <w:rFonts w:hint="eastAsia" w:ascii="Times New Roman" w:hAnsi="Times New Roman" w:eastAsia="宋体"/>
                      <w:color w:val="auto"/>
                      <w:spacing w:val="-3"/>
                      <w:sz w:val="21"/>
                      <w:szCs w:val="21"/>
                      <w:lang w:eastAsia="zh-CN"/>
                    </w:rPr>
                    <w:t>15m</w:t>
                  </w:r>
                  <w:r>
                    <w:rPr>
                      <w:rFonts w:ascii="Times New Roman" w:hAnsi="Times New Roman" w:eastAsia="宋体"/>
                      <w:color w:val="auto"/>
                      <w:spacing w:val="-3"/>
                      <w:sz w:val="21"/>
                      <w:szCs w:val="21"/>
                    </w:rPr>
                    <w:t>高排气筒达标排放</w:t>
                  </w:r>
                </w:p>
                <w:p w14:paraId="0030EF5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（DA001）；</w:t>
                  </w:r>
                  <w:r>
                    <w:rPr>
                      <w:rFonts w:hint="eastAsia" w:ascii="Times New Roman" w:hAnsi="Times New Roman" w:eastAsia="宋体"/>
                      <w:color w:val="auto"/>
                      <w:spacing w:val="-3"/>
                      <w:sz w:val="21"/>
                      <w:szCs w:val="21"/>
                      <w:lang w:eastAsia="zh-CN"/>
                    </w:rPr>
                    <w:t>（</w:t>
                  </w:r>
                  <w:r>
                    <w:rPr>
                      <w:rFonts w:hint="eastAsia" w:ascii="Times New Roman" w:hAnsi="Times New Roman" w:eastAsia="宋体"/>
                      <w:color w:val="auto"/>
                      <w:spacing w:val="-3"/>
                      <w:sz w:val="21"/>
                      <w:szCs w:val="21"/>
                      <w:lang w:val="en-US" w:eastAsia="zh-CN"/>
                    </w:rPr>
                    <w:t>电泳）</w:t>
                  </w:r>
                  <w:r>
                    <w:rPr>
                      <w:rFonts w:ascii="Times New Roman" w:hAnsi="Times New Roman" w:eastAsia="宋体"/>
                      <w:color w:val="auto"/>
                      <w:spacing w:val="-3"/>
                      <w:sz w:val="21"/>
                      <w:szCs w:val="21"/>
                    </w:rPr>
                    <w:t>天然气燃烧废气通过DA001排气筒达标排放；</w:t>
                  </w:r>
                </w:p>
              </w:tc>
              <w:tc>
                <w:tcPr>
                  <w:tcW w:w="1318" w:type="dxa"/>
                  <w:vMerge w:val="restart"/>
                  <w:tcBorders>
                    <w:tl2br w:val="nil"/>
                    <w:tr2bl w:val="nil"/>
                  </w:tcBorders>
                  <w:shd w:val="clear" w:color="auto" w:fill="auto"/>
                  <w:vAlign w:val="center"/>
                </w:tcPr>
                <w:p w14:paraId="0601DCE8">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4"/>
                      <w:sz w:val="21"/>
                      <w:szCs w:val="21"/>
                    </w:rPr>
                    <w:t>新建</w:t>
                  </w:r>
                </w:p>
              </w:tc>
            </w:tr>
            <w:tr w14:paraId="69B6DC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638834D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pPr>
                </w:p>
              </w:tc>
              <w:tc>
                <w:tcPr>
                  <w:tcW w:w="2054" w:type="dxa"/>
                  <w:vMerge w:val="continue"/>
                  <w:tcBorders>
                    <w:tl2br w:val="nil"/>
                    <w:tr2bl w:val="nil"/>
                  </w:tcBorders>
                  <w:shd w:val="clear" w:color="auto" w:fill="auto"/>
                  <w:vAlign w:val="center"/>
                </w:tcPr>
                <w:p w14:paraId="2A4F419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pPr>
                </w:p>
              </w:tc>
              <w:tc>
                <w:tcPr>
                  <w:tcW w:w="3072" w:type="dxa"/>
                  <w:tcBorders>
                    <w:tl2br w:val="nil"/>
                    <w:tr2bl w:val="nil"/>
                  </w:tcBorders>
                  <w:shd w:val="clear" w:color="auto" w:fill="auto"/>
                  <w:vAlign w:val="center"/>
                </w:tcPr>
                <w:p w14:paraId="7CF5676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3"/>
                      <w:sz w:val="21"/>
                      <w:szCs w:val="21"/>
                    </w:rPr>
                    <w:t>焊接废气</w:t>
                  </w:r>
                </w:p>
              </w:tc>
              <w:tc>
                <w:tcPr>
                  <w:tcW w:w="2110" w:type="dxa"/>
                  <w:tcBorders>
                    <w:tl2br w:val="nil"/>
                    <w:tr2bl w:val="nil"/>
                  </w:tcBorders>
                  <w:shd w:val="clear" w:color="auto" w:fill="auto"/>
                  <w:vAlign w:val="center"/>
                </w:tcPr>
                <w:p w14:paraId="1C43591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z w:val="21"/>
                      <w:szCs w:val="21"/>
                    </w:rPr>
                    <w:t>焊接废气经</w:t>
                  </w:r>
                  <w:r>
                    <w:rPr>
                      <w:rFonts w:hint="eastAsia" w:ascii="Times New Roman" w:hAnsi="Times New Roman"/>
                      <w:color w:val="auto"/>
                      <w:sz w:val="21"/>
                      <w:szCs w:val="21"/>
                      <w:lang w:eastAsia="zh-CN"/>
                    </w:rPr>
                    <w:t>布袋</w:t>
                  </w:r>
                  <w:r>
                    <w:rPr>
                      <w:rFonts w:ascii="Times New Roman" w:hAnsi="Times New Roman" w:eastAsia="宋体"/>
                      <w:color w:val="auto"/>
                      <w:spacing w:val="5"/>
                      <w:position w:val="1"/>
                      <w:sz w:val="21"/>
                      <w:szCs w:val="21"/>
                    </w:rPr>
                    <w:t>除尘器处理后，通过</w:t>
                  </w:r>
                  <w:r>
                    <w:rPr>
                      <w:rFonts w:ascii="Times New Roman" w:hAnsi="Times New Roman" w:eastAsia="宋体" w:cs="Times New Roman"/>
                      <w:color w:val="auto"/>
                      <w:spacing w:val="5"/>
                      <w:position w:val="1"/>
                      <w:sz w:val="21"/>
                      <w:szCs w:val="21"/>
                    </w:rPr>
                    <w:t>1</w:t>
                  </w:r>
                  <w:r>
                    <w:rPr>
                      <w:rFonts w:ascii="Times New Roman" w:hAnsi="Times New Roman" w:eastAsia="宋体"/>
                      <w:color w:val="auto"/>
                      <w:spacing w:val="5"/>
                      <w:position w:val="1"/>
                      <w:sz w:val="21"/>
                      <w:szCs w:val="21"/>
                    </w:rPr>
                    <w:t>根</w:t>
                  </w:r>
                  <w:r>
                    <w:rPr>
                      <w:rFonts w:ascii="Times New Roman" w:hAnsi="Times New Roman" w:eastAsia="宋体" w:cs="Times New Roman"/>
                      <w:color w:val="auto"/>
                      <w:spacing w:val="6"/>
                      <w:position w:val="1"/>
                      <w:sz w:val="21"/>
                      <w:szCs w:val="21"/>
                    </w:rPr>
                    <w:t>20m</w:t>
                  </w:r>
                  <w:r>
                    <w:rPr>
                      <w:rFonts w:ascii="Times New Roman" w:hAnsi="Times New Roman" w:eastAsia="宋体"/>
                      <w:color w:val="auto"/>
                      <w:spacing w:val="6"/>
                      <w:position w:val="1"/>
                      <w:sz w:val="21"/>
                      <w:szCs w:val="21"/>
                    </w:rPr>
                    <w:t>高排气筒达标排放</w:t>
                  </w:r>
                  <w:r>
                    <w:rPr>
                      <w:rFonts w:ascii="Times New Roman" w:hAnsi="Times New Roman" w:eastAsia="宋体"/>
                      <w:color w:val="auto"/>
                      <w:spacing w:val="7"/>
                      <w:position w:val="1"/>
                      <w:sz w:val="21"/>
                      <w:szCs w:val="21"/>
                    </w:rPr>
                    <w:t>（</w:t>
                  </w:r>
                  <w:r>
                    <w:rPr>
                      <w:rFonts w:ascii="Times New Roman" w:hAnsi="Times New Roman" w:eastAsia="宋体" w:cs="Times New Roman"/>
                      <w:color w:val="auto"/>
                      <w:position w:val="1"/>
                      <w:sz w:val="21"/>
                      <w:szCs w:val="21"/>
                    </w:rPr>
                    <w:t>DA</w:t>
                  </w:r>
                  <w:r>
                    <w:rPr>
                      <w:rFonts w:ascii="Times New Roman" w:hAnsi="Times New Roman" w:eastAsia="宋体" w:cs="Times New Roman"/>
                      <w:color w:val="auto"/>
                      <w:spacing w:val="7"/>
                      <w:position w:val="1"/>
                      <w:sz w:val="21"/>
                      <w:szCs w:val="21"/>
                    </w:rPr>
                    <w:t>002</w:t>
                  </w:r>
                  <w:r>
                    <w:rPr>
                      <w:rFonts w:ascii="Times New Roman" w:hAnsi="Times New Roman" w:eastAsia="宋体"/>
                      <w:color w:val="auto"/>
                      <w:spacing w:val="-31"/>
                      <w:position w:val="1"/>
                      <w:sz w:val="21"/>
                      <w:szCs w:val="21"/>
                    </w:rPr>
                    <w:t>）；</w:t>
                  </w:r>
                </w:p>
              </w:tc>
              <w:tc>
                <w:tcPr>
                  <w:tcW w:w="1318" w:type="dxa"/>
                  <w:vMerge w:val="continue"/>
                  <w:tcBorders>
                    <w:tl2br w:val="nil"/>
                    <w:tr2bl w:val="nil"/>
                  </w:tcBorders>
                  <w:shd w:val="clear" w:color="auto" w:fill="auto"/>
                  <w:vAlign w:val="center"/>
                </w:tcPr>
                <w:p w14:paraId="5FEE588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3B213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5EE9EFA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52E0943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41FA965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3"/>
                      <w:sz w:val="21"/>
                      <w:szCs w:val="21"/>
                    </w:rPr>
                    <w:t>废水处理废气</w:t>
                  </w:r>
                </w:p>
              </w:tc>
              <w:tc>
                <w:tcPr>
                  <w:tcW w:w="2110" w:type="dxa"/>
                  <w:tcBorders>
                    <w:tl2br w:val="nil"/>
                    <w:tr2bl w:val="nil"/>
                  </w:tcBorders>
                  <w:shd w:val="clear" w:color="auto" w:fill="auto"/>
                  <w:vAlign w:val="center"/>
                </w:tcPr>
                <w:p w14:paraId="2B24031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olor w:val="auto"/>
                      <w:spacing w:val="-3"/>
                      <w:sz w:val="21"/>
                      <w:szCs w:val="21"/>
                      <w:lang w:eastAsia="zh-CN"/>
                    </w:rPr>
                  </w:pPr>
                  <w:r>
                    <w:rPr>
                      <w:rFonts w:ascii="Times New Roman" w:hAnsi="Times New Roman" w:eastAsia="宋体"/>
                      <w:color w:val="auto"/>
                      <w:spacing w:val="7"/>
                      <w:position w:val="1"/>
                      <w:sz w:val="21"/>
                      <w:szCs w:val="21"/>
                    </w:rPr>
                    <w:t>废水处理废气</w:t>
                  </w:r>
                  <w:r>
                    <w:rPr>
                      <w:rFonts w:ascii="Times New Roman" w:hAnsi="Times New Roman" w:eastAsia="宋体"/>
                      <w:color w:val="auto"/>
                      <w:spacing w:val="6"/>
                      <w:sz w:val="21"/>
                      <w:szCs w:val="21"/>
                    </w:rPr>
                    <w:t>无组织排放</w:t>
                  </w:r>
                  <w:r>
                    <w:rPr>
                      <w:rFonts w:hint="eastAsia" w:ascii="Times New Roman" w:hAnsi="Times New Roman"/>
                      <w:color w:val="auto"/>
                      <w:spacing w:val="6"/>
                      <w:sz w:val="21"/>
                      <w:szCs w:val="21"/>
                      <w:lang w:eastAsia="zh-CN"/>
                    </w:rPr>
                    <w:t>；</w:t>
                  </w:r>
                </w:p>
              </w:tc>
              <w:tc>
                <w:tcPr>
                  <w:tcW w:w="1318" w:type="dxa"/>
                  <w:vMerge w:val="continue"/>
                  <w:tcBorders>
                    <w:tl2br w:val="nil"/>
                    <w:tr2bl w:val="nil"/>
                  </w:tcBorders>
                  <w:shd w:val="clear" w:color="auto" w:fill="auto"/>
                  <w:vAlign w:val="center"/>
                </w:tcPr>
                <w:p w14:paraId="4EBC713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1FFB4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436" w:type="dxa"/>
                  <w:vMerge w:val="continue"/>
                  <w:tcBorders>
                    <w:tl2br w:val="nil"/>
                    <w:tr2bl w:val="nil"/>
                  </w:tcBorders>
                  <w:vAlign w:val="center"/>
                </w:tcPr>
                <w:p w14:paraId="2D51997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5B020DE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671298A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hint="eastAsia" w:ascii="Times New Roman" w:hAnsi="Times New Roman"/>
                      <w:color w:val="auto"/>
                      <w:spacing w:val="-3"/>
                      <w:sz w:val="21"/>
                      <w:szCs w:val="21"/>
                      <w:lang w:val="en-US" w:eastAsia="zh-CN"/>
                    </w:rPr>
                    <w:t>喷粉废气</w:t>
                  </w:r>
                </w:p>
              </w:tc>
              <w:tc>
                <w:tcPr>
                  <w:tcW w:w="2110" w:type="dxa"/>
                  <w:tcBorders>
                    <w:tl2br w:val="nil"/>
                    <w:tr2bl w:val="nil"/>
                  </w:tcBorders>
                  <w:shd w:val="clear" w:color="auto" w:fill="auto"/>
                  <w:vAlign w:val="center"/>
                </w:tcPr>
                <w:p w14:paraId="242063A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3"/>
                      <w:sz w:val="21"/>
                      <w:szCs w:val="21"/>
                      <w:lang w:val="en-US" w:eastAsia="zh-CN"/>
                    </w:rPr>
                  </w:pPr>
                  <w:r>
                    <w:rPr>
                      <w:rFonts w:hint="eastAsia" w:ascii="Times New Roman" w:hAnsi="Times New Roman"/>
                      <w:color w:val="auto"/>
                      <w:spacing w:val="-3"/>
                      <w:sz w:val="21"/>
                      <w:szCs w:val="21"/>
                      <w:lang w:val="en-US" w:eastAsia="zh-CN"/>
                    </w:rPr>
                    <w:t>喷粉废气经过滤芯除尘后，通过1根15m高排气筒达标排放（DA003）；</w:t>
                  </w:r>
                </w:p>
              </w:tc>
              <w:tc>
                <w:tcPr>
                  <w:tcW w:w="1318" w:type="dxa"/>
                  <w:vMerge w:val="continue"/>
                  <w:tcBorders>
                    <w:tl2br w:val="nil"/>
                    <w:tr2bl w:val="nil"/>
                  </w:tcBorders>
                  <w:shd w:val="clear" w:color="auto" w:fill="auto"/>
                  <w:vAlign w:val="center"/>
                </w:tcPr>
                <w:p w14:paraId="7D51ECA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5032DB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436" w:type="dxa"/>
                  <w:vMerge w:val="continue"/>
                  <w:tcBorders>
                    <w:tl2br w:val="nil"/>
                    <w:tr2bl w:val="nil"/>
                  </w:tcBorders>
                  <w:vAlign w:val="center"/>
                </w:tcPr>
                <w:p w14:paraId="12AC392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40B61F8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1DA0F06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hint="eastAsia" w:ascii="Times New Roman" w:hAnsi="Times New Roman"/>
                      <w:color w:val="auto"/>
                      <w:spacing w:val="-3"/>
                      <w:sz w:val="21"/>
                      <w:szCs w:val="21"/>
                      <w:lang w:val="en-US" w:eastAsia="zh-CN"/>
                    </w:rPr>
                    <w:t>喷粉固化废气、调漆废气、喷漆废气、喷漆固化废气、（喷粉、喷漆）天然气燃烧废气</w:t>
                  </w:r>
                </w:p>
              </w:tc>
              <w:tc>
                <w:tcPr>
                  <w:tcW w:w="2110" w:type="dxa"/>
                  <w:tcBorders>
                    <w:tl2br w:val="nil"/>
                    <w:tr2bl w:val="nil"/>
                  </w:tcBorders>
                  <w:shd w:val="clear" w:color="auto" w:fill="auto"/>
                  <w:vAlign w:val="center"/>
                </w:tcPr>
                <w:p w14:paraId="106A0E3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hint="eastAsia" w:ascii="Times New Roman" w:hAnsi="Times New Roman" w:eastAsia="宋体"/>
                      <w:color w:val="auto"/>
                      <w:spacing w:val="-2"/>
                      <w:sz w:val="21"/>
                      <w:szCs w:val="21"/>
                      <w:lang w:val="en-US" w:eastAsia="zh-CN"/>
                    </w:rPr>
                    <w:t>喷粉固化废气、调漆废气、喷漆废气、喷漆固化废气</w:t>
                  </w:r>
                  <w:r>
                    <w:rPr>
                      <w:rFonts w:ascii="Times New Roman" w:hAnsi="Times New Roman" w:eastAsia="宋体"/>
                      <w:color w:val="auto"/>
                      <w:spacing w:val="-2"/>
                      <w:sz w:val="21"/>
                      <w:szCs w:val="21"/>
                    </w:rPr>
                    <w:t>经</w:t>
                  </w:r>
                  <w:r>
                    <w:rPr>
                      <w:rFonts w:hint="eastAsia" w:ascii="Times New Roman" w:hAnsi="Times New Roman"/>
                      <w:color w:val="auto"/>
                      <w:spacing w:val="-2"/>
                      <w:sz w:val="21"/>
                      <w:szCs w:val="21"/>
                      <w:lang w:eastAsia="zh-CN"/>
                    </w:rPr>
                    <w:t>喷淋塔+过滤棉+二级活性炭吸附</w:t>
                  </w:r>
                  <w:r>
                    <w:rPr>
                      <w:rFonts w:ascii="Times New Roman" w:hAnsi="Times New Roman" w:eastAsia="宋体"/>
                      <w:color w:val="auto"/>
                      <w:spacing w:val="5"/>
                      <w:position w:val="1"/>
                      <w:sz w:val="21"/>
                      <w:szCs w:val="21"/>
                    </w:rPr>
                    <w:t>处理后，通过</w:t>
                  </w:r>
                  <w:r>
                    <w:rPr>
                      <w:rFonts w:ascii="Times New Roman" w:hAnsi="Times New Roman" w:eastAsia="宋体" w:cs="Times New Roman"/>
                      <w:color w:val="auto"/>
                      <w:spacing w:val="5"/>
                      <w:position w:val="1"/>
                      <w:sz w:val="21"/>
                      <w:szCs w:val="21"/>
                    </w:rPr>
                    <w:t>1</w:t>
                  </w:r>
                  <w:r>
                    <w:rPr>
                      <w:rFonts w:ascii="Times New Roman" w:hAnsi="Times New Roman" w:eastAsia="宋体"/>
                      <w:color w:val="auto"/>
                      <w:spacing w:val="5"/>
                      <w:position w:val="1"/>
                      <w:sz w:val="21"/>
                      <w:szCs w:val="21"/>
                    </w:rPr>
                    <w:t>根</w:t>
                  </w:r>
                  <w:r>
                    <w:rPr>
                      <w:rFonts w:hint="eastAsia" w:ascii="Times New Roman" w:hAnsi="Times New Roman" w:cs="Times New Roman"/>
                      <w:color w:val="auto"/>
                      <w:spacing w:val="6"/>
                      <w:position w:val="1"/>
                      <w:sz w:val="21"/>
                      <w:szCs w:val="21"/>
                      <w:lang w:eastAsia="zh-CN"/>
                    </w:rPr>
                    <w:t>15m</w:t>
                  </w:r>
                  <w:r>
                    <w:rPr>
                      <w:rFonts w:ascii="Times New Roman" w:hAnsi="Times New Roman" w:eastAsia="宋体"/>
                      <w:color w:val="auto"/>
                      <w:spacing w:val="6"/>
                      <w:position w:val="1"/>
                      <w:sz w:val="21"/>
                      <w:szCs w:val="21"/>
                    </w:rPr>
                    <w:t>高排气筒达标排放</w:t>
                  </w:r>
                </w:p>
                <w:p w14:paraId="04AD2BE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6"/>
                      <w:position w:val="1"/>
                      <w:sz w:val="21"/>
                      <w:szCs w:val="21"/>
                    </w:rPr>
                    <w:t>（</w:t>
                  </w:r>
                  <w:r>
                    <w:rPr>
                      <w:rFonts w:ascii="Times New Roman" w:hAnsi="Times New Roman" w:eastAsia="宋体" w:cs="Times New Roman"/>
                      <w:color w:val="auto"/>
                      <w:position w:val="1"/>
                      <w:sz w:val="21"/>
                      <w:szCs w:val="21"/>
                    </w:rPr>
                    <w:t>DA</w:t>
                  </w:r>
                  <w:r>
                    <w:rPr>
                      <w:rFonts w:ascii="Times New Roman" w:hAnsi="Times New Roman" w:eastAsia="宋体" w:cs="Times New Roman"/>
                      <w:color w:val="auto"/>
                      <w:spacing w:val="6"/>
                      <w:position w:val="1"/>
                      <w:sz w:val="21"/>
                      <w:szCs w:val="21"/>
                    </w:rPr>
                    <w:t>00</w:t>
                  </w:r>
                  <w:r>
                    <w:rPr>
                      <w:rFonts w:hint="eastAsia" w:ascii="Times New Roman" w:hAnsi="Times New Roman" w:cs="Times New Roman"/>
                      <w:color w:val="auto"/>
                      <w:spacing w:val="6"/>
                      <w:position w:val="1"/>
                      <w:sz w:val="21"/>
                      <w:szCs w:val="21"/>
                      <w:lang w:val="en-US" w:eastAsia="zh-CN"/>
                    </w:rPr>
                    <w:t>4</w:t>
                  </w:r>
                  <w:r>
                    <w:rPr>
                      <w:rFonts w:ascii="Times New Roman" w:hAnsi="Times New Roman" w:eastAsia="宋体"/>
                      <w:color w:val="auto"/>
                      <w:spacing w:val="-26"/>
                      <w:position w:val="1"/>
                      <w:sz w:val="21"/>
                      <w:szCs w:val="21"/>
                    </w:rPr>
                    <w:t>）；</w:t>
                  </w:r>
                  <w:r>
                    <w:rPr>
                      <w:rFonts w:hint="eastAsia" w:ascii="Times New Roman" w:hAnsi="Times New Roman"/>
                      <w:color w:val="auto"/>
                      <w:spacing w:val="-3"/>
                      <w:sz w:val="21"/>
                      <w:szCs w:val="21"/>
                      <w:lang w:val="en-US" w:eastAsia="zh-CN"/>
                    </w:rPr>
                    <w:t>（喷粉、喷漆）</w:t>
                  </w:r>
                  <w:r>
                    <w:rPr>
                      <w:rFonts w:ascii="Times New Roman" w:hAnsi="Times New Roman" w:eastAsia="宋体"/>
                      <w:color w:val="auto"/>
                      <w:spacing w:val="6"/>
                      <w:position w:val="1"/>
                      <w:sz w:val="21"/>
                      <w:szCs w:val="21"/>
                    </w:rPr>
                    <w:t>天然气燃烧废</w:t>
                  </w:r>
                  <w:r>
                    <w:rPr>
                      <w:rFonts w:ascii="Times New Roman" w:hAnsi="Times New Roman" w:eastAsia="宋体"/>
                      <w:color w:val="auto"/>
                      <w:spacing w:val="13"/>
                      <w:position w:val="1"/>
                      <w:sz w:val="21"/>
                      <w:szCs w:val="21"/>
                    </w:rPr>
                    <w:t>气通过</w:t>
                  </w:r>
                  <w:r>
                    <w:rPr>
                      <w:rFonts w:ascii="Times New Roman" w:hAnsi="Times New Roman" w:eastAsia="宋体" w:cs="Times New Roman"/>
                      <w:color w:val="auto"/>
                      <w:position w:val="1"/>
                      <w:sz w:val="21"/>
                      <w:szCs w:val="21"/>
                    </w:rPr>
                    <w:t>DA</w:t>
                  </w:r>
                  <w:r>
                    <w:rPr>
                      <w:rFonts w:ascii="Times New Roman" w:hAnsi="Times New Roman" w:eastAsia="宋体" w:cs="Times New Roman"/>
                      <w:color w:val="auto"/>
                      <w:spacing w:val="13"/>
                      <w:position w:val="1"/>
                      <w:sz w:val="21"/>
                      <w:szCs w:val="21"/>
                    </w:rPr>
                    <w:t>00</w:t>
                  </w:r>
                  <w:r>
                    <w:rPr>
                      <w:rFonts w:hint="eastAsia" w:ascii="Times New Roman" w:hAnsi="Times New Roman" w:cs="Times New Roman"/>
                      <w:color w:val="auto"/>
                      <w:spacing w:val="13"/>
                      <w:position w:val="1"/>
                      <w:sz w:val="21"/>
                      <w:szCs w:val="21"/>
                      <w:lang w:val="en-US" w:eastAsia="zh-CN"/>
                    </w:rPr>
                    <w:t>4</w:t>
                  </w:r>
                  <w:r>
                    <w:rPr>
                      <w:rFonts w:ascii="Times New Roman" w:hAnsi="Times New Roman" w:eastAsia="宋体"/>
                      <w:color w:val="auto"/>
                      <w:spacing w:val="13"/>
                      <w:position w:val="1"/>
                      <w:sz w:val="21"/>
                      <w:szCs w:val="21"/>
                    </w:rPr>
                    <w:t>排气筒达标</w:t>
                  </w:r>
                  <w:r>
                    <w:rPr>
                      <w:rFonts w:ascii="Times New Roman" w:hAnsi="Times New Roman" w:eastAsia="宋体"/>
                      <w:color w:val="auto"/>
                      <w:sz w:val="21"/>
                      <w:szCs w:val="21"/>
                    </w:rPr>
                    <w:t>排放；</w:t>
                  </w:r>
                </w:p>
              </w:tc>
              <w:tc>
                <w:tcPr>
                  <w:tcW w:w="1318" w:type="dxa"/>
                  <w:vMerge w:val="continue"/>
                  <w:tcBorders>
                    <w:tl2br w:val="nil"/>
                    <w:tr2bl w:val="nil"/>
                  </w:tcBorders>
                  <w:shd w:val="clear" w:color="auto" w:fill="auto"/>
                  <w:vAlign w:val="center"/>
                </w:tcPr>
                <w:p w14:paraId="1D16318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20146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173A941A">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6"/>
                      <w:sz w:val="21"/>
                    </w:rPr>
                    <w:t>噪声治理措</w:t>
                  </w:r>
                </w:p>
                <w:p w14:paraId="2CF35E0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1"/>
                      <w:sz w:val="21"/>
                    </w:rPr>
                    <w:t>施</w:t>
                  </w:r>
                </w:p>
              </w:tc>
              <w:tc>
                <w:tcPr>
                  <w:tcW w:w="5126" w:type="dxa"/>
                  <w:gridSpan w:val="2"/>
                  <w:tcBorders>
                    <w:tl2br w:val="nil"/>
                    <w:tr2bl w:val="nil"/>
                  </w:tcBorders>
                  <w:shd w:val="clear" w:color="auto" w:fill="auto"/>
                  <w:vAlign w:val="center"/>
                </w:tcPr>
                <w:p w14:paraId="561DAB5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厂房隔声，基础减振</w:t>
                  </w:r>
                </w:p>
              </w:tc>
              <w:tc>
                <w:tcPr>
                  <w:tcW w:w="2110" w:type="dxa"/>
                  <w:tcBorders>
                    <w:tl2br w:val="nil"/>
                    <w:tr2bl w:val="nil"/>
                  </w:tcBorders>
                  <w:shd w:val="clear" w:color="auto" w:fill="auto"/>
                  <w:vAlign w:val="center"/>
                </w:tcPr>
                <w:p w14:paraId="4FB4C64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4"/>
                      <w:sz w:val="21"/>
                    </w:rPr>
                    <w:t>新建</w:t>
                  </w:r>
                </w:p>
              </w:tc>
            </w:tr>
            <w:tr w14:paraId="4B3C7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30FA4D0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4"/>
                      <w:sz w:val="21"/>
                    </w:rPr>
                    <w:t>固废治理措</w:t>
                  </w:r>
                </w:p>
                <w:p w14:paraId="62E17AC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1"/>
                      <w:sz w:val="21"/>
                    </w:rPr>
                    <w:t>施</w:t>
                  </w:r>
                </w:p>
              </w:tc>
              <w:tc>
                <w:tcPr>
                  <w:tcW w:w="2054" w:type="dxa"/>
                  <w:tcBorders>
                    <w:tl2br w:val="nil"/>
                    <w:tr2bl w:val="nil"/>
                  </w:tcBorders>
                  <w:shd w:val="clear" w:color="auto" w:fill="auto"/>
                  <w:vAlign w:val="center"/>
                </w:tcPr>
                <w:p w14:paraId="3713CF9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废一般包装材料</w:t>
                  </w:r>
                </w:p>
              </w:tc>
              <w:tc>
                <w:tcPr>
                  <w:tcW w:w="3072" w:type="dxa"/>
                  <w:tcBorders>
                    <w:tl2br w:val="nil"/>
                    <w:tr2bl w:val="nil"/>
                  </w:tcBorders>
                  <w:shd w:val="clear" w:color="auto" w:fill="auto"/>
                  <w:vAlign w:val="center"/>
                </w:tcPr>
                <w:p w14:paraId="529387B4">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暂存一般固废堆场，外售综</w:t>
                  </w:r>
                </w:p>
                <w:p w14:paraId="1774F94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合利用</w:t>
                  </w:r>
                </w:p>
              </w:tc>
              <w:tc>
                <w:tcPr>
                  <w:tcW w:w="2110" w:type="dxa"/>
                  <w:tcBorders>
                    <w:tl2br w:val="nil"/>
                    <w:tr2bl w:val="nil"/>
                  </w:tcBorders>
                  <w:shd w:val="clear" w:color="auto" w:fill="auto"/>
                  <w:vAlign w:val="center"/>
                </w:tcPr>
                <w:p w14:paraId="0A84EB1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084EA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90C11A6">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3E7840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废金属料</w:t>
                  </w:r>
                </w:p>
              </w:tc>
              <w:tc>
                <w:tcPr>
                  <w:tcW w:w="3072" w:type="dxa"/>
                  <w:vMerge w:val="restart"/>
                  <w:tcBorders>
                    <w:tl2br w:val="nil"/>
                    <w:tr2bl w:val="nil"/>
                  </w:tcBorders>
                  <w:shd w:val="clear" w:color="auto" w:fill="auto"/>
                  <w:vAlign w:val="center"/>
                </w:tcPr>
                <w:p w14:paraId="4B47475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6"/>
                      <w:sz w:val="21"/>
                      <w:szCs w:val="21"/>
                    </w:rPr>
                  </w:pPr>
                  <w:r>
                    <w:rPr>
                      <w:rFonts w:ascii="Times New Roman" w:hAnsi="Times New Roman" w:eastAsia="宋体"/>
                      <w:color w:val="auto"/>
                      <w:sz w:val="21"/>
                    </w:rPr>
                    <w:t>暂存一般固废堆场，</w:t>
                  </w:r>
                  <w:r>
                    <w:rPr>
                      <w:rFonts w:ascii="Times New Roman" w:hAnsi="Times New Roman" w:eastAsia="宋体"/>
                      <w:color w:val="auto"/>
                      <w:spacing w:val="9"/>
                      <w:sz w:val="21"/>
                    </w:rPr>
                    <w:t>委托合法合规单位回收利</w:t>
                  </w:r>
                  <w:r>
                    <w:rPr>
                      <w:rFonts w:ascii="Times New Roman" w:hAnsi="Times New Roman" w:eastAsia="宋体"/>
                      <w:color w:val="auto"/>
                      <w:spacing w:val="6"/>
                      <w:sz w:val="21"/>
                    </w:rPr>
                    <w:t>用或处置</w:t>
                  </w:r>
                </w:p>
              </w:tc>
              <w:tc>
                <w:tcPr>
                  <w:tcW w:w="2110" w:type="dxa"/>
                  <w:tcBorders>
                    <w:tl2br w:val="nil"/>
                    <w:tr2bl w:val="nil"/>
                  </w:tcBorders>
                  <w:shd w:val="clear" w:color="auto" w:fill="auto"/>
                  <w:vAlign w:val="center"/>
                </w:tcPr>
                <w:p w14:paraId="056FF40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3C577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9F0DD05">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9A7E00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c>
                <w:tcPr>
                  <w:tcW w:w="3072" w:type="dxa"/>
                  <w:vMerge w:val="continue"/>
                  <w:tcBorders>
                    <w:tl2br w:val="nil"/>
                    <w:tr2bl w:val="nil"/>
                  </w:tcBorders>
                  <w:shd w:val="clear" w:color="auto" w:fill="auto"/>
                  <w:vAlign w:val="center"/>
                </w:tcPr>
                <w:p w14:paraId="1143805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tcBorders>
                    <w:tl2br w:val="nil"/>
                    <w:tr2bl w:val="nil"/>
                  </w:tcBorders>
                  <w:shd w:val="clear" w:color="auto" w:fill="auto"/>
                  <w:vAlign w:val="center"/>
                </w:tcPr>
                <w:p w14:paraId="58F9E57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5BCE7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0798C621">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2500EA6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废金属灰</w:t>
                  </w:r>
                </w:p>
              </w:tc>
              <w:tc>
                <w:tcPr>
                  <w:tcW w:w="3072" w:type="dxa"/>
                  <w:vMerge w:val="continue"/>
                  <w:tcBorders>
                    <w:tl2br w:val="nil"/>
                    <w:tr2bl w:val="nil"/>
                  </w:tcBorders>
                  <w:shd w:val="clear" w:color="auto" w:fill="auto"/>
                  <w:vAlign w:val="center"/>
                </w:tcPr>
                <w:p w14:paraId="1D8DD5F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tcBorders>
                    <w:tl2br w:val="nil"/>
                    <w:tr2bl w:val="nil"/>
                  </w:tcBorders>
                  <w:shd w:val="clear" w:color="auto" w:fill="auto"/>
                  <w:vAlign w:val="center"/>
                </w:tcPr>
                <w:p w14:paraId="75D4043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4715E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2B586066">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AAF0F0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废涂料桶</w:t>
                  </w:r>
                </w:p>
              </w:tc>
              <w:tc>
                <w:tcPr>
                  <w:tcW w:w="3072" w:type="dxa"/>
                  <w:tcBorders>
                    <w:tl2br w:val="nil"/>
                    <w:tr2bl w:val="nil"/>
                  </w:tcBorders>
                  <w:shd w:val="clear" w:color="auto" w:fill="auto"/>
                  <w:vAlign w:val="center"/>
                </w:tcPr>
                <w:p w14:paraId="665A298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5"/>
                      <w:sz w:val="21"/>
                    </w:rPr>
                    <w:t>由供应商回收利用</w:t>
                  </w:r>
                </w:p>
              </w:tc>
              <w:tc>
                <w:tcPr>
                  <w:tcW w:w="2110" w:type="dxa"/>
                  <w:tcBorders>
                    <w:tl2br w:val="nil"/>
                    <w:tr2bl w:val="nil"/>
                  </w:tcBorders>
                  <w:shd w:val="clear" w:color="auto" w:fill="auto"/>
                  <w:vAlign w:val="center"/>
                </w:tcPr>
                <w:p w14:paraId="7E6EFB0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6976F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6497518">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E83835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废油桶</w:t>
                  </w:r>
                </w:p>
              </w:tc>
              <w:tc>
                <w:tcPr>
                  <w:tcW w:w="3072" w:type="dxa"/>
                  <w:vMerge w:val="restart"/>
                  <w:tcBorders>
                    <w:tl2br w:val="nil"/>
                    <w:tr2bl w:val="nil"/>
                  </w:tcBorders>
                  <w:shd w:val="clear" w:color="auto" w:fill="auto"/>
                  <w:vAlign w:val="center"/>
                </w:tcPr>
                <w:p w14:paraId="5216475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暂存危废库，委托有资质单</w:t>
                  </w:r>
                </w:p>
                <w:p w14:paraId="2EB4271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r>
                    <w:rPr>
                      <w:rFonts w:ascii="Times New Roman" w:hAnsi="Times New Roman" w:eastAsia="宋体"/>
                      <w:color w:val="auto"/>
                      <w:spacing w:val="6"/>
                      <w:sz w:val="21"/>
                    </w:rPr>
                    <w:t>位处置</w:t>
                  </w:r>
                </w:p>
              </w:tc>
              <w:tc>
                <w:tcPr>
                  <w:tcW w:w="2110" w:type="dxa"/>
                  <w:vMerge w:val="restart"/>
                  <w:tcBorders>
                    <w:tl2br w:val="nil"/>
                    <w:tr2bl w:val="nil"/>
                  </w:tcBorders>
                  <w:shd w:val="clear" w:color="auto" w:fill="auto"/>
                  <w:vAlign w:val="center"/>
                </w:tcPr>
                <w:p w14:paraId="5D75A96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71B52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25BA110">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850580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废活性炭</w:t>
                  </w:r>
                </w:p>
              </w:tc>
              <w:tc>
                <w:tcPr>
                  <w:tcW w:w="3072" w:type="dxa"/>
                  <w:vMerge w:val="continue"/>
                  <w:tcBorders>
                    <w:tl2br w:val="nil"/>
                    <w:tr2bl w:val="nil"/>
                  </w:tcBorders>
                  <w:shd w:val="clear" w:color="auto" w:fill="auto"/>
                  <w:vAlign w:val="center"/>
                </w:tcPr>
                <w:p w14:paraId="1F85B72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57B5183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3BD674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157443E">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CE61FF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废化学品包装</w:t>
                  </w:r>
                </w:p>
              </w:tc>
              <w:tc>
                <w:tcPr>
                  <w:tcW w:w="3072" w:type="dxa"/>
                  <w:vMerge w:val="continue"/>
                  <w:tcBorders>
                    <w:tl2br w:val="nil"/>
                    <w:tr2bl w:val="nil"/>
                  </w:tcBorders>
                  <w:shd w:val="clear" w:color="auto" w:fill="auto"/>
                  <w:vAlign w:val="center"/>
                </w:tcPr>
                <w:p w14:paraId="29B9E2A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0470C5C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78A0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337DF975">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269155F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废过滤物</w:t>
                  </w:r>
                </w:p>
              </w:tc>
              <w:tc>
                <w:tcPr>
                  <w:tcW w:w="3072" w:type="dxa"/>
                  <w:vMerge w:val="continue"/>
                  <w:tcBorders>
                    <w:tl2br w:val="nil"/>
                    <w:tr2bl w:val="nil"/>
                  </w:tcBorders>
                  <w:shd w:val="clear" w:color="auto" w:fill="auto"/>
                  <w:vAlign w:val="center"/>
                </w:tcPr>
                <w:p w14:paraId="03B8ACB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6093526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1A71F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5A9CD0D">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212ECFA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废机油</w:t>
                  </w:r>
                </w:p>
              </w:tc>
              <w:tc>
                <w:tcPr>
                  <w:tcW w:w="3072" w:type="dxa"/>
                  <w:vMerge w:val="continue"/>
                  <w:tcBorders>
                    <w:tl2br w:val="nil"/>
                    <w:tr2bl w:val="nil"/>
                  </w:tcBorders>
                  <w:shd w:val="clear" w:color="auto" w:fill="auto"/>
                  <w:vAlign w:val="center"/>
                </w:tcPr>
                <w:p w14:paraId="77D6E51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7A29F09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60446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2731FC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95A54B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废弃纯水制备耗材</w:t>
                  </w:r>
                </w:p>
              </w:tc>
              <w:tc>
                <w:tcPr>
                  <w:tcW w:w="3072" w:type="dxa"/>
                  <w:vMerge w:val="continue"/>
                  <w:tcBorders>
                    <w:tl2br w:val="nil"/>
                    <w:tr2bl w:val="nil"/>
                  </w:tcBorders>
                  <w:shd w:val="clear" w:color="auto" w:fill="auto"/>
                  <w:vAlign w:val="center"/>
                </w:tcPr>
                <w:p w14:paraId="3B2328B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3F6F8E5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DF61D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C4C0A8D">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649540E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废滤膜</w:t>
                  </w:r>
                </w:p>
              </w:tc>
              <w:tc>
                <w:tcPr>
                  <w:tcW w:w="3072" w:type="dxa"/>
                  <w:vMerge w:val="continue"/>
                  <w:tcBorders>
                    <w:tl2br w:val="nil"/>
                    <w:tr2bl w:val="nil"/>
                  </w:tcBorders>
                  <w:shd w:val="clear" w:color="auto" w:fill="auto"/>
                  <w:vAlign w:val="center"/>
                </w:tcPr>
                <w:p w14:paraId="1533B4C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6524F4D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616458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3392EDA">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9FC039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废水处理污泥</w:t>
                  </w:r>
                </w:p>
              </w:tc>
              <w:tc>
                <w:tcPr>
                  <w:tcW w:w="3072" w:type="dxa"/>
                  <w:vMerge w:val="continue"/>
                  <w:tcBorders>
                    <w:tl2br w:val="nil"/>
                    <w:tr2bl w:val="nil"/>
                  </w:tcBorders>
                  <w:shd w:val="clear" w:color="auto" w:fill="auto"/>
                  <w:vAlign w:val="center"/>
                </w:tcPr>
                <w:p w14:paraId="79F4E68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4A54274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0ED7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A1561F4">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D0946F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废含油抹布手套</w:t>
                  </w:r>
                </w:p>
              </w:tc>
              <w:tc>
                <w:tcPr>
                  <w:tcW w:w="3072" w:type="dxa"/>
                  <w:vMerge w:val="continue"/>
                  <w:tcBorders>
                    <w:tl2br w:val="nil"/>
                    <w:tr2bl w:val="nil"/>
                  </w:tcBorders>
                  <w:shd w:val="clear" w:color="auto" w:fill="auto"/>
                  <w:vAlign w:val="center"/>
                </w:tcPr>
                <w:p w14:paraId="5F3BCB1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3154524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148546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B4C0983">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686076D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8"/>
                      <w:sz w:val="21"/>
                      <w:lang w:val="en-US" w:eastAsia="zh-CN"/>
                    </w:rPr>
                  </w:pPr>
                  <w:r>
                    <w:rPr>
                      <w:rFonts w:hint="eastAsia" w:ascii="Times New Roman" w:hAnsi="Times New Roman"/>
                      <w:color w:val="auto"/>
                      <w:spacing w:val="8"/>
                      <w:sz w:val="21"/>
                      <w:lang w:val="en-US" w:eastAsia="zh-CN"/>
                    </w:rPr>
                    <w:t>废滤筒滤芯</w:t>
                  </w:r>
                </w:p>
              </w:tc>
              <w:tc>
                <w:tcPr>
                  <w:tcW w:w="3072" w:type="dxa"/>
                  <w:vMerge w:val="continue"/>
                  <w:tcBorders>
                    <w:tl2br w:val="nil"/>
                    <w:tr2bl w:val="nil"/>
                  </w:tcBorders>
                  <w:shd w:val="clear" w:color="auto" w:fill="auto"/>
                  <w:vAlign w:val="center"/>
                </w:tcPr>
                <w:p w14:paraId="02F30A8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47F7071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3CC6E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79471DA">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121E85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8"/>
                      <w:sz w:val="21"/>
                      <w:lang w:val="en-US" w:eastAsia="zh-CN"/>
                    </w:rPr>
                  </w:pPr>
                  <w:r>
                    <w:rPr>
                      <w:rFonts w:hint="eastAsia" w:ascii="Times New Roman" w:hAnsi="Times New Roman"/>
                      <w:color w:val="auto"/>
                      <w:spacing w:val="8"/>
                      <w:sz w:val="21"/>
                      <w:lang w:val="en-US" w:eastAsia="zh-CN"/>
                    </w:rPr>
                    <w:t>浮油</w:t>
                  </w:r>
                </w:p>
              </w:tc>
              <w:tc>
                <w:tcPr>
                  <w:tcW w:w="3072" w:type="dxa"/>
                  <w:vMerge w:val="continue"/>
                  <w:tcBorders>
                    <w:tl2br w:val="nil"/>
                    <w:tr2bl w:val="nil"/>
                  </w:tcBorders>
                  <w:shd w:val="clear" w:color="auto" w:fill="auto"/>
                  <w:vAlign w:val="center"/>
                </w:tcPr>
                <w:p w14:paraId="71E98A5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6177900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2454B2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D3E53DC">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6F46691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color w:val="auto"/>
                      <w:spacing w:val="8"/>
                      <w:sz w:val="21"/>
                      <w:lang w:val="en-US" w:eastAsia="zh-CN"/>
                    </w:rPr>
                  </w:pPr>
                  <w:r>
                    <w:rPr>
                      <w:rFonts w:hint="eastAsia" w:ascii="Times New Roman" w:hAnsi="Times New Roman"/>
                      <w:color w:val="auto"/>
                      <w:spacing w:val="8"/>
                      <w:sz w:val="21"/>
                      <w:lang w:val="en-US" w:eastAsia="zh-CN"/>
                    </w:rPr>
                    <w:t>废漆渣</w:t>
                  </w:r>
                </w:p>
              </w:tc>
              <w:tc>
                <w:tcPr>
                  <w:tcW w:w="3072" w:type="dxa"/>
                  <w:vMerge w:val="continue"/>
                  <w:tcBorders>
                    <w:tl2br w:val="nil"/>
                    <w:tr2bl w:val="nil"/>
                  </w:tcBorders>
                  <w:shd w:val="clear" w:color="auto" w:fill="auto"/>
                  <w:vAlign w:val="center"/>
                </w:tcPr>
                <w:p w14:paraId="6471725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0418929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5CEA99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B3DECFE">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938EC9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生活垃圾</w:t>
                  </w:r>
                </w:p>
              </w:tc>
              <w:tc>
                <w:tcPr>
                  <w:tcW w:w="3072" w:type="dxa"/>
                  <w:tcBorders>
                    <w:tl2br w:val="nil"/>
                    <w:tr2bl w:val="nil"/>
                  </w:tcBorders>
                  <w:shd w:val="clear" w:color="auto" w:fill="auto"/>
                  <w:vAlign w:val="center"/>
                </w:tcPr>
                <w:p w14:paraId="61210C3C">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定期清运，交于环卫部门处</w:t>
                  </w:r>
                </w:p>
                <w:p w14:paraId="5DCDF2D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2"/>
                      <w:sz w:val="21"/>
                    </w:rPr>
                    <w:t>置</w:t>
                  </w:r>
                </w:p>
              </w:tc>
              <w:tc>
                <w:tcPr>
                  <w:tcW w:w="2110" w:type="dxa"/>
                  <w:tcBorders>
                    <w:tl2br w:val="nil"/>
                    <w:tr2bl w:val="nil"/>
                  </w:tcBorders>
                  <w:shd w:val="clear" w:color="auto" w:fill="auto"/>
                  <w:vAlign w:val="center"/>
                </w:tcPr>
                <w:p w14:paraId="275BE08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150F5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329B258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地下水、土</w:t>
                  </w:r>
                </w:p>
                <w:p w14:paraId="3EC9670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壤治理措施</w:t>
                  </w:r>
                </w:p>
              </w:tc>
              <w:tc>
                <w:tcPr>
                  <w:tcW w:w="5126" w:type="dxa"/>
                  <w:gridSpan w:val="2"/>
                  <w:tcBorders>
                    <w:tl2br w:val="nil"/>
                    <w:tr2bl w:val="nil"/>
                  </w:tcBorders>
                  <w:shd w:val="clear" w:color="auto" w:fill="auto"/>
                  <w:vAlign w:val="center"/>
                </w:tcPr>
                <w:p w14:paraId="4D15BF4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①源头上控制对地下水的污染。</w:t>
                  </w:r>
                </w:p>
                <w:p w14:paraId="1CD4C7D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②厂内不同区域实施分区防治。</w:t>
                  </w:r>
                </w:p>
                <w:p w14:paraId="2994553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5"/>
                      <w:sz w:val="21"/>
                    </w:rPr>
                    <w:t>③运行期严格管理，加强巡检，及时发现污染物</w:t>
                  </w:r>
                  <w:r>
                    <w:rPr>
                      <w:rFonts w:ascii="Times New Roman" w:hAnsi="Times New Roman" w:eastAsia="宋体"/>
                      <w:color w:val="auto"/>
                      <w:spacing w:val="7"/>
                      <w:sz w:val="21"/>
                    </w:rPr>
                    <w:t>泄漏；一旦出现泄漏及时处理，检查检修设备，</w:t>
                  </w:r>
                  <w:r>
                    <w:rPr>
                      <w:rFonts w:ascii="Times New Roman" w:hAnsi="Times New Roman" w:eastAsia="宋体"/>
                      <w:color w:val="auto"/>
                      <w:spacing w:val="5"/>
                      <w:sz w:val="21"/>
                    </w:rPr>
                    <w:t>将污染物泄漏的环境风险事故降到最低；制定并</w:t>
                  </w:r>
                  <w:r>
                    <w:rPr>
                      <w:rFonts w:ascii="Times New Roman" w:hAnsi="Times New Roman" w:eastAsia="宋体"/>
                      <w:color w:val="auto"/>
                      <w:spacing w:val="8"/>
                      <w:sz w:val="21"/>
                    </w:rPr>
                    <w:t>落实相应环境风险事故应急预案。</w:t>
                  </w:r>
                </w:p>
              </w:tc>
              <w:tc>
                <w:tcPr>
                  <w:tcW w:w="2110" w:type="dxa"/>
                  <w:tcBorders>
                    <w:tl2br w:val="nil"/>
                    <w:tr2bl w:val="nil"/>
                  </w:tcBorders>
                  <w:shd w:val="clear" w:color="auto" w:fill="auto"/>
                  <w:vAlign w:val="center"/>
                </w:tcPr>
                <w:p w14:paraId="54F2DBC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2B8CB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0C5DE8C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环境风险应</w:t>
                  </w:r>
                </w:p>
                <w:p w14:paraId="19EC4A3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急措施</w:t>
                  </w:r>
                </w:p>
              </w:tc>
              <w:tc>
                <w:tcPr>
                  <w:tcW w:w="5126" w:type="dxa"/>
                  <w:gridSpan w:val="2"/>
                  <w:tcBorders>
                    <w:tl2br w:val="nil"/>
                    <w:tr2bl w:val="nil"/>
                  </w:tcBorders>
                  <w:shd w:val="clear" w:color="auto" w:fill="auto"/>
                  <w:vAlign w:val="center"/>
                </w:tcPr>
                <w:p w14:paraId="7017F7E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具体见建设项目环境风险简单分析内容表</w:t>
                  </w:r>
                </w:p>
              </w:tc>
              <w:tc>
                <w:tcPr>
                  <w:tcW w:w="2110" w:type="dxa"/>
                  <w:tcBorders>
                    <w:tl2br w:val="nil"/>
                    <w:tr2bl w:val="nil"/>
                  </w:tcBorders>
                  <w:shd w:val="clear" w:color="auto" w:fill="auto"/>
                  <w:vAlign w:val="center"/>
                </w:tcPr>
                <w:p w14:paraId="38927F9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bl>
          <w:p w14:paraId="4C29C257">
            <w:pPr>
              <w:pStyle w:val="46"/>
              <w:ind w:left="0" w:leftChars="0" w:firstLine="0" w:firstLineChars="0"/>
              <w:rPr>
                <w:color w:val="auto"/>
                <w:highlight w:val="none"/>
              </w:rPr>
            </w:pPr>
          </w:p>
        </w:tc>
      </w:tr>
      <w:bookmarkEnd w:id="12"/>
    </w:tbl>
    <w:p w14:paraId="09814190">
      <w:pPr>
        <w:rPr>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92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59"/>
      </w:tblGrid>
      <w:tr w14:paraId="7D0F4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2" w:hRule="atLeast"/>
          <w:jc w:val="center"/>
        </w:trPr>
        <w:tc>
          <w:tcPr>
            <w:tcW w:w="426" w:type="dxa"/>
            <w:vAlign w:val="center"/>
          </w:tcPr>
          <w:p w14:paraId="169E2B35">
            <w:pPr>
              <w:pStyle w:val="30"/>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859" w:type="dxa"/>
          </w:tcPr>
          <w:p w14:paraId="5287F9CA">
            <w:pPr>
              <w:pStyle w:val="4"/>
              <w:bidi w:val="0"/>
              <w:ind w:left="720" w:leftChars="0" w:hanging="720" w:firstLineChars="0"/>
              <w:rPr>
                <w:rFonts w:hint="eastAsia"/>
                <w:color w:val="auto"/>
                <w:highlight w:val="none"/>
              </w:rPr>
            </w:pPr>
            <w:r>
              <w:rPr>
                <w:rFonts w:hint="eastAsia"/>
                <w:color w:val="auto"/>
                <w:highlight w:val="none"/>
              </w:rPr>
              <w:t>平面布局</w:t>
            </w:r>
          </w:p>
          <w:p w14:paraId="0CC71B00">
            <w:pPr>
              <w:pStyle w:val="139"/>
              <w:keepNext w:val="0"/>
              <w:keepLines w:val="0"/>
              <w:pageBreakBefore w:val="0"/>
              <w:widowControl w:val="0"/>
              <w:shd w:val="clear"/>
              <w:kinsoku/>
              <w:wordWrap/>
              <w:overflowPunct/>
              <w:topLinePunct w:val="0"/>
              <w:autoSpaceDE/>
              <w:autoSpaceDN/>
              <w:bidi w:val="0"/>
              <w:adjustRightInd/>
              <w:snapToGrid/>
              <w:ind w:firstLine="31680"/>
              <w:textAlignment w:val="auto"/>
              <w:rPr>
                <w:color w:val="auto"/>
                <w:highlight w:val="none"/>
              </w:rPr>
            </w:pPr>
            <w:r>
              <w:rPr>
                <w:rFonts w:hint="eastAsia" w:ascii="Times New Roman" w:hAnsi="Times New Roman" w:eastAsia="宋体"/>
                <w:color w:val="auto"/>
                <w:szCs w:val="24"/>
                <w:highlight w:val="none"/>
              </w:rPr>
              <w:t>本项目位于</w:t>
            </w:r>
            <w:r>
              <w:rPr>
                <w:rFonts w:hint="eastAsia"/>
                <w:color w:val="auto"/>
                <w:lang w:val="en-US" w:eastAsia="zh-CN"/>
              </w:rPr>
              <w:t>福建省福州市福清市镜洋镇工业区（租赁福州鼎力机械有限公司内铸造车间1号）</w:t>
            </w:r>
            <w:r>
              <w:rPr>
                <w:rFonts w:hint="eastAsia" w:ascii="Times New Roman" w:hAnsi="Times New Roman" w:eastAsia="宋体"/>
                <w:color w:val="auto"/>
                <w:szCs w:val="24"/>
                <w:highlight w:val="none"/>
              </w:rPr>
              <w:t>，总</w:t>
            </w:r>
            <w:r>
              <w:rPr>
                <w:rFonts w:hint="eastAsia"/>
                <w:color w:val="auto"/>
                <w:szCs w:val="24"/>
                <w:highlight w:val="none"/>
                <w:lang w:val="en-US" w:eastAsia="zh-CN"/>
              </w:rPr>
              <w:t>建筑面积3456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olor w:val="auto"/>
                <w:szCs w:val="24"/>
                <w:highlight w:val="none"/>
              </w:rPr>
              <w:t>。项目厂区</w:t>
            </w:r>
            <w:r>
              <w:rPr>
                <w:rFonts w:hint="eastAsia"/>
                <w:color w:val="auto"/>
                <w:szCs w:val="24"/>
                <w:highlight w:val="none"/>
                <w:lang w:val="en-US" w:eastAsia="zh-CN"/>
              </w:rPr>
              <w:t>周围均为工业厂房</w:t>
            </w:r>
            <w:r>
              <w:rPr>
                <w:rFonts w:hint="eastAsia" w:ascii="Times New Roman" w:hAnsi="Times New Roman" w:eastAsia="宋体"/>
                <w:color w:val="auto"/>
                <w:szCs w:val="24"/>
                <w:highlight w:val="none"/>
              </w:rPr>
              <w:t>，</w:t>
            </w:r>
            <w:r>
              <w:rPr>
                <w:rFonts w:hint="eastAsia"/>
                <w:color w:val="auto"/>
                <w:szCs w:val="24"/>
                <w:highlight w:val="none"/>
                <w:lang w:val="en-US" w:eastAsia="zh-CN"/>
              </w:rPr>
              <w:t>东</w:t>
            </w:r>
            <w:r>
              <w:rPr>
                <w:rFonts w:hint="eastAsia" w:ascii="Times New Roman" w:hAnsi="Times New Roman" w:eastAsia="宋体"/>
                <w:color w:val="auto"/>
                <w:szCs w:val="24"/>
                <w:highlight w:val="none"/>
              </w:rPr>
              <w:t>侧为</w:t>
            </w:r>
            <w:r>
              <w:rPr>
                <w:rFonts w:hint="eastAsia"/>
                <w:color w:val="auto"/>
                <w:szCs w:val="24"/>
                <w:highlight w:val="none"/>
                <w:lang w:val="en-US" w:eastAsia="zh-CN"/>
              </w:rPr>
              <w:t>国道G104</w:t>
            </w:r>
            <w:r>
              <w:rPr>
                <w:rFonts w:hint="eastAsia" w:ascii="Times New Roman" w:hAnsi="Times New Roman" w:eastAsia="宋体"/>
                <w:color w:val="auto"/>
                <w:szCs w:val="24"/>
                <w:highlight w:val="none"/>
              </w:rPr>
              <w:t>。</w:t>
            </w:r>
            <w:r>
              <w:rPr>
                <w:rFonts w:hint="eastAsia"/>
                <w:color w:val="auto"/>
                <w:szCs w:val="24"/>
                <w:highlight w:val="none"/>
                <w:lang w:val="en-US" w:eastAsia="zh-CN"/>
              </w:rPr>
              <w:t>厂区东北侧为福建省玉上丰科技发展有限公司，北侧为福州鼎力机械有限公司，厂区东侧为福建丰沃生物科技有限公司，厂区西侧为福建国盛钢结构有限公司。</w:t>
            </w:r>
            <w:r>
              <w:rPr>
                <w:rFonts w:hint="eastAsia" w:ascii="Times New Roman" w:hAnsi="Times New Roman" w:eastAsia="宋体"/>
                <w:color w:val="auto"/>
                <w:szCs w:val="24"/>
                <w:highlight w:val="none"/>
              </w:rPr>
              <w:t>厂区出入口设置在</w:t>
            </w:r>
            <w:r>
              <w:rPr>
                <w:rFonts w:hint="eastAsia"/>
                <w:color w:val="auto"/>
                <w:szCs w:val="24"/>
                <w:highlight w:val="none"/>
                <w:lang w:val="en-US" w:eastAsia="zh-CN"/>
              </w:rPr>
              <w:t>厂区</w:t>
            </w:r>
            <w:r>
              <w:rPr>
                <w:rFonts w:hint="eastAsia" w:ascii="Times New Roman" w:hAnsi="Times New Roman" w:eastAsia="宋体"/>
                <w:color w:val="auto"/>
                <w:szCs w:val="24"/>
                <w:highlight w:val="none"/>
                <w:lang w:val="en-US" w:eastAsia="zh-CN"/>
              </w:rPr>
              <w:t>东侧</w:t>
            </w:r>
            <w:r>
              <w:rPr>
                <w:rFonts w:hint="eastAsia"/>
                <w:color w:val="auto"/>
                <w:szCs w:val="24"/>
                <w:highlight w:val="none"/>
                <w:lang w:val="en-US" w:eastAsia="zh-CN"/>
              </w:rPr>
              <w:t>，周边环境详见附图3</w:t>
            </w:r>
            <w:r>
              <w:rPr>
                <w:rFonts w:hint="eastAsia" w:ascii="Times New Roman" w:hAnsi="Times New Roman" w:eastAsia="宋体"/>
                <w:color w:val="auto"/>
                <w:szCs w:val="24"/>
                <w:highlight w:val="none"/>
              </w:rPr>
              <w:t>。本项目生产</w:t>
            </w:r>
            <w:r>
              <w:rPr>
                <w:rFonts w:hint="eastAsia" w:ascii="Times New Roman" w:hAnsi="Times New Roman" w:eastAsia="宋体"/>
                <w:color w:val="auto"/>
                <w:szCs w:val="24"/>
                <w:highlight w:val="none"/>
                <w:lang w:eastAsia="zh-CN"/>
              </w:rPr>
              <w:t>厂房</w:t>
            </w:r>
            <w:r>
              <w:rPr>
                <w:rFonts w:hint="eastAsia" w:ascii="Times New Roman" w:hAnsi="Times New Roman" w:eastAsia="宋体"/>
                <w:color w:val="auto"/>
                <w:szCs w:val="24"/>
                <w:highlight w:val="none"/>
              </w:rPr>
              <w:t>平面布局根据生产工艺需求和周边环境等特点进行布置，生产过程中产生的各类污染物经治理后对周边环境影响较小。生产</w:t>
            </w:r>
            <w:r>
              <w:rPr>
                <w:rFonts w:hint="eastAsia" w:ascii="Times New Roman" w:hAnsi="Times New Roman" w:eastAsia="宋体"/>
                <w:color w:val="auto"/>
                <w:szCs w:val="24"/>
                <w:highlight w:val="none"/>
                <w:lang w:eastAsia="zh-CN"/>
              </w:rPr>
              <w:t>厂房</w:t>
            </w:r>
            <w:r>
              <w:rPr>
                <w:rFonts w:hint="eastAsia" w:ascii="Times New Roman" w:hAnsi="Times New Roman" w:eastAsia="宋体"/>
                <w:color w:val="auto"/>
                <w:szCs w:val="24"/>
                <w:highlight w:val="none"/>
              </w:rPr>
              <w:t>各区块功能明确，物料流向顺畅，符合防火、安全等有关规范，总体布局功能分区明确，便于生产的连续性，项目平面布置基本合理。</w:t>
            </w:r>
          </w:p>
          <w:p w14:paraId="2110BB11">
            <w:pPr>
              <w:pStyle w:val="3"/>
              <w:bidi w:val="0"/>
              <w:ind w:left="0" w:leftChars="0" w:firstLine="0" w:firstLineChars="0"/>
              <w:rPr>
                <w:rFonts w:hint="eastAsia"/>
                <w:color w:val="auto"/>
                <w:highlight w:val="none"/>
              </w:rPr>
            </w:pPr>
            <w:bookmarkStart w:id="13" w:name="_Toc6646"/>
            <w:bookmarkStart w:id="14" w:name="_Toc10081"/>
            <w:bookmarkStart w:id="15" w:name="_Toc24506"/>
            <w:bookmarkStart w:id="16" w:name="_Toc9977"/>
            <w:r>
              <w:rPr>
                <w:rFonts w:hint="eastAsia"/>
                <w:color w:val="auto"/>
                <w:highlight w:val="none"/>
              </w:rPr>
              <w:t>主要生产设备</w:t>
            </w:r>
            <w:bookmarkEnd w:id="13"/>
            <w:bookmarkEnd w:id="14"/>
            <w:bookmarkEnd w:id="15"/>
            <w:bookmarkEnd w:id="16"/>
          </w:p>
          <w:p w14:paraId="3BDBF1C6">
            <w:pPr>
              <w:pStyle w:val="46"/>
              <w:ind w:firstLine="480"/>
              <w:rPr>
                <w:color w:val="auto"/>
                <w:highlight w:val="none"/>
              </w:rPr>
            </w:pPr>
            <w:r>
              <w:rPr>
                <w:color w:val="auto"/>
                <w:highlight w:val="none"/>
              </w:rPr>
              <w:t>本项目主要生产设备</w:t>
            </w:r>
            <w:r>
              <w:rPr>
                <w:rFonts w:hint="eastAsia"/>
                <w:color w:val="auto"/>
                <w:highlight w:val="none"/>
                <w:lang w:val="en-US" w:eastAsia="zh-CN"/>
              </w:rPr>
              <w:t>及建成后全厂主要生产设施</w:t>
            </w:r>
            <w:r>
              <w:rPr>
                <w:rFonts w:hint="eastAsia"/>
                <w:color w:val="auto"/>
                <w:highlight w:val="none"/>
              </w:rPr>
              <w:t>见下表</w:t>
            </w:r>
            <w:r>
              <w:rPr>
                <w:color w:val="auto"/>
                <w:highlight w:val="none"/>
              </w:rPr>
              <w:t>。</w:t>
            </w:r>
          </w:p>
          <w:p w14:paraId="6E67CC71">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highlight w:val="none"/>
              </w:rPr>
            </w:pPr>
            <w:bookmarkStart w:id="17" w:name="_Ref15628"/>
            <w:bookmarkStart w:id="18" w:name="_Toc20936"/>
            <w:bookmarkStart w:id="19" w:name="_Toc12299"/>
            <w:bookmarkStart w:id="20" w:name="_Toc4944"/>
            <w:bookmarkStart w:id="21" w:name="_Toc25944"/>
            <w:r>
              <w:rPr>
                <w:rFonts w:hint="eastAsia"/>
                <w:color w:val="auto"/>
                <w:highlight w:val="none"/>
              </w:rPr>
              <w:t>项目生产设备</w:t>
            </w:r>
            <w:bookmarkEnd w:id="17"/>
            <w:r>
              <w:rPr>
                <w:rFonts w:hint="eastAsia"/>
                <w:color w:val="auto"/>
                <w:highlight w:val="none"/>
              </w:rPr>
              <w:t>清单表</w:t>
            </w:r>
          </w:p>
          <w:tbl>
            <w:tblPr>
              <w:tblStyle w:val="35"/>
              <w:tblW w:w="86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1756"/>
              <w:gridCol w:w="3163"/>
              <w:gridCol w:w="1205"/>
              <w:gridCol w:w="1844"/>
            </w:tblGrid>
            <w:tr w14:paraId="72BF5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bottom w:val="single" w:color="000000" w:sz="12" w:space="0"/>
                  </w:tcBorders>
                  <w:vAlign w:val="center"/>
                </w:tcPr>
                <w:p w14:paraId="56C50CC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1756" w:type="dxa"/>
                  <w:tcBorders>
                    <w:bottom w:val="single" w:color="000000" w:sz="12" w:space="0"/>
                  </w:tcBorders>
                  <w:vAlign w:val="center"/>
                </w:tcPr>
                <w:p w14:paraId="6DB8D4F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3163" w:type="dxa"/>
                  <w:tcBorders>
                    <w:bottom w:val="single" w:color="000000" w:sz="12" w:space="0"/>
                  </w:tcBorders>
                  <w:vAlign w:val="center"/>
                </w:tcPr>
                <w:p w14:paraId="2E0F325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型号/功率</w:t>
                  </w:r>
                </w:p>
              </w:tc>
              <w:tc>
                <w:tcPr>
                  <w:tcW w:w="1205" w:type="dxa"/>
                  <w:tcBorders>
                    <w:bottom w:val="single" w:color="000000" w:sz="12" w:space="0"/>
                  </w:tcBorders>
                  <w:vAlign w:val="center"/>
                </w:tcPr>
                <w:p w14:paraId="2A232D5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数量</w:t>
                  </w:r>
                  <w:r>
                    <w:rPr>
                      <w:color w:val="auto"/>
                      <w:spacing w:val="6"/>
                    </w:rPr>
                    <w:t>（台套）</w:t>
                  </w:r>
                </w:p>
              </w:tc>
              <w:tc>
                <w:tcPr>
                  <w:tcW w:w="1844" w:type="dxa"/>
                  <w:tcBorders>
                    <w:bottom w:val="single" w:color="000000" w:sz="12" w:space="0"/>
                  </w:tcBorders>
                  <w:vAlign w:val="center"/>
                </w:tcPr>
                <w:p w14:paraId="6ADDE9D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所在工段</w:t>
                  </w:r>
                </w:p>
              </w:tc>
            </w:tr>
            <w:tr w14:paraId="67E82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op w:val="single" w:color="000000" w:sz="12" w:space="0"/>
                    <w:tl2br w:val="nil"/>
                    <w:tr2bl w:val="nil"/>
                  </w:tcBorders>
                  <w:shd w:val="clear" w:color="auto" w:fill="auto"/>
                  <w:vAlign w:val="center"/>
                </w:tcPr>
                <w:p w14:paraId="59889FFA">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756" w:type="dxa"/>
                  <w:tcBorders>
                    <w:top w:val="single" w:color="000000" w:sz="12" w:space="0"/>
                    <w:tl2br w:val="nil"/>
                    <w:tr2bl w:val="nil"/>
                  </w:tcBorders>
                  <w:shd w:val="clear" w:color="auto" w:fill="auto"/>
                  <w:vAlign w:val="center"/>
                </w:tcPr>
                <w:p w14:paraId="1A207647">
                  <w:pPr>
                    <w:pStyle w:val="115"/>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eastAsia="宋体" w:cs="p&gt;:#"/>
                      <w:color w:val="auto"/>
                      <w:kern w:val="0"/>
                      <w:sz w:val="21"/>
                      <w:szCs w:val="24"/>
                    </w:rPr>
                    <w:t>焊</w:t>
                  </w:r>
                  <w:r>
                    <w:rPr>
                      <w:rFonts w:hint="eastAsia" w:ascii="Times New Roman" w:hAnsi="Times New Roman" w:cs="p&gt;:#"/>
                      <w:color w:val="auto"/>
                      <w:kern w:val="0"/>
                      <w:sz w:val="21"/>
                      <w:szCs w:val="24"/>
                      <w:lang w:val="en-US" w:eastAsia="zh-CN"/>
                    </w:rPr>
                    <w:t>接机器人</w:t>
                  </w:r>
                </w:p>
              </w:tc>
              <w:tc>
                <w:tcPr>
                  <w:tcW w:w="3163" w:type="dxa"/>
                  <w:tcBorders>
                    <w:top w:val="single" w:color="000000" w:sz="12" w:space="0"/>
                    <w:tl2br w:val="nil"/>
                    <w:tr2bl w:val="nil"/>
                  </w:tcBorders>
                  <w:shd w:val="clear" w:color="auto" w:fill="auto"/>
                  <w:vAlign w:val="center"/>
                </w:tcPr>
                <w:p w14:paraId="102BF76D">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1205" w:type="dxa"/>
                  <w:tcBorders>
                    <w:top w:val="single" w:color="000000" w:sz="12" w:space="0"/>
                    <w:tl2br w:val="nil"/>
                    <w:tr2bl w:val="nil"/>
                  </w:tcBorders>
                  <w:shd w:val="clear" w:color="auto" w:fill="auto"/>
                  <w:vAlign w:val="center"/>
                </w:tcPr>
                <w:p w14:paraId="6CB9BCBB">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p&gt;:#"/>
                      <w:color w:val="auto"/>
                      <w:kern w:val="0"/>
                      <w:sz w:val="21"/>
                      <w:szCs w:val="24"/>
                      <w:lang w:val="en-US" w:eastAsia="zh-CN"/>
                    </w:rPr>
                    <w:t>10</w:t>
                  </w:r>
                </w:p>
              </w:tc>
              <w:tc>
                <w:tcPr>
                  <w:tcW w:w="1844" w:type="dxa"/>
                  <w:tcBorders>
                    <w:top w:val="single" w:color="000000" w:sz="12" w:space="0"/>
                    <w:tl2br w:val="nil"/>
                    <w:tr2bl w:val="nil"/>
                  </w:tcBorders>
                  <w:shd w:val="clear" w:color="auto" w:fill="auto"/>
                  <w:vAlign w:val="center"/>
                </w:tcPr>
                <w:p w14:paraId="2EDAEBA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焊接</w:t>
                  </w:r>
                </w:p>
              </w:tc>
            </w:tr>
            <w:tr w14:paraId="66C384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shd w:val="clear" w:color="auto" w:fill="auto"/>
                  <w:vAlign w:val="center"/>
                </w:tcPr>
                <w:p w14:paraId="46C41DD6">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756" w:type="dxa"/>
                  <w:tcBorders>
                    <w:tl2br w:val="nil"/>
                    <w:tr2bl w:val="nil"/>
                  </w:tcBorders>
                  <w:shd w:val="clear" w:color="auto" w:fill="auto"/>
                  <w:vAlign w:val="center"/>
                </w:tcPr>
                <w:p w14:paraId="419F42D2">
                  <w:pPr>
                    <w:pStyle w:val="115"/>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eastAsia="宋体" w:cs="p&gt;:#"/>
                      <w:color w:val="auto"/>
                      <w:kern w:val="0"/>
                      <w:sz w:val="21"/>
                      <w:szCs w:val="24"/>
                    </w:rPr>
                    <w:t>纯水制备</w:t>
                  </w:r>
                  <w:r>
                    <w:rPr>
                      <w:rFonts w:hint="eastAsia" w:ascii="Times New Roman" w:hAnsi="Times New Roman" w:eastAsia="宋体" w:cs="p&gt;:#"/>
                      <w:color w:val="auto"/>
                      <w:kern w:val="0"/>
                      <w:sz w:val="21"/>
                      <w:szCs w:val="24"/>
                      <w:lang w:eastAsia="zh-CN"/>
                    </w:rPr>
                    <w:t>系统</w:t>
                  </w:r>
                </w:p>
              </w:tc>
              <w:tc>
                <w:tcPr>
                  <w:tcW w:w="3163" w:type="dxa"/>
                  <w:tcBorders>
                    <w:tl2br w:val="nil"/>
                    <w:tr2bl w:val="nil"/>
                  </w:tcBorders>
                  <w:shd w:val="clear" w:color="auto" w:fill="auto"/>
                  <w:vAlign w:val="center"/>
                </w:tcPr>
                <w:p w14:paraId="42B33A0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CHL4-30</w:t>
                  </w:r>
                </w:p>
              </w:tc>
              <w:tc>
                <w:tcPr>
                  <w:tcW w:w="1205" w:type="dxa"/>
                  <w:tcBorders>
                    <w:tl2br w:val="nil"/>
                    <w:tr2bl w:val="nil"/>
                  </w:tcBorders>
                  <w:shd w:val="clear" w:color="auto" w:fill="auto"/>
                  <w:vAlign w:val="center"/>
                </w:tcPr>
                <w:p w14:paraId="19F3814B">
                  <w:pPr>
                    <w:pStyle w:val="115"/>
                    <w:jc w:val="center"/>
                    <w:rPr>
                      <w:rFonts w:hint="default" w:ascii="Times New Roman" w:hAnsi="Times New Roman" w:eastAsia="宋体" w:cs="Times New Roman"/>
                      <w:color w:val="auto"/>
                      <w:spacing w:val="-2"/>
                      <w:kern w:val="2"/>
                      <w:sz w:val="21"/>
                      <w:szCs w:val="24"/>
                      <w:lang w:val="en-US" w:eastAsia="zh-CN" w:bidi="ar-SA"/>
                    </w:rPr>
                  </w:pPr>
                  <w:r>
                    <w:rPr>
                      <w:rFonts w:hint="eastAsia" w:ascii="Times New Roman" w:hAnsi="Times New Roman" w:eastAsia="宋体" w:cs="Times New Roman"/>
                      <w:color w:val="auto"/>
                      <w:spacing w:val="-2"/>
                      <w:sz w:val="21"/>
                      <w:szCs w:val="24"/>
                      <w:lang w:eastAsia="zh-CN"/>
                    </w:rPr>
                    <w:t>1</w:t>
                  </w:r>
                </w:p>
              </w:tc>
              <w:tc>
                <w:tcPr>
                  <w:tcW w:w="1844" w:type="dxa"/>
                  <w:tcBorders>
                    <w:tl2br w:val="nil"/>
                    <w:tr2bl w:val="nil"/>
                  </w:tcBorders>
                  <w:shd w:val="clear" w:color="auto" w:fill="auto"/>
                  <w:vAlign w:val="center"/>
                </w:tcPr>
                <w:p w14:paraId="43DB7E70">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0357F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shd w:val="clear" w:color="auto" w:fill="auto"/>
                  <w:vAlign w:val="center"/>
                </w:tcPr>
                <w:p w14:paraId="192DE6E7">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1756" w:type="dxa"/>
                  <w:tcBorders>
                    <w:tl2br w:val="nil"/>
                    <w:tr2bl w:val="nil"/>
                  </w:tcBorders>
                  <w:shd w:val="clear" w:color="auto" w:fill="auto"/>
                  <w:vAlign w:val="center"/>
                </w:tcPr>
                <w:p w14:paraId="1DF86BDC">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预脱脂</w:t>
                  </w:r>
                </w:p>
              </w:tc>
              <w:tc>
                <w:tcPr>
                  <w:tcW w:w="3163" w:type="dxa"/>
                  <w:tcBorders>
                    <w:tl2br w:val="nil"/>
                    <w:tr2bl w:val="nil"/>
                  </w:tcBorders>
                  <w:shd w:val="clear" w:color="auto" w:fill="auto"/>
                  <w:vAlign w:val="center"/>
                </w:tcPr>
                <w:p w14:paraId="2C293A7D">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12000*1500*2200mm</w:t>
                  </w:r>
                </w:p>
              </w:tc>
              <w:tc>
                <w:tcPr>
                  <w:tcW w:w="1205" w:type="dxa"/>
                  <w:tcBorders>
                    <w:tl2br w:val="nil"/>
                    <w:tr2bl w:val="nil"/>
                  </w:tcBorders>
                  <w:shd w:val="clear" w:color="auto" w:fill="auto"/>
                  <w:vAlign w:val="center"/>
                </w:tcPr>
                <w:p w14:paraId="09D66ACC">
                  <w:pPr>
                    <w:pStyle w:val="115"/>
                    <w:jc w:val="center"/>
                    <w:rPr>
                      <w:rFonts w:hint="default" w:ascii="Times New Roman" w:hAnsi="Times New Roman" w:eastAsia="宋体" w:cs="Times New Roman"/>
                      <w:color w:val="auto"/>
                      <w:spacing w:val="-3"/>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2C21A25D">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1F3861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shd w:val="clear" w:color="auto" w:fill="auto"/>
                  <w:vAlign w:val="center"/>
                </w:tcPr>
                <w:p w14:paraId="0742BD9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1756" w:type="dxa"/>
                  <w:tcBorders>
                    <w:tl2br w:val="nil"/>
                    <w:tr2bl w:val="nil"/>
                  </w:tcBorders>
                  <w:shd w:val="clear" w:color="auto" w:fill="auto"/>
                  <w:vAlign w:val="center"/>
                </w:tcPr>
                <w:p w14:paraId="53E9927B">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主脱脂</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2B03D74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12000*500*2200mm</w:t>
                  </w:r>
                </w:p>
              </w:tc>
              <w:tc>
                <w:tcPr>
                  <w:tcW w:w="1205" w:type="dxa"/>
                  <w:tcBorders>
                    <w:tl2br w:val="nil"/>
                    <w:tr2bl w:val="nil"/>
                  </w:tcBorders>
                  <w:shd w:val="clear" w:color="auto" w:fill="auto"/>
                  <w:vAlign w:val="center"/>
                </w:tcPr>
                <w:p w14:paraId="71FAB864">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5D7D2F17">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2E81D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shd w:val="clear" w:color="auto" w:fill="auto"/>
                  <w:vAlign w:val="center"/>
                </w:tcPr>
                <w:p w14:paraId="6DD64564">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1756" w:type="dxa"/>
                  <w:tcBorders>
                    <w:tl2br w:val="nil"/>
                    <w:tr2bl w:val="nil"/>
                  </w:tcBorders>
                  <w:shd w:val="clear" w:color="auto" w:fill="auto"/>
                  <w:vAlign w:val="center"/>
                </w:tcPr>
                <w:p w14:paraId="65E18B5B">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水洗1</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6D16D12C">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6000*1500*2880+2500mm</w:t>
                  </w:r>
                </w:p>
              </w:tc>
              <w:tc>
                <w:tcPr>
                  <w:tcW w:w="1205" w:type="dxa"/>
                  <w:tcBorders>
                    <w:tl2br w:val="nil"/>
                    <w:tr2bl w:val="nil"/>
                  </w:tcBorders>
                  <w:shd w:val="clear" w:color="auto" w:fill="auto"/>
                  <w:vAlign w:val="center"/>
                </w:tcPr>
                <w:p w14:paraId="09ACCCC2">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63A3597E">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2CDC54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shd w:val="clear" w:color="auto" w:fill="auto"/>
                  <w:vAlign w:val="center"/>
                </w:tcPr>
                <w:p w14:paraId="6DE59E8E">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1756" w:type="dxa"/>
                  <w:tcBorders>
                    <w:tl2br w:val="nil"/>
                    <w:tr2bl w:val="nil"/>
                  </w:tcBorders>
                  <w:shd w:val="clear" w:color="auto" w:fill="auto"/>
                  <w:vAlign w:val="center"/>
                </w:tcPr>
                <w:p w14:paraId="6C5E61B6">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水洗2</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5078A525">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8000*1500*2200mm</w:t>
                  </w:r>
                </w:p>
              </w:tc>
              <w:tc>
                <w:tcPr>
                  <w:tcW w:w="1205" w:type="dxa"/>
                  <w:tcBorders>
                    <w:tl2br w:val="nil"/>
                    <w:tr2bl w:val="nil"/>
                  </w:tcBorders>
                  <w:shd w:val="clear" w:color="auto" w:fill="auto"/>
                  <w:vAlign w:val="center"/>
                </w:tcPr>
                <w:p w14:paraId="62B33933">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5B71D92A">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54BEE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118C55B">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p>
              </w:tc>
              <w:tc>
                <w:tcPr>
                  <w:tcW w:w="1756" w:type="dxa"/>
                  <w:tcBorders>
                    <w:tl2br w:val="nil"/>
                    <w:tr2bl w:val="nil"/>
                  </w:tcBorders>
                  <w:shd w:val="clear" w:color="auto" w:fill="auto"/>
                  <w:vAlign w:val="center"/>
                </w:tcPr>
                <w:p w14:paraId="0F28FA1F">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硅烷</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58D645CE">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11000*1500*2200mm</w:t>
                  </w:r>
                </w:p>
              </w:tc>
              <w:tc>
                <w:tcPr>
                  <w:tcW w:w="1205" w:type="dxa"/>
                  <w:tcBorders>
                    <w:tl2br w:val="nil"/>
                    <w:tr2bl w:val="nil"/>
                  </w:tcBorders>
                  <w:shd w:val="clear" w:color="auto" w:fill="auto"/>
                  <w:vAlign w:val="center"/>
                </w:tcPr>
                <w:p w14:paraId="087C3172">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75289070">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897CC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0B4DA691">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w:t>
                  </w:r>
                </w:p>
              </w:tc>
              <w:tc>
                <w:tcPr>
                  <w:tcW w:w="1756" w:type="dxa"/>
                  <w:tcBorders>
                    <w:tl2br w:val="nil"/>
                    <w:tr2bl w:val="nil"/>
                  </w:tcBorders>
                  <w:shd w:val="clear" w:color="auto" w:fill="auto"/>
                  <w:vAlign w:val="center"/>
                </w:tcPr>
                <w:p w14:paraId="6C359A8D">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水洗3</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525643B2">
                  <w:pPr>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rPr>
                    <w:t>5500*1500*2880+2500mm</w:t>
                  </w:r>
                </w:p>
              </w:tc>
              <w:tc>
                <w:tcPr>
                  <w:tcW w:w="1205" w:type="dxa"/>
                  <w:tcBorders>
                    <w:tl2br w:val="nil"/>
                    <w:tr2bl w:val="nil"/>
                  </w:tcBorders>
                  <w:shd w:val="clear" w:color="auto" w:fill="auto"/>
                  <w:vAlign w:val="center"/>
                </w:tcPr>
                <w:p w14:paraId="4A23D573">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4DD82072">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46421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78E65D1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w:t>
                  </w:r>
                </w:p>
              </w:tc>
              <w:tc>
                <w:tcPr>
                  <w:tcW w:w="1756" w:type="dxa"/>
                  <w:tcBorders>
                    <w:tl2br w:val="nil"/>
                    <w:tr2bl w:val="nil"/>
                  </w:tcBorders>
                  <w:shd w:val="clear" w:color="auto" w:fill="auto"/>
                  <w:vAlign w:val="center"/>
                </w:tcPr>
                <w:p w14:paraId="77FA7B3C">
                  <w:pPr>
                    <w:pStyle w:val="115"/>
                    <w:jc w:val="center"/>
                    <w:rPr>
                      <w:rFonts w:hint="eastAsia" w:ascii="Times New Roman" w:hAnsi="Times New Roman" w:eastAsia="宋体" w:cs="Times New Roman"/>
                      <w:color w:val="auto"/>
                      <w:spacing w:val="7"/>
                      <w:kern w:val="2"/>
                      <w:sz w:val="21"/>
                      <w:szCs w:val="24"/>
                      <w:lang w:val="en-US" w:eastAsia="zh-CN" w:bidi="ar-SA"/>
                    </w:rPr>
                  </w:pPr>
                  <w:r>
                    <w:rPr>
                      <w:rFonts w:hint="eastAsia" w:ascii="Times New Roman" w:hAnsi="Times New Roman" w:eastAsia="宋体"/>
                      <w:color w:val="auto"/>
                      <w:sz w:val="21"/>
                      <w:szCs w:val="24"/>
                    </w:rPr>
                    <w:t>纯水洗1</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31766FF6">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8000*1500*2200mm</w:t>
                  </w:r>
                </w:p>
              </w:tc>
              <w:tc>
                <w:tcPr>
                  <w:tcW w:w="1205" w:type="dxa"/>
                  <w:tcBorders>
                    <w:tl2br w:val="nil"/>
                    <w:tr2bl w:val="nil"/>
                  </w:tcBorders>
                  <w:shd w:val="clear" w:color="auto" w:fill="auto"/>
                  <w:vAlign w:val="center"/>
                </w:tcPr>
                <w:p w14:paraId="0E775DC8">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3D3C17F8">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7D0292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02556AB1">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c>
                <w:tcPr>
                  <w:tcW w:w="1756" w:type="dxa"/>
                  <w:tcBorders>
                    <w:tl2br w:val="nil"/>
                    <w:tr2bl w:val="nil"/>
                  </w:tcBorders>
                  <w:shd w:val="clear" w:color="auto" w:fill="auto"/>
                  <w:vAlign w:val="center"/>
                </w:tcPr>
                <w:p w14:paraId="230467A1">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电泳</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6C175A63">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pacing w:val="6"/>
                      <w:sz w:val="21"/>
                    </w:rPr>
                    <w:t>12000*1500*2200mm</w:t>
                  </w:r>
                </w:p>
              </w:tc>
              <w:tc>
                <w:tcPr>
                  <w:tcW w:w="1205" w:type="dxa"/>
                  <w:tcBorders>
                    <w:tl2br w:val="nil"/>
                    <w:tr2bl w:val="nil"/>
                  </w:tcBorders>
                  <w:shd w:val="clear" w:color="auto" w:fill="auto"/>
                  <w:vAlign w:val="center"/>
                </w:tcPr>
                <w:p w14:paraId="04A8C224">
                  <w:pPr>
                    <w:pStyle w:val="115"/>
                    <w:jc w:val="center"/>
                    <w:rPr>
                      <w:rFonts w:hint="default" w:ascii="Times New Roman" w:hAnsi="Times New Roman" w:eastAsia="宋体" w:cs="Times New Roman"/>
                      <w:color w:val="auto"/>
                      <w:spacing w:val="-3"/>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684A8713">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75545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78A6264">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w:t>
                  </w:r>
                </w:p>
              </w:tc>
              <w:tc>
                <w:tcPr>
                  <w:tcW w:w="1756" w:type="dxa"/>
                  <w:tcBorders>
                    <w:tl2br w:val="nil"/>
                    <w:tr2bl w:val="nil"/>
                  </w:tcBorders>
                  <w:shd w:val="clear" w:color="auto" w:fill="auto"/>
                  <w:vAlign w:val="center"/>
                </w:tcPr>
                <w:p w14:paraId="1BE2808A">
                  <w:pPr>
                    <w:pStyle w:val="115"/>
                    <w:jc w:val="center"/>
                    <w:rPr>
                      <w:rFonts w:hint="default" w:ascii="Times New Roman" w:hAnsi="Times New Roman" w:eastAsia="宋体" w:cs="Times New Roman"/>
                      <w:color w:val="auto"/>
                      <w:spacing w:val="6"/>
                      <w:kern w:val="2"/>
                      <w:sz w:val="21"/>
                      <w:szCs w:val="24"/>
                      <w:lang w:val="en-US" w:eastAsia="zh-CN" w:bidi="ar-SA"/>
                    </w:rPr>
                  </w:pPr>
                  <w:r>
                    <w:rPr>
                      <w:rFonts w:hint="eastAsia" w:ascii="Times New Roman" w:hAnsi="Times New Roman" w:eastAsia="宋体"/>
                      <w:color w:val="auto"/>
                      <w:sz w:val="21"/>
                      <w:szCs w:val="24"/>
                    </w:rPr>
                    <w:t>UF0洗</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4B2ED1F3">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lang w:val="de-DE"/>
                    </w:rPr>
                    <w:t>14000*1500*</w:t>
                  </w:r>
                  <w:r>
                    <w:rPr>
                      <w:rFonts w:hint="eastAsia" w:ascii="Times New Roman" w:hAnsi="Times New Roman" w:eastAsia="宋体"/>
                      <w:color w:val="auto"/>
                      <w:sz w:val="21"/>
                    </w:rPr>
                    <w:t>28</w:t>
                  </w:r>
                  <w:r>
                    <w:rPr>
                      <w:rFonts w:hint="eastAsia" w:ascii="Times New Roman" w:hAnsi="Times New Roman" w:eastAsia="宋体"/>
                      <w:color w:val="auto"/>
                      <w:sz w:val="21"/>
                      <w:lang w:val="de-DE"/>
                    </w:rPr>
                    <w:t>80+2800mm</w:t>
                  </w:r>
                </w:p>
              </w:tc>
              <w:tc>
                <w:tcPr>
                  <w:tcW w:w="1205" w:type="dxa"/>
                  <w:tcBorders>
                    <w:tl2br w:val="nil"/>
                    <w:tr2bl w:val="nil"/>
                  </w:tcBorders>
                  <w:shd w:val="clear" w:color="auto" w:fill="auto"/>
                  <w:vAlign w:val="center"/>
                </w:tcPr>
                <w:p w14:paraId="7FEB324C">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2E2B435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4A4B83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DF3C6C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1756" w:type="dxa"/>
                  <w:tcBorders>
                    <w:tl2br w:val="nil"/>
                    <w:tr2bl w:val="nil"/>
                  </w:tcBorders>
                  <w:shd w:val="clear" w:color="auto" w:fill="auto"/>
                  <w:vAlign w:val="center"/>
                </w:tcPr>
                <w:p w14:paraId="47BD3A84">
                  <w:pPr>
                    <w:pStyle w:val="115"/>
                    <w:jc w:val="center"/>
                    <w:rPr>
                      <w:rFonts w:hint="eastAsia"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UF1洗</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16419DE2">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5000*1500*2880+2800mm</w:t>
                  </w:r>
                </w:p>
              </w:tc>
              <w:tc>
                <w:tcPr>
                  <w:tcW w:w="1205" w:type="dxa"/>
                  <w:tcBorders>
                    <w:tl2br w:val="nil"/>
                    <w:tr2bl w:val="nil"/>
                  </w:tcBorders>
                  <w:shd w:val="clear" w:color="auto" w:fill="auto"/>
                  <w:vAlign w:val="center"/>
                </w:tcPr>
                <w:p w14:paraId="739890B8">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0B96B063">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04ABC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2A7AC9A">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w:t>
                  </w:r>
                </w:p>
              </w:tc>
              <w:tc>
                <w:tcPr>
                  <w:tcW w:w="1756" w:type="dxa"/>
                  <w:tcBorders>
                    <w:tl2br w:val="nil"/>
                    <w:tr2bl w:val="nil"/>
                  </w:tcBorders>
                  <w:shd w:val="clear" w:color="auto" w:fill="auto"/>
                  <w:vAlign w:val="center"/>
                </w:tcPr>
                <w:p w14:paraId="2A7E91B5">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UF2洗</w:t>
                  </w:r>
                  <w:r>
                    <w:rPr>
                      <w:rFonts w:hint="eastAsia" w:ascii="Times New Roman" w:hAnsi="Times New Roman" w:eastAsia="宋体"/>
                      <w:color w:val="auto"/>
                      <w:sz w:val="21"/>
                      <w:szCs w:val="24"/>
                      <w:lang w:eastAsia="zh-CN"/>
                    </w:rPr>
                    <w:t>槽</w:t>
                  </w:r>
                </w:p>
              </w:tc>
              <w:tc>
                <w:tcPr>
                  <w:tcW w:w="3163" w:type="dxa"/>
                  <w:tcBorders>
                    <w:tl2br w:val="nil"/>
                    <w:tr2bl w:val="nil"/>
                  </w:tcBorders>
                  <w:shd w:val="clear" w:color="auto" w:fill="auto"/>
                  <w:vAlign w:val="center"/>
                </w:tcPr>
                <w:p w14:paraId="5973838E">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4500*1500*2880+2800mm</w:t>
                  </w:r>
                </w:p>
              </w:tc>
              <w:tc>
                <w:tcPr>
                  <w:tcW w:w="1205" w:type="dxa"/>
                  <w:tcBorders>
                    <w:tl2br w:val="nil"/>
                    <w:tr2bl w:val="nil"/>
                  </w:tcBorders>
                  <w:shd w:val="clear" w:color="auto" w:fill="auto"/>
                  <w:vAlign w:val="center"/>
                </w:tcPr>
                <w:p w14:paraId="5353F469">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0DB02D46">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7F7D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751CDD8D">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w:t>
                  </w:r>
                </w:p>
              </w:tc>
              <w:tc>
                <w:tcPr>
                  <w:tcW w:w="1756" w:type="dxa"/>
                  <w:tcBorders>
                    <w:tl2br w:val="nil"/>
                    <w:tr2bl w:val="nil"/>
                  </w:tcBorders>
                  <w:shd w:val="clear" w:color="auto" w:fill="auto"/>
                  <w:vAlign w:val="center"/>
                </w:tcPr>
                <w:p w14:paraId="04ABF04B">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default" w:ascii="Times New Roman" w:hAnsi="Times New Roman" w:eastAsia="宋体" w:cs="Times New Roman"/>
                      <w:color w:val="auto"/>
                      <w:spacing w:val="2"/>
                      <w:kern w:val="2"/>
                      <w:position w:val="1"/>
                      <w:sz w:val="21"/>
                      <w:szCs w:val="24"/>
                      <w:lang w:val="en-US" w:eastAsia="zh-CN" w:bidi="ar-SA"/>
                    </w:rPr>
                    <w:t>天然气</w:t>
                  </w:r>
                  <w:r>
                    <w:rPr>
                      <w:rFonts w:hint="eastAsia" w:ascii="Times New Roman" w:hAnsi="Times New Roman" w:cs="Times New Roman"/>
                      <w:color w:val="auto"/>
                      <w:spacing w:val="2"/>
                      <w:kern w:val="2"/>
                      <w:position w:val="1"/>
                      <w:sz w:val="21"/>
                      <w:szCs w:val="24"/>
                      <w:lang w:val="en-US" w:eastAsia="zh-CN" w:bidi="ar-SA"/>
                    </w:rPr>
                    <w:t>烘干</w:t>
                  </w:r>
                  <w:r>
                    <w:rPr>
                      <w:rFonts w:hint="default" w:ascii="Times New Roman" w:hAnsi="Times New Roman" w:eastAsia="宋体" w:cs="Times New Roman"/>
                      <w:color w:val="auto"/>
                      <w:spacing w:val="2"/>
                      <w:kern w:val="2"/>
                      <w:position w:val="1"/>
                      <w:sz w:val="21"/>
                      <w:szCs w:val="24"/>
                      <w:lang w:val="en-US" w:eastAsia="zh-CN" w:bidi="ar-SA"/>
                    </w:rPr>
                    <w:t>炉</w:t>
                  </w:r>
                </w:p>
              </w:tc>
              <w:tc>
                <w:tcPr>
                  <w:tcW w:w="3163" w:type="dxa"/>
                  <w:tcBorders>
                    <w:tl2br w:val="nil"/>
                    <w:tr2bl w:val="nil"/>
                  </w:tcBorders>
                  <w:shd w:val="clear" w:color="auto" w:fill="auto"/>
                  <w:vAlign w:val="center"/>
                </w:tcPr>
                <w:p w14:paraId="18F366E2">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lang w:val="de-DE"/>
                    </w:rPr>
                    <w:t>4</w:t>
                  </w:r>
                  <w:r>
                    <w:rPr>
                      <w:rFonts w:hint="eastAsia" w:ascii="Times New Roman" w:hAnsi="Times New Roman" w:eastAsia="宋体"/>
                      <w:color w:val="auto"/>
                      <w:sz w:val="21"/>
                    </w:rPr>
                    <w:t>5</w:t>
                  </w:r>
                  <w:r>
                    <w:rPr>
                      <w:rFonts w:hint="eastAsia" w:ascii="Times New Roman" w:hAnsi="Times New Roman" w:eastAsia="宋体"/>
                      <w:color w:val="auto"/>
                      <w:sz w:val="21"/>
                      <w:lang w:val="de-DE"/>
                    </w:rPr>
                    <w:t>000*</w:t>
                  </w:r>
                  <w:r>
                    <w:rPr>
                      <w:rFonts w:hint="eastAsia" w:ascii="Times New Roman" w:hAnsi="Times New Roman" w:eastAsia="宋体"/>
                      <w:color w:val="auto"/>
                      <w:sz w:val="21"/>
                    </w:rPr>
                    <w:t>300</w:t>
                  </w:r>
                  <w:r>
                    <w:rPr>
                      <w:rFonts w:hint="eastAsia" w:ascii="Times New Roman" w:hAnsi="Times New Roman" w:eastAsia="宋体"/>
                      <w:color w:val="auto"/>
                      <w:sz w:val="21"/>
                      <w:lang w:val="de-DE"/>
                    </w:rPr>
                    <w:t>0*3</w:t>
                  </w:r>
                  <w:r>
                    <w:rPr>
                      <w:rFonts w:hint="eastAsia" w:ascii="Times New Roman" w:hAnsi="Times New Roman" w:eastAsia="宋体"/>
                      <w:color w:val="auto"/>
                      <w:sz w:val="21"/>
                    </w:rPr>
                    <w:t>00</w:t>
                  </w:r>
                  <w:r>
                    <w:rPr>
                      <w:rFonts w:hint="eastAsia" w:ascii="Times New Roman" w:hAnsi="Times New Roman" w:eastAsia="宋体"/>
                      <w:color w:val="auto"/>
                      <w:sz w:val="21"/>
                      <w:lang w:val="de-DE"/>
                    </w:rPr>
                    <w:t>0mm</w:t>
                  </w:r>
                </w:p>
              </w:tc>
              <w:tc>
                <w:tcPr>
                  <w:tcW w:w="1205" w:type="dxa"/>
                  <w:tcBorders>
                    <w:tl2br w:val="nil"/>
                    <w:tr2bl w:val="nil"/>
                  </w:tcBorders>
                  <w:shd w:val="clear" w:color="auto" w:fill="auto"/>
                  <w:vAlign w:val="center"/>
                </w:tcPr>
                <w:p w14:paraId="4EF951B6">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844" w:type="dxa"/>
                  <w:tcBorders>
                    <w:tl2br w:val="nil"/>
                    <w:tr2bl w:val="nil"/>
                  </w:tcBorders>
                  <w:shd w:val="clear" w:color="auto" w:fill="auto"/>
                  <w:vAlign w:val="center"/>
                </w:tcPr>
                <w:p w14:paraId="7F01861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0157B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20DCB56D">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c>
                <w:tcPr>
                  <w:tcW w:w="1756" w:type="dxa"/>
                  <w:tcBorders>
                    <w:tl2br w:val="nil"/>
                    <w:tr2bl w:val="nil"/>
                  </w:tcBorders>
                  <w:shd w:val="clear" w:color="auto" w:fill="auto"/>
                  <w:vAlign w:val="center"/>
                </w:tcPr>
                <w:p w14:paraId="755B1736">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ascii="Times New Roman" w:hAnsi="Times New Roman" w:eastAsia="宋体" w:cs="p&gt;:#"/>
                      <w:color w:val="auto"/>
                      <w:kern w:val="0"/>
                      <w:sz w:val="21"/>
                      <w:szCs w:val="24"/>
                    </w:rPr>
                    <w:t>污水处理设施</w:t>
                  </w:r>
                </w:p>
              </w:tc>
              <w:tc>
                <w:tcPr>
                  <w:tcW w:w="3163" w:type="dxa"/>
                  <w:tcBorders>
                    <w:tl2br w:val="nil"/>
                    <w:tr2bl w:val="nil"/>
                  </w:tcBorders>
                  <w:shd w:val="clear" w:color="auto" w:fill="auto"/>
                  <w:vAlign w:val="center"/>
                </w:tcPr>
                <w:p w14:paraId="420CDFC6">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highlight w:val="none"/>
                      <w:lang w:val="en-US" w:eastAsia="zh-CN" w:bidi="ar-SA"/>
                    </w:rPr>
                    <w:t>物化+A/O+沉淀</w:t>
                  </w:r>
                </w:p>
              </w:tc>
              <w:tc>
                <w:tcPr>
                  <w:tcW w:w="1205" w:type="dxa"/>
                  <w:tcBorders>
                    <w:tl2br w:val="nil"/>
                    <w:tr2bl w:val="nil"/>
                  </w:tcBorders>
                  <w:shd w:val="clear" w:color="auto" w:fill="auto"/>
                  <w:vAlign w:val="center"/>
                </w:tcPr>
                <w:p w14:paraId="50C83B7D">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10"/>
                      <w:sz w:val="21"/>
                      <w:szCs w:val="24"/>
                      <w:lang w:eastAsia="zh-CN"/>
                    </w:rPr>
                    <w:t>1</w:t>
                  </w:r>
                </w:p>
              </w:tc>
              <w:tc>
                <w:tcPr>
                  <w:tcW w:w="1844" w:type="dxa"/>
                  <w:tcBorders>
                    <w:tl2br w:val="nil"/>
                    <w:tr2bl w:val="nil"/>
                  </w:tcBorders>
                  <w:shd w:val="clear" w:color="auto" w:fill="auto"/>
                  <w:vAlign w:val="center"/>
                </w:tcPr>
                <w:p w14:paraId="2E8F5EEC">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污水处理</w:t>
                  </w:r>
                </w:p>
              </w:tc>
            </w:tr>
            <w:tr w14:paraId="6F3239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40FAC009">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w:t>
                  </w:r>
                </w:p>
              </w:tc>
              <w:tc>
                <w:tcPr>
                  <w:tcW w:w="1756" w:type="dxa"/>
                  <w:tcBorders>
                    <w:tl2br w:val="nil"/>
                    <w:tr2bl w:val="nil"/>
                  </w:tcBorders>
                  <w:shd w:val="clear" w:color="auto" w:fill="auto"/>
                  <w:vAlign w:val="center"/>
                </w:tcPr>
                <w:p w14:paraId="66CAC485">
                  <w:pPr>
                    <w:pStyle w:val="115"/>
                    <w:jc w:val="center"/>
                    <w:rPr>
                      <w:rFonts w:hint="eastAsia" w:ascii="Times New Roman" w:hAnsi="Times New Roman" w:eastAsia="宋体" w:cs="Times New Roman"/>
                      <w:color w:val="auto"/>
                      <w:spacing w:val="2"/>
                      <w:kern w:val="2"/>
                      <w:position w:val="1"/>
                      <w:sz w:val="21"/>
                      <w:szCs w:val="24"/>
                      <w:lang w:val="en-US" w:eastAsia="zh-CN" w:bidi="ar-SA"/>
                    </w:rPr>
                  </w:pPr>
                  <w:r>
                    <w:rPr>
                      <w:rFonts w:ascii="Times New Roman" w:hAnsi="Times New Roman" w:eastAsia="宋体" w:cs="p&gt;:#"/>
                      <w:color w:val="auto"/>
                      <w:kern w:val="0"/>
                      <w:sz w:val="21"/>
                      <w:szCs w:val="24"/>
                    </w:rPr>
                    <w:t>座椅骨架装配线</w:t>
                  </w:r>
                </w:p>
              </w:tc>
              <w:tc>
                <w:tcPr>
                  <w:tcW w:w="3163" w:type="dxa"/>
                  <w:tcBorders>
                    <w:tl2br w:val="nil"/>
                    <w:tr2bl w:val="nil"/>
                  </w:tcBorders>
                  <w:shd w:val="clear" w:color="auto" w:fill="auto"/>
                  <w:vAlign w:val="center"/>
                </w:tcPr>
                <w:p w14:paraId="137CEB0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1205" w:type="dxa"/>
                  <w:tcBorders>
                    <w:tl2br w:val="nil"/>
                    <w:tr2bl w:val="nil"/>
                  </w:tcBorders>
                  <w:shd w:val="clear" w:color="auto" w:fill="auto"/>
                  <w:vAlign w:val="center"/>
                </w:tcPr>
                <w:p w14:paraId="496816D4">
                  <w:pPr>
                    <w:pStyle w:val="115"/>
                    <w:jc w:val="center"/>
                    <w:rPr>
                      <w:rFonts w:hint="eastAsia" w:ascii="Times New Roman" w:hAnsi="Times New Roman" w:eastAsia="宋体" w:cs="Times New Roman"/>
                      <w:color w:val="auto"/>
                      <w:spacing w:val="-5"/>
                      <w:kern w:val="2"/>
                      <w:sz w:val="21"/>
                      <w:szCs w:val="24"/>
                      <w:lang w:val="en-US" w:eastAsia="zh-CN" w:bidi="ar-SA"/>
                    </w:rPr>
                  </w:pPr>
                  <w:r>
                    <w:rPr>
                      <w:rFonts w:hint="eastAsia" w:ascii="Times New Roman" w:hAnsi="Times New Roman" w:eastAsia="宋体" w:cs="Times New Roman"/>
                      <w:color w:val="auto"/>
                      <w:spacing w:val="-5"/>
                      <w:sz w:val="21"/>
                      <w:szCs w:val="24"/>
                      <w:lang w:eastAsia="zh-CN"/>
                    </w:rPr>
                    <w:t>1</w:t>
                  </w:r>
                </w:p>
              </w:tc>
              <w:tc>
                <w:tcPr>
                  <w:tcW w:w="1844" w:type="dxa"/>
                  <w:tcBorders>
                    <w:tl2br w:val="nil"/>
                    <w:tr2bl w:val="nil"/>
                  </w:tcBorders>
                  <w:shd w:val="clear" w:color="auto" w:fill="auto"/>
                  <w:vAlign w:val="center"/>
                </w:tcPr>
                <w:p w14:paraId="45F3D117">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装配</w:t>
                  </w:r>
                </w:p>
              </w:tc>
            </w:tr>
            <w:tr w14:paraId="3CF5ED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7362DFCE">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17</w:t>
                  </w:r>
                </w:p>
              </w:tc>
              <w:tc>
                <w:tcPr>
                  <w:tcW w:w="1756" w:type="dxa"/>
                  <w:tcBorders>
                    <w:tl2br w:val="nil"/>
                    <w:tr2bl w:val="nil"/>
                  </w:tcBorders>
                  <w:shd w:val="clear" w:color="auto" w:fill="auto"/>
                  <w:vAlign w:val="center"/>
                </w:tcPr>
                <w:p w14:paraId="3F5BB8C5">
                  <w:pPr>
                    <w:pStyle w:val="115"/>
                    <w:jc w:val="center"/>
                    <w:rPr>
                      <w:rFonts w:hint="default" w:ascii="Times New Roman" w:hAnsi="Times New Roman" w:eastAsia="宋体" w:cs="p&gt;:#"/>
                      <w:color w:val="auto"/>
                      <w:kern w:val="0"/>
                      <w:sz w:val="21"/>
                      <w:szCs w:val="24"/>
                      <w:lang w:val="en-US" w:eastAsia="zh-CN"/>
                    </w:rPr>
                  </w:pPr>
                  <w:r>
                    <w:rPr>
                      <w:rFonts w:hint="eastAsia" w:ascii="Times New Roman" w:hAnsi="Times New Roman" w:cs="p&gt;:#"/>
                      <w:color w:val="auto"/>
                      <w:kern w:val="0"/>
                      <w:sz w:val="21"/>
                      <w:szCs w:val="24"/>
                      <w:lang w:val="en-US" w:eastAsia="zh-CN"/>
                    </w:rPr>
                    <w:t>喷漆线</w:t>
                  </w:r>
                </w:p>
              </w:tc>
              <w:tc>
                <w:tcPr>
                  <w:tcW w:w="3163" w:type="dxa"/>
                  <w:tcBorders>
                    <w:tl2br w:val="nil"/>
                    <w:tr2bl w:val="nil"/>
                  </w:tcBorders>
                  <w:shd w:val="clear" w:color="auto" w:fill="auto"/>
                  <w:vAlign w:val="center"/>
                </w:tcPr>
                <w:p w14:paraId="527E7F0F">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1205" w:type="dxa"/>
                  <w:tcBorders>
                    <w:tl2br w:val="nil"/>
                    <w:tr2bl w:val="nil"/>
                  </w:tcBorders>
                  <w:shd w:val="clear" w:color="auto" w:fill="auto"/>
                  <w:vAlign w:val="center"/>
                </w:tcPr>
                <w:p w14:paraId="7C34CC65">
                  <w:pPr>
                    <w:pStyle w:val="115"/>
                    <w:jc w:val="center"/>
                    <w:rPr>
                      <w:rFonts w:hint="default" w:ascii="Times New Roman" w:hAnsi="Times New Roman" w:eastAsia="宋体" w:cs="Times New Roman"/>
                      <w:color w:val="auto"/>
                      <w:spacing w:val="-5"/>
                      <w:sz w:val="21"/>
                      <w:szCs w:val="24"/>
                      <w:lang w:val="en-US" w:eastAsia="zh-CN"/>
                    </w:rPr>
                  </w:pPr>
                  <w:r>
                    <w:rPr>
                      <w:rFonts w:hint="eastAsia" w:ascii="Times New Roman" w:hAnsi="Times New Roman" w:cs="Times New Roman"/>
                      <w:color w:val="auto"/>
                      <w:spacing w:val="-5"/>
                      <w:sz w:val="21"/>
                      <w:szCs w:val="24"/>
                      <w:lang w:val="en-US" w:eastAsia="zh-CN"/>
                    </w:rPr>
                    <w:t>1</w:t>
                  </w:r>
                </w:p>
              </w:tc>
              <w:tc>
                <w:tcPr>
                  <w:tcW w:w="1844" w:type="dxa"/>
                  <w:tcBorders>
                    <w:tl2br w:val="nil"/>
                    <w:tr2bl w:val="nil"/>
                  </w:tcBorders>
                  <w:shd w:val="clear" w:color="auto" w:fill="auto"/>
                  <w:vAlign w:val="center"/>
                </w:tcPr>
                <w:p w14:paraId="642E3431">
                  <w:pPr>
                    <w:jc w:val="center"/>
                    <w:rPr>
                      <w:rFonts w:hint="eastAsia" w:ascii="Times New Roman" w:hAnsi="Times New Roman" w:eastAsia="宋体"/>
                      <w:color w:val="auto"/>
                      <w:sz w:val="21"/>
                      <w:lang w:val="en-US" w:eastAsia="zh-CN"/>
                    </w:rPr>
                  </w:pPr>
                  <w:r>
                    <w:rPr>
                      <w:rFonts w:hint="eastAsia"/>
                      <w:color w:val="auto"/>
                      <w:sz w:val="21"/>
                      <w:lang w:val="en-US" w:eastAsia="zh-CN"/>
                    </w:rPr>
                    <w:t>喷漆</w:t>
                  </w:r>
                </w:p>
              </w:tc>
            </w:tr>
            <w:tr w14:paraId="54A6BD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04D74896">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18</w:t>
                  </w:r>
                </w:p>
              </w:tc>
              <w:tc>
                <w:tcPr>
                  <w:tcW w:w="1756" w:type="dxa"/>
                  <w:tcBorders>
                    <w:tl2br w:val="nil"/>
                    <w:tr2bl w:val="nil"/>
                  </w:tcBorders>
                  <w:shd w:val="clear" w:color="auto" w:fill="auto"/>
                  <w:vAlign w:val="center"/>
                </w:tcPr>
                <w:p w14:paraId="228A6C9E">
                  <w:pPr>
                    <w:pStyle w:val="115"/>
                    <w:jc w:val="center"/>
                    <w:rPr>
                      <w:rFonts w:hint="default" w:ascii="Times New Roman" w:hAnsi="Times New Roman" w:eastAsia="宋体" w:cs="p&gt;:#"/>
                      <w:color w:val="auto"/>
                      <w:kern w:val="0"/>
                      <w:sz w:val="21"/>
                      <w:szCs w:val="24"/>
                      <w:lang w:val="en-US" w:eastAsia="zh-CN"/>
                    </w:rPr>
                  </w:pPr>
                  <w:r>
                    <w:rPr>
                      <w:rFonts w:hint="eastAsia" w:ascii="Times New Roman" w:hAnsi="Times New Roman" w:cs="p&gt;:#"/>
                      <w:color w:val="auto"/>
                      <w:kern w:val="0"/>
                      <w:sz w:val="21"/>
                      <w:szCs w:val="24"/>
                      <w:lang w:val="en-US" w:eastAsia="zh-CN"/>
                    </w:rPr>
                    <w:t>喷粉线</w:t>
                  </w:r>
                </w:p>
              </w:tc>
              <w:tc>
                <w:tcPr>
                  <w:tcW w:w="3163" w:type="dxa"/>
                  <w:tcBorders>
                    <w:tl2br w:val="nil"/>
                    <w:tr2bl w:val="nil"/>
                  </w:tcBorders>
                  <w:shd w:val="clear" w:color="auto" w:fill="auto"/>
                  <w:vAlign w:val="center"/>
                </w:tcPr>
                <w:p w14:paraId="7F7F4E7E">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1205" w:type="dxa"/>
                  <w:tcBorders>
                    <w:tl2br w:val="nil"/>
                    <w:tr2bl w:val="nil"/>
                  </w:tcBorders>
                  <w:shd w:val="clear" w:color="auto" w:fill="auto"/>
                  <w:vAlign w:val="center"/>
                </w:tcPr>
                <w:p w14:paraId="46BC2965">
                  <w:pPr>
                    <w:pStyle w:val="115"/>
                    <w:jc w:val="center"/>
                    <w:rPr>
                      <w:rFonts w:hint="default" w:ascii="Times New Roman" w:hAnsi="Times New Roman" w:eastAsia="宋体" w:cs="Times New Roman"/>
                      <w:color w:val="auto"/>
                      <w:spacing w:val="-5"/>
                      <w:sz w:val="21"/>
                      <w:szCs w:val="24"/>
                      <w:lang w:val="en-US" w:eastAsia="zh-CN"/>
                    </w:rPr>
                  </w:pPr>
                  <w:r>
                    <w:rPr>
                      <w:rFonts w:hint="eastAsia" w:ascii="Times New Roman" w:hAnsi="Times New Roman" w:cs="Times New Roman"/>
                      <w:color w:val="auto"/>
                      <w:spacing w:val="-5"/>
                      <w:sz w:val="21"/>
                      <w:szCs w:val="24"/>
                      <w:lang w:val="en-US" w:eastAsia="zh-CN"/>
                    </w:rPr>
                    <w:t>1</w:t>
                  </w:r>
                </w:p>
              </w:tc>
              <w:tc>
                <w:tcPr>
                  <w:tcW w:w="1844" w:type="dxa"/>
                  <w:tcBorders>
                    <w:tl2br w:val="nil"/>
                    <w:tr2bl w:val="nil"/>
                  </w:tcBorders>
                  <w:shd w:val="clear" w:color="auto" w:fill="auto"/>
                  <w:vAlign w:val="center"/>
                </w:tcPr>
                <w:p w14:paraId="22F11AF7">
                  <w:pPr>
                    <w:jc w:val="center"/>
                    <w:rPr>
                      <w:rFonts w:hint="eastAsia" w:ascii="Times New Roman" w:hAnsi="Times New Roman" w:eastAsia="宋体"/>
                      <w:color w:val="auto"/>
                      <w:sz w:val="21"/>
                      <w:lang w:val="en-US" w:eastAsia="zh-CN"/>
                    </w:rPr>
                  </w:pPr>
                  <w:r>
                    <w:rPr>
                      <w:rFonts w:hint="eastAsia"/>
                      <w:color w:val="auto"/>
                      <w:sz w:val="21"/>
                      <w:lang w:val="en-US" w:eastAsia="zh-CN"/>
                    </w:rPr>
                    <w:t>喷粉</w:t>
                  </w:r>
                </w:p>
              </w:tc>
            </w:tr>
          </w:tbl>
          <w:p w14:paraId="14109154">
            <w:pPr>
              <w:pStyle w:val="3"/>
              <w:bidi w:val="0"/>
              <w:ind w:left="0" w:leftChars="0" w:firstLine="0" w:firstLineChars="0"/>
              <w:rPr>
                <w:rFonts w:hint="eastAsia"/>
                <w:color w:val="auto"/>
                <w:highlight w:val="none"/>
              </w:rPr>
            </w:pPr>
            <w:r>
              <w:rPr>
                <w:rFonts w:hint="eastAsia"/>
                <w:color w:val="auto"/>
                <w:highlight w:val="none"/>
              </w:rPr>
              <w:t>主要原辅材料</w:t>
            </w:r>
            <w:bookmarkEnd w:id="18"/>
            <w:bookmarkEnd w:id="19"/>
            <w:bookmarkEnd w:id="20"/>
            <w:bookmarkEnd w:id="21"/>
            <w:r>
              <w:rPr>
                <w:rFonts w:hint="eastAsia"/>
                <w:color w:val="auto"/>
                <w:highlight w:val="none"/>
              </w:rPr>
              <w:t>及能源消耗</w:t>
            </w:r>
          </w:p>
          <w:p w14:paraId="7820EF1C">
            <w:pPr>
              <w:pStyle w:val="46"/>
              <w:ind w:firstLine="480"/>
              <w:rPr>
                <w:color w:val="auto"/>
                <w:highlight w:val="none"/>
              </w:rPr>
            </w:pPr>
            <w:r>
              <w:rPr>
                <w:rFonts w:hint="eastAsia"/>
                <w:color w:val="auto"/>
                <w:highlight w:val="none"/>
              </w:rPr>
              <w:t>（1）主要原辅材料</w:t>
            </w:r>
          </w:p>
          <w:p w14:paraId="2F0A47FE">
            <w:pPr>
              <w:pStyle w:val="46"/>
              <w:ind w:firstLine="480"/>
              <w:rPr>
                <w:color w:val="auto"/>
                <w:highlight w:val="none"/>
              </w:rPr>
            </w:pPr>
            <w:r>
              <w:rPr>
                <w:rFonts w:hint="eastAsia"/>
                <w:color w:val="auto"/>
                <w:highlight w:val="none"/>
              </w:rPr>
              <w:t>项目</w:t>
            </w:r>
            <w:r>
              <w:rPr>
                <w:color w:val="auto"/>
                <w:highlight w:val="none"/>
              </w:rPr>
              <w:t>主要原辅材料用量见</w:t>
            </w:r>
            <w:r>
              <w:rPr>
                <w:rFonts w:hint="eastAsia"/>
                <w:color w:val="auto"/>
                <w:highlight w:val="none"/>
              </w:rPr>
              <w:t>下表</w:t>
            </w:r>
            <w:r>
              <w:rPr>
                <w:color w:val="auto"/>
                <w:highlight w:val="none"/>
              </w:rPr>
              <w:t>。</w:t>
            </w:r>
          </w:p>
          <w:p w14:paraId="57E34C9B">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highlight w:val="none"/>
              </w:rPr>
            </w:pPr>
            <w:r>
              <w:rPr>
                <w:color w:val="auto"/>
                <w:highlight w:val="none"/>
              </w:rPr>
              <w:t>主要原辅材料预计消耗一览表</w:t>
            </w:r>
          </w:p>
          <w:tbl>
            <w:tblPr>
              <w:tblStyle w:val="34"/>
              <w:tblW w:w="863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554"/>
              <w:gridCol w:w="897"/>
              <w:gridCol w:w="2072"/>
              <w:gridCol w:w="488"/>
              <w:gridCol w:w="650"/>
              <w:gridCol w:w="964"/>
              <w:gridCol w:w="1050"/>
              <w:gridCol w:w="723"/>
              <w:gridCol w:w="1240"/>
            </w:tblGrid>
            <w:tr w14:paraId="08B8B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blHeader/>
              </w:trPr>
              <w:tc>
                <w:tcPr>
                  <w:tcW w:w="554" w:type="dxa"/>
                  <w:tcBorders>
                    <w:bottom w:val="single" w:color="000000" w:sz="12" w:space="0"/>
                  </w:tcBorders>
                  <w:shd w:val="clear" w:color="auto" w:fill="auto"/>
                  <w:vAlign w:val="center"/>
                </w:tcPr>
                <w:p w14:paraId="513D679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897" w:type="dxa"/>
                  <w:tcBorders>
                    <w:bottom w:val="single" w:color="000000" w:sz="12" w:space="0"/>
                  </w:tcBorders>
                  <w:shd w:val="clear" w:color="auto" w:fill="auto"/>
                  <w:vAlign w:val="center"/>
                </w:tcPr>
                <w:p w14:paraId="2B85299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原料名称</w:t>
                  </w:r>
                </w:p>
              </w:tc>
              <w:tc>
                <w:tcPr>
                  <w:tcW w:w="2072" w:type="dxa"/>
                  <w:tcBorders>
                    <w:bottom w:val="single" w:color="000000" w:sz="12" w:space="0"/>
                  </w:tcBorders>
                  <w:shd w:val="clear" w:color="auto" w:fill="auto"/>
                  <w:vAlign w:val="center"/>
                </w:tcPr>
                <w:p w14:paraId="6D36C53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成分</w:t>
                  </w:r>
                </w:p>
              </w:tc>
              <w:tc>
                <w:tcPr>
                  <w:tcW w:w="488" w:type="dxa"/>
                  <w:tcBorders>
                    <w:bottom w:val="single" w:color="000000" w:sz="12" w:space="0"/>
                  </w:tcBorders>
                  <w:shd w:val="clear" w:color="auto" w:fill="auto"/>
                  <w:vAlign w:val="center"/>
                </w:tcPr>
                <w:p w14:paraId="666CE78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形态</w:t>
                  </w:r>
                </w:p>
              </w:tc>
              <w:tc>
                <w:tcPr>
                  <w:tcW w:w="650" w:type="dxa"/>
                  <w:tcBorders>
                    <w:bottom w:val="single" w:color="000000" w:sz="12" w:space="0"/>
                  </w:tcBorders>
                  <w:shd w:val="clear" w:color="auto" w:fill="auto"/>
                  <w:vAlign w:val="center"/>
                </w:tcPr>
                <w:p w14:paraId="221EBC2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包装</w:t>
                  </w:r>
                </w:p>
                <w:p w14:paraId="230FBD5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规格</w:t>
                  </w:r>
                </w:p>
              </w:tc>
              <w:tc>
                <w:tcPr>
                  <w:tcW w:w="964" w:type="dxa"/>
                  <w:tcBorders>
                    <w:bottom w:val="single" w:color="000000" w:sz="12" w:space="0"/>
                  </w:tcBorders>
                  <w:shd w:val="clear" w:color="auto" w:fill="auto"/>
                  <w:vAlign w:val="center"/>
                </w:tcPr>
                <w:p w14:paraId="489D901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年用量</w:t>
                  </w:r>
                </w:p>
              </w:tc>
              <w:tc>
                <w:tcPr>
                  <w:tcW w:w="1050" w:type="dxa"/>
                  <w:tcBorders>
                    <w:bottom w:val="single" w:color="000000" w:sz="12" w:space="0"/>
                  </w:tcBorders>
                  <w:shd w:val="clear" w:color="auto" w:fill="auto"/>
                  <w:vAlign w:val="center"/>
                </w:tcPr>
                <w:p w14:paraId="4F93DD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贮存位置</w:t>
                  </w:r>
                </w:p>
              </w:tc>
              <w:tc>
                <w:tcPr>
                  <w:tcW w:w="723" w:type="dxa"/>
                  <w:tcBorders>
                    <w:bottom w:val="single" w:color="000000" w:sz="12" w:space="0"/>
                  </w:tcBorders>
                  <w:shd w:val="clear" w:color="auto" w:fill="auto"/>
                  <w:vAlign w:val="center"/>
                </w:tcPr>
                <w:p w14:paraId="3C2BD19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厂区贮存量</w:t>
                  </w:r>
                </w:p>
              </w:tc>
              <w:tc>
                <w:tcPr>
                  <w:tcW w:w="1240" w:type="dxa"/>
                  <w:tcBorders>
                    <w:bottom w:val="single" w:color="000000" w:sz="12" w:space="0"/>
                  </w:tcBorders>
                  <w:shd w:val="clear" w:color="auto" w:fill="auto"/>
                  <w:vAlign w:val="center"/>
                </w:tcPr>
                <w:p w14:paraId="17A3F34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用途</w:t>
                  </w:r>
                </w:p>
              </w:tc>
            </w:tr>
            <w:tr w14:paraId="3563D7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0" w:hRule="atLeast"/>
              </w:trPr>
              <w:tc>
                <w:tcPr>
                  <w:tcW w:w="554" w:type="dxa"/>
                  <w:tcBorders>
                    <w:top w:val="single" w:color="000000" w:sz="12" w:space="0"/>
                    <w:tl2br w:val="nil"/>
                    <w:tr2bl w:val="nil"/>
                  </w:tcBorders>
                  <w:shd w:val="clear" w:color="auto" w:fill="auto"/>
                  <w:vAlign w:val="center"/>
                </w:tcPr>
                <w:p w14:paraId="71EF12A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97" w:type="dxa"/>
                  <w:tcBorders>
                    <w:top w:val="single" w:color="000000" w:sz="12" w:space="0"/>
                    <w:tl2br w:val="nil"/>
                    <w:tr2bl w:val="nil"/>
                  </w:tcBorders>
                  <w:shd w:val="clear" w:color="auto" w:fill="auto"/>
                  <w:vAlign w:val="center"/>
                </w:tcPr>
                <w:p w14:paraId="25B201D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座椅座垫</w:t>
                  </w:r>
                </w:p>
                <w:p w14:paraId="15912A2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骨架零件</w:t>
                  </w:r>
                </w:p>
              </w:tc>
              <w:tc>
                <w:tcPr>
                  <w:tcW w:w="2072" w:type="dxa"/>
                  <w:tcBorders>
                    <w:top w:val="single" w:color="000000" w:sz="12" w:space="0"/>
                    <w:tl2br w:val="nil"/>
                    <w:tr2bl w:val="nil"/>
                  </w:tcBorders>
                  <w:shd w:val="clear" w:color="auto" w:fill="auto"/>
                  <w:vAlign w:val="center"/>
                </w:tcPr>
                <w:p w14:paraId="063E06D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冷轧钢材，成分为C：0.1%，Mn：0.5%，P：0.035%，S：0.025%，Fe：99.34%</w:t>
                  </w:r>
                </w:p>
              </w:tc>
              <w:tc>
                <w:tcPr>
                  <w:tcW w:w="488" w:type="dxa"/>
                  <w:tcBorders>
                    <w:top w:val="single" w:color="000000" w:sz="12" w:space="0"/>
                    <w:tl2br w:val="nil"/>
                    <w:tr2bl w:val="nil"/>
                  </w:tcBorders>
                  <w:shd w:val="clear" w:color="auto" w:fill="auto"/>
                  <w:vAlign w:val="center"/>
                </w:tcPr>
                <w:p w14:paraId="0FEB079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op w:val="single" w:color="000000" w:sz="12" w:space="0"/>
                    <w:tl2br w:val="nil"/>
                    <w:tr2bl w:val="nil"/>
                  </w:tcBorders>
                  <w:shd w:val="clear" w:color="auto" w:fill="auto"/>
                  <w:vAlign w:val="center"/>
                </w:tcPr>
                <w:p w14:paraId="3D8857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料架</w:t>
                  </w:r>
                </w:p>
              </w:tc>
              <w:tc>
                <w:tcPr>
                  <w:tcW w:w="964" w:type="dxa"/>
                  <w:tcBorders>
                    <w:top w:val="single" w:color="000000" w:sz="12" w:space="0"/>
                    <w:tl2br w:val="nil"/>
                    <w:tr2bl w:val="nil"/>
                  </w:tcBorders>
                  <w:shd w:val="clear" w:color="auto" w:fill="auto"/>
                  <w:vAlign w:val="center"/>
                </w:tcPr>
                <w:p w14:paraId="5310F03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万</w:t>
                  </w:r>
                </w:p>
                <w:p w14:paraId="6BC5BBA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套/a</w:t>
                  </w:r>
                </w:p>
              </w:tc>
              <w:tc>
                <w:tcPr>
                  <w:tcW w:w="1050" w:type="dxa"/>
                  <w:tcBorders>
                    <w:top w:val="single" w:color="000000" w:sz="12" w:space="0"/>
                    <w:tl2br w:val="nil"/>
                    <w:tr2bl w:val="nil"/>
                  </w:tcBorders>
                  <w:shd w:val="clear" w:color="auto" w:fill="auto"/>
                  <w:vAlign w:val="center"/>
                </w:tcPr>
                <w:p w14:paraId="636748D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op w:val="single" w:color="000000" w:sz="12" w:space="0"/>
                    <w:tl2br w:val="nil"/>
                    <w:tr2bl w:val="nil"/>
                  </w:tcBorders>
                  <w:shd w:val="clear" w:color="auto" w:fill="auto"/>
                  <w:vAlign w:val="center"/>
                </w:tcPr>
                <w:p w14:paraId="1B33EE7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2500套</w:t>
                  </w:r>
                </w:p>
              </w:tc>
              <w:tc>
                <w:tcPr>
                  <w:tcW w:w="1240" w:type="dxa"/>
                  <w:vMerge w:val="restart"/>
                  <w:tcBorders>
                    <w:top w:val="single" w:color="000000" w:sz="12" w:space="0"/>
                    <w:tl2br w:val="nil"/>
                    <w:tr2bl w:val="nil"/>
                  </w:tcBorders>
                  <w:shd w:val="clear" w:color="auto" w:fill="auto"/>
                  <w:vAlign w:val="center"/>
                </w:tcPr>
                <w:p w14:paraId="0B492A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装配</w:t>
                  </w:r>
                </w:p>
              </w:tc>
            </w:tr>
            <w:tr w14:paraId="44A1E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3D81BF8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897" w:type="dxa"/>
                  <w:tcBorders>
                    <w:tl2br w:val="nil"/>
                    <w:tr2bl w:val="nil"/>
                  </w:tcBorders>
                  <w:shd w:val="clear" w:color="auto" w:fill="auto"/>
                  <w:vAlign w:val="center"/>
                </w:tcPr>
                <w:p w14:paraId="3CD8DD1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螺栓</w:t>
                  </w:r>
                </w:p>
              </w:tc>
              <w:tc>
                <w:tcPr>
                  <w:tcW w:w="2072" w:type="dxa"/>
                  <w:tcBorders>
                    <w:tl2br w:val="nil"/>
                    <w:tr2bl w:val="nil"/>
                  </w:tcBorders>
                  <w:shd w:val="clear" w:color="auto" w:fill="auto"/>
                  <w:vAlign w:val="center"/>
                </w:tcPr>
                <w:p w14:paraId="6B4A0EB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冷墩钢，成分为C：</w:t>
                  </w:r>
                  <w:r>
                    <w:rPr>
                      <w:rFonts w:hint="eastAsia" w:cs="Times New Roman"/>
                      <w:color w:val="auto"/>
                      <w:sz w:val="21"/>
                      <w:szCs w:val="21"/>
                      <w:lang w:val="en-US" w:eastAsia="zh-CN"/>
                    </w:rPr>
                    <w:t>0.18%～0.23%</w:t>
                  </w:r>
                  <w:r>
                    <w:rPr>
                      <w:rFonts w:hint="eastAsia" w:ascii="Times New Roman" w:hAnsi="Times New Roman" w:eastAsia="宋体" w:cs="Times New Roman"/>
                      <w:color w:val="auto"/>
                      <w:sz w:val="21"/>
                      <w:szCs w:val="21"/>
                      <w:lang w:val="en-US" w:eastAsia="zh-CN"/>
                    </w:rPr>
                    <w:t>，Si：0.1%，Mn：</w:t>
                  </w:r>
                  <w:r>
                    <w:rPr>
                      <w:rFonts w:hint="eastAsia" w:cs="Times New Roman"/>
                      <w:color w:val="auto"/>
                      <w:sz w:val="21"/>
                      <w:szCs w:val="21"/>
                      <w:lang w:val="en-US" w:eastAsia="zh-CN"/>
                    </w:rPr>
                    <w:t>0.7%～1%</w:t>
                  </w:r>
                  <w:r>
                    <w:rPr>
                      <w:rFonts w:hint="eastAsia" w:ascii="Times New Roman" w:hAnsi="Times New Roman" w:eastAsia="宋体" w:cs="Times New Roman"/>
                      <w:color w:val="auto"/>
                      <w:sz w:val="21"/>
                      <w:szCs w:val="21"/>
                      <w:lang w:val="en-US" w:eastAsia="zh-CN"/>
                    </w:rPr>
                    <w:t>，P：0.025%，S：0.025%，Alt：0.02%，Fe：</w:t>
                  </w:r>
                  <w:r>
                    <w:rPr>
                      <w:rFonts w:hint="eastAsia" w:cs="Times New Roman"/>
                      <w:color w:val="auto"/>
                      <w:sz w:val="21"/>
                      <w:szCs w:val="21"/>
                      <w:lang w:val="en-US" w:eastAsia="zh-CN"/>
                    </w:rPr>
                    <w:t>98.6%～98.95%</w:t>
                  </w:r>
                </w:p>
              </w:tc>
              <w:tc>
                <w:tcPr>
                  <w:tcW w:w="488" w:type="dxa"/>
                  <w:tcBorders>
                    <w:tl2br w:val="nil"/>
                    <w:tr2bl w:val="nil"/>
                  </w:tcBorders>
                  <w:shd w:val="clear" w:color="auto" w:fill="auto"/>
                  <w:vAlign w:val="center"/>
                </w:tcPr>
                <w:p w14:paraId="56DDA80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3DE2268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964" w:type="dxa"/>
                  <w:tcBorders>
                    <w:tl2br w:val="nil"/>
                    <w:tr2bl w:val="nil"/>
                  </w:tcBorders>
                  <w:shd w:val="clear" w:color="auto" w:fill="auto"/>
                  <w:vAlign w:val="center"/>
                </w:tcPr>
                <w:p w14:paraId="4A8CCB9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万</w:t>
                  </w:r>
                </w:p>
                <w:p w14:paraId="2733AD9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套/a</w:t>
                  </w:r>
                </w:p>
              </w:tc>
              <w:tc>
                <w:tcPr>
                  <w:tcW w:w="1050" w:type="dxa"/>
                  <w:tcBorders>
                    <w:tl2br w:val="nil"/>
                    <w:tr2bl w:val="nil"/>
                  </w:tcBorders>
                  <w:shd w:val="clear" w:color="auto" w:fill="auto"/>
                  <w:vAlign w:val="center"/>
                </w:tcPr>
                <w:p w14:paraId="46DA4FD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1862B7B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2500套</w:t>
                  </w:r>
                </w:p>
              </w:tc>
              <w:tc>
                <w:tcPr>
                  <w:tcW w:w="1240" w:type="dxa"/>
                  <w:vMerge w:val="continue"/>
                  <w:tcBorders>
                    <w:tl2br w:val="nil"/>
                    <w:tr2bl w:val="nil"/>
                  </w:tcBorders>
                  <w:shd w:val="clear" w:color="auto" w:fill="auto"/>
                  <w:vAlign w:val="center"/>
                </w:tcPr>
                <w:p w14:paraId="0AD2123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621B9E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37ED4B3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897" w:type="dxa"/>
                  <w:tcBorders>
                    <w:tl2br w:val="nil"/>
                    <w:tr2bl w:val="nil"/>
                  </w:tcBorders>
                  <w:shd w:val="clear" w:color="auto" w:fill="auto"/>
                  <w:vAlign w:val="center"/>
                </w:tcPr>
                <w:p w14:paraId="3CB7BF6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焊丝</w:t>
                  </w:r>
                </w:p>
              </w:tc>
              <w:tc>
                <w:tcPr>
                  <w:tcW w:w="2072" w:type="dxa"/>
                  <w:tcBorders>
                    <w:tl2br w:val="nil"/>
                    <w:tr2bl w:val="nil"/>
                  </w:tcBorders>
                  <w:shd w:val="clear" w:color="auto" w:fill="auto"/>
                  <w:vAlign w:val="center"/>
                </w:tcPr>
                <w:p w14:paraId="635852E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w:t>
                  </w:r>
                  <w:r>
                    <w:rPr>
                      <w:rFonts w:hint="eastAsia" w:cs="Times New Roman"/>
                      <w:color w:val="auto"/>
                      <w:sz w:val="21"/>
                      <w:szCs w:val="21"/>
                      <w:lang w:val="en-US" w:eastAsia="zh-CN"/>
                    </w:rPr>
                    <w:t>:0.06%~0.15%,</w:t>
                  </w:r>
                </w:p>
                <w:p w14:paraId="5E4F33E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Si</w:t>
                  </w:r>
                  <w:r>
                    <w:rPr>
                      <w:rFonts w:hint="eastAsia" w:cs="Times New Roman"/>
                      <w:color w:val="auto"/>
                      <w:sz w:val="21"/>
                      <w:szCs w:val="21"/>
                      <w:lang w:val="en-US" w:eastAsia="zh-CN"/>
                    </w:rPr>
                    <w:t>:0.7%~0.95%,</w:t>
                  </w:r>
                </w:p>
                <w:p w14:paraId="44F1143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Mn</w:t>
                  </w:r>
                  <w:r>
                    <w:rPr>
                      <w:rFonts w:hint="eastAsia" w:cs="Times New Roman"/>
                      <w:color w:val="auto"/>
                      <w:sz w:val="21"/>
                      <w:szCs w:val="21"/>
                      <w:lang w:val="en-US" w:eastAsia="zh-CN"/>
                    </w:rPr>
                    <w:t>:1.8%~2.1%,</w:t>
                  </w:r>
                </w:p>
                <w:p w14:paraId="709E4C3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S≤0.03%</w:t>
                  </w:r>
                  <w:r>
                    <w:rPr>
                      <w:rFonts w:hint="eastAsia" w:cs="Times New Roman"/>
                      <w:color w:val="auto"/>
                      <w:sz w:val="21"/>
                      <w:szCs w:val="21"/>
                      <w:lang w:val="en-US" w:eastAsia="zh-CN"/>
                    </w:rPr>
                    <w:t>,</w:t>
                  </w:r>
                </w:p>
                <w:p w14:paraId="43C5BBE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P≤0.035%</w:t>
                  </w:r>
                  <w:r>
                    <w:rPr>
                      <w:rFonts w:hint="eastAsia" w:cs="Times New Roman"/>
                      <w:color w:val="auto"/>
                      <w:sz w:val="21"/>
                      <w:szCs w:val="21"/>
                      <w:lang w:val="en-US" w:eastAsia="zh-CN"/>
                    </w:rPr>
                    <w:t>,</w:t>
                  </w:r>
                </w:p>
                <w:p w14:paraId="3EE6A4C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Cr≤0.02%</w:t>
                  </w:r>
                </w:p>
              </w:tc>
              <w:tc>
                <w:tcPr>
                  <w:tcW w:w="488" w:type="dxa"/>
                  <w:tcBorders>
                    <w:tl2br w:val="nil"/>
                    <w:tr2bl w:val="nil"/>
                  </w:tcBorders>
                  <w:shd w:val="clear" w:color="auto" w:fill="auto"/>
                  <w:vAlign w:val="center"/>
                </w:tcPr>
                <w:p w14:paraId="6DC387A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75DD843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964" w:type="dxa"/>
                  <w:tcBorders>
                    <w:tl2br w:val="nil"/>
                    <w:tr2bl w:val="nil"/>
                  </w:tcBorders>
                  <w:shd w:val="clear" w:color="auto" w:fill="auto"/>
                  <w:vAlign w:val="center"/>
                </w:tcPr>
                <w:p w14:paraId="0C467C9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20t/a</w:t>
                  </w:r>
                </w:p>
              </w:tc>
              <w:tc>
                <w:tcPr>
                  <w:tcW w:w="1050" w:type="dxa"/>
                  <w:tcBorders>
                    <w:tl2br w:val="nil"/>
                    <w:tr2bl w:val="nil"/>
                  </w:tcBorders>
                  <w:shd w:val="clear" w:color="auto" w:fill="auto"/>
                  <w:vAlign w:val="center"/>
                </w:tcPr>
                <w:p w14:paraId="132D8F8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71CE427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2t</w:t>
                  </w:r>
                </w:p>
              </w:tc>
              <w:tc>
                <w:tcPr>
                  <w:tcW w:w="1240" w:type="dxa"/>
                  <w:vMerge w:val="restart"/>
                  <w:tcBorders>
                    <w:tl2br w:val="nil"/>
                    <w:tr2bl w:val="nil"/>
                  </w:tcBorders>
                  <w:shd w:val="clear" w:color="auto" w:fill="auto"/>
                  <w:vAlign w:val="center"/>
                </w:tcPr>
                <w:p w14:paraId="0FB1234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焊接</w:t>
                  </w:r>
                </w:p>
              </w:tc>
            </w:tr>
            <w:tr w14:paraId="512BB9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21F138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897" w:type="dxa"/>
                  <w:tcBorders>
                    <w:tl2br w:val="nil"/>
                    <w:tr2bl w:val="nil"/>
                  </w:tcBorders>
                  <w:shd w:val="clear" w:color="auto" w:fill="auto"/>
                  <w:vAlign w:val="center"/>
                </w:tcPr>
                <w:p w14:paraId="2784CB0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w:t>
                  </w:r>
                  <w:r>
                    <w:rPr>
                      <w:rFonts w:hint="eastAsia" w:ascii="Times New Roman" w:hAnsi="Times New Roman" w:eastAsia="宋体" w:cs="Times New Roman"/>
                      <w:color w:val="auto"/>
                      <w:sz w:val="21"/>
                      <w:szCs w:val="21"/>
                      <w:vertAlign w:val="subscript"/>
                      <w:lang w:val="en-US" w:eastAsia="zh-CN"/>
                    </w:rPr>
                    <w:t>2</w:t>
                  </w:r>
                </w:p>
              </w:tc>
              <w:tc>
                <w:tcPr>
                  <w:tcW w:w="2072" w:type="dxa"/>
                  <w:tcBorders>
                    <w:tl2br w:val="nil"/>
                    <w:tr2bl w:val="nil"/>
                  </w:tcBorders>
                  <w:shd w:val="clear" w:color="auto" w:fill="auto"/>
                  <w:vAlign w:val="center"/>
                </w:tcPr>
                <w:p w14:paraId="2E31F4E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w:t>
                  </w:r>
                  <w:r>
                    <w:rPr>
                      <w:rFonts w:hint="eastAsia" w:ascii="Times New Roman" w:hAnsi="Times New Roman" w:eastAsia="宋体" w:cs="Times New Roman"/>
                      <w:color w:val="auto"/>
                      <w:sz w:val="21"/>
                      <w:szCs w:val="21"/>
                      <w:vertAlign w:val="subscript"/>
                      <w:lang w:val="en-US" w:eastAsia="zh-CN"/>
                    </w:rPr>
                    <w:t>2</w:t>
                  </w:r>
                </w:p>
              </w:tc>
              <w:tc>
                <w:tcPr>
                  <w:tcW w:w="488" w:type="dxa"/>
                  <w:tcBorders>
                    <w:tl2br w:val="nil"/>
                    <w:tr2bl w:val="nil"/>
                  </w:tcBorders>
                  <w:shd w:val="clear" w:color="auto" w:fill="auto"/>
                  <w:vAlign w:val="center"/>
                </w:tcPr>
                <w:p w14:paraId="5D89A4F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5354DAA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钢瓶</w:t>
                  </w:r>
                </w:p>
              </w:tc>
              <w:tc>
                <w:tcPr>
                  <w:tcW w:w="964" w:type="dxa"/>
                  <w:tcBorders>
                    <w:tl2br w:val="nil"/>
                    <w:tr2bl w:val="nil"/>
                  </w:tcBorders>
                  <w:shd w:val="clear" w:color="auto" w:fill="auto"/>
                  <w:vAlign w:val="center"/>
                </w:tcPr>
                <w:p w14:paraId="45B54C3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r>
                    <w:rPr>
                      <w:rFonts w:hint="eastAsia" w:ascii="Times New Roman" w:hAnsi="Times New Roman" w:eastAsia="宋体" w:cs="Times New Roman"/>
                      <w:color w:val="auto"/>
                      <w:sz w:val="21"/>
                      <w:szCs w:val="21"/>
                      <w:lang w:val="en-US" w:eastAsia="zh-CN"/>
                    </w:rPr>
                    <w:t>t/a</w:t>
                  </w:r>
                </w:p>
              </w:tc>
              <w:tc>
                <w:tcPr>
                  <w:tcW w:w="1050" w:type="dxa"/>
                  <w:tcBorders>
                    <w:tl2br w:val="nil"/>
                    <w:tr2bl w:val="nil"/>
                  </w:tcBorders>
                  <w:shd w:val="clear" w:color="auto" w:fill="auto"/>
                  <w:vAlign w:val="center"/>
                </w:tcPr>
                <w:p w14:paraId="6C2FEA3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60852DF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2t</w:t>
                  </w:r>
                </w:p>
              </w:tc>
              <w:tc>
                <w:tcPr>
                  <w:tcW w:w="1240" w:type="dxa"/>
                  <w:vMerge w:val="continue"/>
                  <w:tcBorders>
                    <w:tl2br w:val="nil"/>
                    <w:tr2bl w:val="nil"/>
                  </w:tcBorders>
                  <w:shd w:val="clear" w:color="auto" w:fill="auto"/>
                  <w:vAlign w:val="center"/>
                </w:tcPr>
                <w:p w14:paraId="10364AB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0D4931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468E41E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897" w:type="dxa"/>
                  <w:tcBorders>
                    <w:tl2br w:val="nil"/>
                    <w:tr2bl w:val="nil"/>
                  </w:tcBorders>
                  <w:shd w:val="clear" w:color="auto" w:fill="auto"/>
                  <w:vAlign w:val="center"/>
                </w:tcPr>
                <w:p w14:paraId="0E87594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脱脂</w:t>
                  </w:r>
                  <w:r>
                    <w:rPr>
                      <w:rFonts w:hint="eastAsia" w:cs="Times New Roman"/>
                      <w:color w:val="auto"/>
                      <w:sz w:val="21"/>
                      <w:szCs w:val="21"/>
                      <w:lang w:val="en-US" w:eastAsia="zh-CN"/>
                    </w:rPr>
                    <w:t>剂</w:t>
                  </w:r>
                </w:p>
              </w:tc>
              <w:tc>
                <w:tcPr>
                  <w:tcW w:w="2072" w:type="dxa"/>
                  <w:tcBorders>
                    <w:tl2br w:val="nil"/>
                    <w:tr2bl w:val="nil"/>
                  </w:tcBorders>
                  <w:shd w:val="clear" w:color="auto" w:fill="auto"/>
                  <w:vAlign w:val="center"/>
                </w:tcPr>
                <w:p w14:paraId="209AA43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偏硅酸钠30%、</w:t>
                  </w:r>
                </w:p>
                <w:p w14:paraId="57E3E08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碳酸钠60%、非</w:t>
                  </w:r>
                </w:p>
                <w:p w14:paraId="760A7C4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离子表面活性</w:t>
                  </w:r>
                </w:p>
                <w:p w14:paraId="73DF5F4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剂10%</w:t>
                  </w:r>
                </w:p>
              </w:tc>
              <w:tc>
                <w:tcPr>
                  <w:tcW w:w="488" w:type="dxa"/>
                  <w:tcBorders>
                    <w:tl2br w:val="nil"/>
                    <w:tr2bl w:val="nil"/>
                  </w:tcBorders>
                  <w:shd w:val="clear" w:color="auto" w:fill="auto"/>
                  <w:vAlign w:val="center"/>
                </w:tcPr>
                <w:p w14:paraId="2441B11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38AB21C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964" w:type="dxa"/>
                  <w:tcBorders>
                    <w:tl2br w:val="nil"/>
                    <w:tr2bl w:val="nil"/>
                  </w:tcBorders>
                  <w:shd w:val="clear" w:color="auto" w:fill="auto"/>
                  <w:vAlign w:val="center"/>
                </w:tcPr>
                <w:p w14:paraId="311C53A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5t/a</w:t>
                  </w:r>
                </w:p>
              </w:tc>
              <w:tc>
                <w:tcPr>
                  <w:tcW w:w="1050" w:type="dxa"/>
                  <w:tcBorders>
                    <w:tl2br w:val="nil"/>
                    <w:tr2bl w:val="nil"/>
                  </w:tcBorders>
                  <w:shd w:val="clear" w:color="auto" w:fill="auto"/>
                  <w:vAlign w:val="center"/>
                </w:tcPr>
                <w:p w14:paraId="6D24A89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0EB45A9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1240" w:type="dxa"/>
                  <w:tcBorders>
                    <w:tl2br w:val="nil"/>
                    <w:tr2bl w:val="nil"/>
                  </w:tcBorders>
                  <w:shd w:val="clear" w:color="auto" w:fill="auto"/>
                  <w:vAlign w:val="center"/>
                </w:tcPr>
                <w:p w14:paraId="6FC0436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脱脂</w:t>
                  </w:r>
                </w:p>
              </w:tc>
            </w:tr>
            <w:tr w14:paraId="26A8B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410D73B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97" w:type="dxa"/>
                  <w:tcBorders>
                    <w:tl2br w:val="nil"/>
                    <w:tr2bl w:val="nil"/>
                  </w:tcBorders>
                  <w:shd w:val="clear" w:color="auto" w:fill="auto"/>
                  <w:vAlign w:val="center"/>
                </w:tcPr>
                <w:p w14:paraId="1A10101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无磷皮膜剂</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陶化剂</w:t>
                  </w:r>
                  <w:r>
                    <w:rPr>
                      <w:rFonts w:hint="eastAsia" w:cs="Times New Roman"/>
                      <w:color w:val="auto"/>
                      <w:sz w:val="21"/>
                      <w:szCs w:val="21"/>
                      <w:highlight w:val="none"/>
                      <w:lang w:val="en-US" w:eastAsia="zh-CN"/>
                    </w:rPr>
                    <w:t>）</w:t>
                  </w:r>
                </w:p>
              </w:tc>
              <w:tc>
                <w:tcPr>
                  <w:tcW w:w="2072" w:type="dxa"/>
                  <w:tcBorders>
                    <w:tl2br w:val="nil"/>
                    <w:tr2bl w:val="nil"/>
                  </w:tcBorders>
                  <w:shd w:val="clear" w:color="auto" w:fill="auto"/>
                  <w:vAlign w:val="center"/>
                </w:tcPr>
                <w:p w14:paraId="4BE2AA0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r-缩水甘油醚氧丙基三甲氧基硅烷6</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p w14:paraId="11B1173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碳酸钠0.1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p>
                <w:p w14:paraId="005E7E7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硅酸钠3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p w14:paraId="0A3EC53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纳米二氧化硅10</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488" w:type="dxa"/>
                  <w:tcBorders>
                    <w:tl2br w:val="nil"/>
                    <w:tr2bl w:val="nil"/>
                  </w:tcBorders>
                  <w:shd w:val="clear" w:color="auto" w:fill="auto"/>
                  <w:vAlign w:val="center"/>
                </w:tcPr>
                <w:p w14:paraId="391CE1E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02699E8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964" w:type="dxa"/>
                  <w:tcBorders>
                    <w:tl2br w:val="nil"/>
                    <w:tr2bl w:val="nil"/>
                  </w:tcBorders>
                  <w:shd w:val="clear" w:color="auto" w:fill="auto"/>
                  <w:vAlign w:val="center"/>
                </w:tcPr>
                <w:p w14:paraId="2892648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3t/a</w:t>
                  </w:r>
                </w:p>
              </w:tc>
              <w:tc>
                <w:tcPr>
                  <w:tcW w:w="1050" w:type="dxa"/>
                  <w:tcBorders>
                    <w:tl2br w:val="nil"/>
                    <w:tr2bl w:val="nil"/>
                  </w:tcBorders>
                  <w:shd w:val="clear" w:color="auto" w:fill="auto"/>
                  <w:vAlign w:val="center"/>
                </w:tcPr>
                <w:p w14:paraId="3866D16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638731C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0.5t</w:t>
                  </w:r>
                </w:p>
              </w:tc>
              <w:tc>
                <w:tcPr>
                  <w:tcW w:w="1240" w:type="dxa"/>
                  <w:tcBorders>
                    <w:tl2br w:val="nil"/>
                    <w:tr2bl w:val="nil"/>
                  </w:tcBorders>
                  <w:shd w:val="clear" w:color="auto" w:fill="auto"/>
                  <w:vAlign w:val="center"/>
                </w:tcPr>
                <w:p w14:paraId="1AFAD12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硅烷</w:t>
                  </w:r>
                </w:p>
              </w:tc>
            </w:tr>
            <w:tr w14:paraId="3F0344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6FD38EB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97" w:type="dxa"/>
                  <w:tcBorders>
                    <w:tl2br w:val="nil"/>
                    <w:tr2bl w:val="nil"/>
                  </w:tcBorders>
                  <w:shd w:val="clear" w:color="auto" w:fill="auto"/>
                  <w:vAlign w:val="center"/>
                </w:tcPr>
                <w:p w14:paraId="6D00BEB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CS9200乳液阴极电泳涂料</w:t>
                  </w:r>
                  <w:r>
                    <w:rPr>
                      <w:rFonts w:hint="eastAsia" w:cs="Times New Roman"/>
                      <w:color w:val="auto"/>
                      <w:sz w:val="21"/>
                      <w:szCs w:val="21"/>
                      <w:lang w:val="en-US" w:eastAsia="zh-CN"/>
                    </w:rPr>
                    <w:t>（巴德富）</w:t>
                  </w:r>
                </w:p>
              </w:tc>
              <w:tc>
                <w:tcPr>
                  <w:tcW w:w="2072" w:type="dxa"/>
                  <w:tcBorders>
                    <w:tl2br w:val="nil"/>
                    <w:tr2bl w:val="nil"/>
                  </w:tcBorders>
                  <w:shd w:val="clear" w:color="auto" w:fill="auto"/>
                  <w:vAlign w:val="center"/>
                </w:tcPr>
                <w:p w14:paraId="5806F48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环氧树脂30%、聚氨酯交联剂10%、聚酰胺</w:t>
                  </w:r>
                </w:p>
                <w:p w14:paraId="4C73D53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10%、去离子水45.4%、乙酸0.6%、混合溶剂</w:t>
                  </w:r>
                </w:p>
                <w:p w14:paraId="06C072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88" w:type="dxa"/>
                  <w:tcBorders>
                    <w:tl2br w:val="nil"/>
                    <w:tr2bl w:val="nil"/>
                  </w:tcBorders>
                  <w:shd w:val="clear" w:color="auto" w:fill="auto"/>
                  <w:vAlign w:val="center"/>
                </w:tcPr>
                <w:p w14:paraId="432BFCC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0656E4C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250kg/桶</w:t>
                  </w:r>
                </w:p>
              </w:tc>
              <w:tc>
                <w:tcPr>
                  <w:tcW w:w="964" w:type="dxa"/>
                  <w:tcBorders>
                    <w:tl2br w:val="nil"/>
                    <w:tr2bl w:val="nil"/>
                  </w:tcBorders>
                  <w:shd w:val="clear" w:color="auto" w:fill="auto"/>
                  <w:vAlign w:val="center"/>
                </w:tcPr>
                <w:p w14:paraId="45EF739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13.5t/a</w:t>
                  </w:r>
                </w:p>
              </w:tc>
              <w:tc>
                <w:tcPr>
                  <w:tcW w:w="1050" w:type="dxa"/>
                  <w:tcBorders>
                    <w:tl2br w:val="nil"/>
                    <w:tr2bl w:val="nil"/>
                  </w:tcBorders>
                  <w:shd w:val="clear" w:color="auto" w:fill="auto"/>
                  <w:vAlign w:val="center"/>
                </w:tcPr>
                <w:p w14:paraId="1F9164E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7BF3DC2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 t</w:t>
                  </w:r>
                </w:p>
              </w:tc>
              <w:tc>
                <w:tcPr>
                  <w:tcW w:w="1240" w:type="dxa"/>
                  <w:vMerge w:val="restart"/>
                  <w:tcBorders>
                    <w:tl2br w:val="nil"/>
                    <w:tr2bl w:val="nil"/>
                  </w:tcBorders>
                  <w:shd w:val="clear" w:color="auto" w:fill="auto"/>
                  <w:vAlign w:val="center"/>
                </w:tcPr>
                <w:p w14:paraId="62CE864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阴极电泳</w:t>
                  </w:r>
                </w:p>
              </w:tc>
            </w:tr>
            <w:tr w14:paraId="44D4F0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2B59D9B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897" w:type="dxa"/>
                  <w:tcBorders>
                    <w:tl2br w:val="nil"/>
                    <w:tr2bl w:val="nil"/>
                  </w:tcBorders>
                  <w:shd w:val="clear" w:color="auto" w:fill="auto"/>
                  <w:vAlign w:val="center"/>
                </w:tcPr>
                <w:p w14:paraId="520B6D7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CS200黑浆阴极电泳涂料</w:t>
                  </w:r>
                  <w:r>
                    <w:rPr>
                      <w:rFonts w:hint="eastAsia" w:cs="Times New Roman"/>
                      <w:color w:val="auto"/>
                      <w:sz w:val="21"/>
                      <w:szCs w:val="21"/>
                      <w:lang w:val="en-US" w:eastAsia="zh-CN"/>
                    </w:rPr>
                    <w:t>（巴德富）</w:t>
                  </w:r>
                </w:p>
              </w:tc>
              <w:tc>
                <w:tcPr>
                  <w:tcW w:w="2072" w:type="dxa"/>
                  <w:tcBorders>
                    <w:tl2br w:val="nil"/>
                    <w:tr2bl w:val="nil"/>
                  </w:tcBorders>
                  <w:shd w:val="clear" w:color="auto" w:fill="auto"/>
                  <w:vAlign w:val="center"/>
                </w:tcPr>
                <w:p w14:paraId="0A0F592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环氧树脂30%、高岭土15%、炭黑8%、去离子水38%、乙酸1%、混合溶剂8%</w:t>
                  </w:r>
                </w:p>
              </w:tc>
              <w:tc>
                <w:tcPr>
                  <w:tcW w:w="488" w:type="dxa"/>
                  <w:tcBorders>
                    <w:tl2br w:val="nil"/>
                    <w:tr2bl w:val="nil"/>
                  </w:tcBorders>
                  <w:shd w:val="clear" w:color="auto" w:fill="auto"/>
                  <w:vAlign w:val="center"/>
                </w:tcPr>
                <w:p w14:paraId="343EEEB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7F5D3DA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250kg/桶</w:t>
                  </w:r>
                </w:p>
              </w:tc>
              <w:tc>
                <w:tcPr>
                  <w:tcW w:w="964" w:type="dxa"/>
                  <w:tcBorders>
                    <w:tl2br w:val="nil"/>
                    <w:tr2bl w:val="nil"/>
                  </w:tcBorders>
                  <w:shd w:val="clear" w:color="auto" w:fill="auto"/>
                  <w:vAlign w:val="center"/>
                </w:tcPr>
                <w:p w14:paraId="6A48949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2.1t/a</w:t>
                  </w:r>
                </w:p>
              </w:tc>
              <w:tc>
                <w:tcPr>
                  <w:tcW w:w="1050" w:type="dxa"/>
                  <w:tcBorders>
                    <w:tl2br w:val="nil"/>
                    <w:tr2bl w:val="nil"/>
                  </w:tcBorders>
                  <w:shd w:val="clear" w:color="auto" w:fill="auto"/>
                  <w:vAlign w:val="center"/>
                </w:tcPr>
                <w:p w14:paraId="54AC0ED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787C9C9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 t</w:t>
                  </w:r>
                </w:p>
              </w:tc>
              <w:tc>
                <w:tcPr>
                  <w:tcW w:w="1240" w:type="dxa"/>
                  <w:vMerge w:val="continue"/>
                  <w:tcBorders>
                    <w:tl2br w:val="nil"/>
                    <w:tr2bl w:val="nil"/>
                  </w:tcBorders>
                  <w:shd w:val="clear" w:color="auto" w:fill="auto"/>
                  <w:vAlign w:val="center"/>
                </w:tcPr>
                <w:p w14:paraId="21B8FF6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446C1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06F9FC1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897" w:type="dxa"/>
                  <w:tcBorders>
                    <w:tl2br w:val="nil"/>
                    <w:tr2bl w:val="nil"/>
                  </w:tcBorders>
                  <w:shd w:val="clear" w:color="auto" w:fill="auto"/>
                  <w:vAlign w:val="center"/>
                </w:tcPr>
                <w:p w14:paraId="173657B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CS11</w:t>
                  </w:r>
                  <w:r>
                    <w:rPr>
                      <w:rFonts w:hint="eastAsia" w:ascii="Times New Roman" w:hAnsi="Times New Roman" w:eastAsia="宋体" w:cs="Times New Roman"/>
                      <w:color w:val="auto"/>
                      <w:sz w:val="21"/>
                      <w:szCs w:val="21"/>
                      <w:lang w:val="en-US" w:eastAsia="zh-CN"/>
                    </w:rPr>
                    <w:t>助剂</w:t>
                  </w:r>
                  <w:r>
                    <w:rPr>
                      <w:rFonts w:hint="eastAsia" w:cs="Times New Roman"/>
                      <w:color w:val="auto"/>
                      <w:sz w:val="21"/>
                      <w:szCs w:val="21"/>
                      <w:lang w:val="en-US" w:eastAsia="zh-CN"/>
                    </w:rPr>
                    <w:t>（巴德富）</w:t>
                  </w:r>
                </w:p>
              </w:tc>
              <w:tc>
                <w:tcPr>
                  <w:tcW w:w="2072" w:type="dxa"/>
                  <w:tcBorders>
                    <w:tl2br w:val="nil"/>
                    <w:tr2bl w:val="nil"/>
                  </w:tcBorders>
                  <w:shd w:val="clear" w:color="auto" w:fill="auto"/>
                  <w:vAlign w:val="center"/>
                </w:tcPr>
                <w:p w14:paraId="104FCAE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乙二醇丁醚45%、丙二醇苯醚8%、去离子水47%</w:t>
                  </w:r>
                </w:p>
              </w:tc>
              <w:tc>
                <w:tcPr>
                  <w:tcW w:w="488" w:type="dxa"/>
                  <w:tcBorders>
                    <w:tl2br w:val="nil"/>
                    <w:tr2bl w:val="nil"/>
                  </w:tcBorders>
                  <w:shd w:val="clear" w:color="auto" w:fill="auto"/>
                  <w:vAlign w:val="center"/>
                </w:tcPr>
                <w:p w14:paraId="1FADFB1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0B6B006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964" w:type="dxa"/>
                  <w:tcBorders>
                    <w:tl2br w:val="nil"/>
                    <w:tr2bl w:val="nil"/>
                  </w:tcBorders>
                  <w:shd w:val="clear" w:color="auto" w:fill="auto"/>
                  <w:vAlign w:val="center"/>
                </w:tcPr>
                <w:p w14:paraId="78D2E85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0.18t/a</w:t>
                  </w:r>
                </w:p>
              </w:tc>
              <w:tc>
                <w:tcPr>
                  <w:tcW w:w="1050" w:type="dxa"/>
                  <w:tcBorders>
                    <w:tl2br w:val="nil"/>
                    <w:tr2bl w:val="nil"/>
                  </w:tcBorders>
                  <w:shd w:val="clear" w:color="auto" w:fill="auto"/>
                  <w:vAlign w:val="center"/>
                </w:tcPr>
                <w:p w14:paraId="79DCE13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239253A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w:t>
                  </w:r>
                </w:p>
              </w:tc>
              <w:tc>
                <w:tcPr>
                  <w:tcW w:w="1240" w:type="dxa"/>
                  <w:vMerge w:val="continue"/>
                  <w:tcBorders>
                    <w:tl2br w:val="nil"/>
                    <w:tr2bl w:val="nil"/>
                  </w:tcBorders>
                  <w:shd w:val="clear" w:color="auto" w:fill="auto"/>
                  <w:vAlign w:val="center"/>
                </w:tcPr>
                <w:p w14:paraId="4984CF4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27BC0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332F52C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97" w:type="dxa"/>
                  <w:tcBorders>
                    <w:tl2br w:val="nil"/>
                    <w:tr2bl w:val="nil"/>
                  </w:tcBorders>
                  <w:shd w:val="clear" w:color="auto" w:fill="auto"/>
                  <w:vAlign w:val="center"/>
                </w:tcPr>
                <w:p w14:paraId="22E0B20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CS20</w:t>
                  </w:r>
                  <w:r>
                    <w:rPr>
                      <w:rFonts w:hint="eastAsia" w:ascii="Times New Roman" w:hAnsi="Times New Roman" w:eastAsia="宋体" w:cs="Times New Roman"/>
                      <w:color w:val="auto"/>
                      <w:sz w:val="21"/>
                      <w:szCs w:val="21"/>
                      <w:lang w:val="en-US" w:eastAsia="zh-CN"/>
                    </w:rPr>
                    <w:t>中和剂</w:t>
                  </w:r>
                  <w:r>
                    <w:rPr>
                      <w:rFonts w:hint="eastAsia" w:cs="Times New Roman"/>
                      <w:color w:val="auto"/>
                      <w:sz w:val="21"/>
                      <w:szCs w:val="21"/>
                      <w:lang w:val="en-US" w:eastAsia="zh-CN"/>
                    </w:rPr>
                    <w:t>（巴德富）</w:t>
                  </w:r>
                </w:p>
              </w:tc>
              <w:tc>
                <w:tcPr>
                  <w:tcW w:w="2072" w:type="dxa"/>
                  <w:tcBorders>
                    <w:tl2br w:val="nil"/>
                    <w:tr2bl w:val="nil"/>
                  </w:tcBorders>
                  <w:shd w:val="clear" w:color="auto" w:fill="auto"/>
                  <w:vAlign w:val="center"/>
                </w:tcPr>
                <w:p w14:paraId="1FB8347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去离子水70%、</w:t>
                  </w:r>
                </w:p>
                <w:p w14:paraId="6F0B041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乙酸30%</w:t>
                  </w:r>
                </w:p>
              </w:tc>
              <w:tc>
                <w:tcPr>
                  <w:tcW w:w="488" w:type="dxa"/>
                  <w:tcBorders>
                    <w:tl2br w:val="nil"/>
                    <w:tr2bl w:val="nil"/>
                  </w:tcBorders>
                  <w:shd w:val="clear" w:color="auto" w:fill="auto"/>
                  <w:vAlign w:val="center"/>
                </w:tcPr>
                <w:p w14:paraId="79DA9DF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555D845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964" w:type="dxa"/>
                  <w:tcBorders>
                    <w:tl2br w:val="nil"/>
                    <w:tr2bl w:val="nil"/>
                  </w:tcBorders>
                  <w:shd w:val="clear" w:color="auto" w:fill="auto"/>
                  <w:vAlign w:val="center"/>
                </w:tcPr>
                <w:p w14:paraId="37D6C8C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0.12t/a</w:t>
                  </w:r>
                </w:p>
              </w:tc>
              <w:tc>
                <w:tcPr>
                  <w:tcW w:w="1050" w:type="dxa"/>
                  <w:tcBorders>
                    <w:tl2br w:val="nil"/>
                    <w:tr2bl w:val="nil"/>
                  </w:tcBorders>
                  <w:shd w:val="clear" w:color="auto" w:fill="auto"/>
                  <w:vAlign w:val="center"/>
                </w:tcPr>
                <w:p w14:paraId="59A5D95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16CD887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 t</w:t>
                  </w:r>
                </w:p>
              </w:tc>
              <w:tc>
                <w:tcPr>
                  <w:tcW w:w="1240" w:type="dxa"/>
                  <w:vMerge w:val="continue"/>
                  <w:tcBorders>
                    <w:tl2br w:val="nil"/>
                    <w:tr2bl w:val="nil"/>
                  </w:tcBorders>
                  <w:shd w:val="clear" w:color="auto" w:fill="auto"/>
                  <w:vAlign w:val="center"/>
                </w:tcPr>
                <w:p w14:paraId="621F0D0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5CF42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1CFA900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97" w:type="dxa"/>
                  <w:tcBorders>
                    <w:tl2br w:val="nil"/>
                    <w:tr2bl w:val="nil"/>
                  </w:tcBorders>
                  <w:shd w:val="clear" w:color="auto" w:fill="auto"/>
                  <w:vAlign w:val="center"/>
                </w:tcPr>
                <w:p w14:paraId="743F515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w:t>
                  </w:r>
                </w:p>
              </w:tc>
              <w:tc>
                <w:tcPr>
                  <w:tcW w:w="2072" w:type="dxa"/>
                  <w:tcBorders>
                    <w:tl2br w:val="nil"/>
                    <w:tr2bl w:val="nil"/>
                  </w:tcBorders>
                  <w:shd w:val="clear" w:color="auto" w:fill="auto"/>
                  <w:vAlign w:val="center"/>
                </w:tcPr>
                <w:p w14:paraId="5A115F8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88" w:type="dxa"/>
                  <w:tcBorders>
                    <w:tl2br w:val="nil"/>
                    <w:tr2bl w:val="nil"/>
                  </w:tcBorders>
                  <w:shd w:val="clear" w:color="auto" w:fill="auto"/>
                  <w:vAlign w:val="center"/>
                </w:tcPr>
                <w:p w14:paraId="6EC986A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气态</w:t>
                  </w:r>
                </w:p>
              </w:tc>
              <w:tc>
                <w:tcPr>
                  <w:tcW w:w="650" w:type="dxa"/>
                  <w:tcBorders>
                    <w:tl2br w:val="nil"/>
                    <w:tr2bl w:val="nil"/>
                  </w:tcBorders>
                  <w:shd w:val="clear" w:color="auto" w:fill="auto"/>
                  <w:vAlign w:val="center"/>
                </w:tcPr>
                <w:p w14:paraId="262287F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4" w:type="dxa"/>
                  <w:tcBorders>
                    <w:tl2br w:val="nil"/>
                    <w:tr2bl w:val="nil"/>
                  </w:tcBorders>
                  <w:shd w:val="clear" w:color="auto" w:fill="auto"/>
                  <w:vAlign w:val="center"/>
                </w:tcPr>
                <w:p w14:paraId="2C92969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w:t>
                  </w:r>
                </w:p>
              </w:tc>
              <w:tc>
                <w:tcPr>
                  <w:tcW w:w="1050" w:type="dxa"/>
                  <w:tcBorders>
                    <w:tl2br w:val="nil"/>
                    <w:tr2bl w:val="nil"/>
                  </w:tcBorders>
                  <w:shd w:val="clear" w:color="auto" w:fill="auto"/>
                  <w:vAlign w:val="center"/>
                </w:tcPr>
                <w:p w14:paraId="3175A57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3" w:type="dxa"/>
                  <w:tcBorders>
                    <w:tl2br w:val="nil"/>
                    <w:tr2bl w:val="nil"/>
                  </w:tcBorders>
                  <w:shd w:val="clear" w:color="auto" w:fill="auto"/>
                  <w:vAlign w:val="center"/>
                </w:tcPr>
                <w:p w14:paraId="4F26AAD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0.001t*</w:t>
                  </w:r>
                </w:p>
              </w:tc>
              <w:tc>
                <w:tcPr>
                  <w:tcW w:w="1240" w:type="dxa"/>
                  <w:tcBorders>
                    <w:tl2br w:val="nil"/>
                    <w:tr2bl w:val="nil"/>
                  </w:tcBorders>
                  <w:shd w:val="clear" w:color="auto" w:fill="auto"/>
                  <w:vAlign w:val="center"/>
                </w:tcPr>
                <w:p w14:paraId="42D5267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燃料</w:t>
                  </w:r>
                </w:p>
              </w:tc>
            </w:tr>
            <w:tr w14:paraId="23BEB0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2327D76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897" w:type="dxa"/>
                  <w:tcBorders>
                    <w:tl2br w:val="nil"/>
                    <w:tr2bl w:val="nil"/>
                  </w:tcBorders>
                  <w:shd w:val="clear" w:color="auto" w:fill="auto"/>
                  <w:vAlign w:val="center"/>
                </w:tcPr>
                <w:p w14:paraId="1A1CFFA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机油</w:t>
                  </w:r>
                </w:p>
              </w:tc>
              <w:tc>
                <w:tcPr>
                  <w:tcW w:w="2072" w:type="dxa"/>
                  <w:tcBorders>
                    <w:tl2br w:val="nil"/>
                    <w:tr2bl w:val="nil"/>
                  </w:tcBorders>
                  <w:shd w:val="clear" w:color="auto" w:fill="auto"/>
                  <w:vAlign w:val="center"/>
                </w:tcPr>
                <w:p w14:paraId="185D208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88" w:type="dxa"/>
                  <w:tcBorders>
                    <w:tl2br w:val="nil"/>
                    <w:tr2bl w:val="nil"/>
                  </w:tcBorders>
                  <w:shd w:val="clear" w:color="auto" w:fill="auto"/>
                  <w:vAlign w:val="center"/>
                </w:tcPr>
                <w:p w14:paraId="5B8AF77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085A8D9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20kg/桶</w:t>
                  </w:r>
                </w:p>
              </w:tc>
              <w:tc>
                <w:tcPr>
                  <w:tcW w:w="964" w:type="dxa"/>
                  <w:tcBorders>
                    <w:tl2br w:val="nil"/>
                    <w:tr2bl w:val="nil"/>
                  </w:tcBorders>
                  <w:shd w:val="clear" w:color="auto" w:fill="auto"/>
                  <w:vAlign w:val="center"/>
                </w:tcPr>
                <w:p w14:paraId="3F4F1AE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0.2t/a</w:t>
                  </w:r>
                </w:p>
              </w:tc>
              <w:tc>
                <w:tcPr>
                  <w:tcW w:w="1050" w:type="dxa"/>
                  <w:tcBorders>
                    <w:tl2br w:val="nil"/>
                    <w:tr2bl w:val="nil"/>
                  </w:tcBorders>
                  <w:shd w:val="clear" w:color="auto" w:fill="auto"/>
                  <w:vAlign w:val="center"/>
                </w:tcPr>
                <w:p w14:paraId="540D227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6CF6B7A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0.02t</w:t>
                  </w:r>
                </w:p>
              </w:tc>
              <w:tc>
                <w:tcPr>
                  <w:tcW w:w="1240" w:type="dxa"/>
                  <w:tcBorders>
                    <w:tl2br w:val="nil"/>
                    <w:tr2bl w:val="nil"/>
                  </w:tcBorders>
                  <w:shd w:val="clear" w:color="auto" w:fill="auto"/>
                  <w:vAlign w:val="center"/>
                </w:tcPr>
                <w:p w14:paraId="5D71334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设备维护、</w:t>
                  </w:r>
                </w:p>
                <w:p w14:paraId="5424BE4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保养</w:t>
                  </w:r>
                </w:p>
              </w:tc>
            </w:tr>
            <w:tr w14:paraId="1C1F2D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7616BBF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897" w:type="dxa"/>
                  <w:tcBorders>
                    <w:tl2br w:val="nil"/>
                    <w:tr2bl w:val="nil"/>
                  </w:tcBorders>
                  <w:shd w:val="clear" w:color="auto" w:fill="auto"/>
                  <w:vAlign w:val="center"/>
                </w:tcPr>
                <w:p w14:paraId="184389C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PAC</w:t>
                  </w:r>
                </w:p>
              </w:tc>
              <w:tc>
                <w:tcPr>
                  <w:tcW w:w="2072" w:type="dxa"/>
                  <w:tcBorders>
                    <w:tl2br w:val="nil"/>
                    <w:tr2bl w:val="nil"/>
                  </w:tcBorders>
                  <w:shd w:val="clear" w:color="auto" w:fill="auto"/>
                  <w:vAlign w:val="center"/>
                </w:tcPr>
                <w:p w14:paraId="229D8DF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聚合氯化铝</w:t>
                  </w:r>
                </w:p>
              </w:tc>
              <w:tc>
                <w:tcPr>
                  <w:tcW w:w="488" w:type="dxa"/>
                  <w:tcBorders>
                    <w:tl2br w:val="nil"/>
                    <w:tr2bl w:val="nil"/>
                  </w:tcBorders>
                  <w:shd w:val="clear" w:color="auto" w:fill="auto"/>
                  <w:vAlign w:val="center"/>
                </w:tcPr>
                <w:p w14:paraId="1B8A601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31383F8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964" w:type="dxa"/>
                  <w:tcBorders>
                    <w:tl2br w:val="nil"/>
                    <w:tr2bl w:val="nil"/>
                  </w:tcBorders>
                  <w:shd w:val="clear" w:color="auto" w:fill="auto"/>
                  <w:vAlign w:val="center"/>
                </w:tcPr>
                <w:p w14:paraId="79DCCCC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0.2t/a</w:t>
                  </w:r>
                </w:p>
              </w:tc>
              <w:tc>
                <w:tcPr>
                  <w:tcW w:w="1050" w:type="dxa"/>
                  <w:tcBorders>
                    <w:tl2br w:val="nil"/>
                    <w:tr2bl w:val="nil"/>
                  </w:tcBorders>
                  <w:shd w:val="clear" w:color="auto" w:fill="auto"/>
                  <w:vAlign w:val="center"/>
                </w:tcPr>
                <w:p w14:paraId="6D47AFB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60715D0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w:t>
                  </w:r>
                </w:p>
              </w:tc>
              <w:tc>
                <w:tcPr>
                  <w:tcW w:w="1240" w:type="dxa"/>
                  <w:tcBorders>
                    <w:tl2br w:val="nil"/>
                    <w:tr2bl w:val="nil"/>
                  </w:tcBorders>
                  <w:shd w:val="clear" w:color="auto" w:fill="auto"/>
                  <w:vAlign w:val="center"/>
                </w:tcPr>
                <w:p w14:paraId="5B147D6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left="0" w:leftChars="0" w:right="0" w:rightChars="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w:t>
                  </w:r>
                </w:p>
              </w:tc>
            </w:tr>
            <w:tr w14:paraId="0A343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11468F0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897" w:type="dxa"/>
                  <w:tcBorders>
                    <w:tl2br w:val="nil"/>
                    <w:tr2bl w:val="nil"/>
                  </w:tcBorders>
                  <w:shd w:val="clear" w:color="auto" w:fill="auto"/>
                  <w:vAlign w:val="center"/>
                </w:tcPr>
                <w:p w14:paraId="335BCED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PAM</w:t>
                  </w:r>
                </w:p>
              </w:tc>
              <w:tc>
                <w:tcPr>
                  <w:tcW w:w="2072" w:type="dxa"/>
                  <w:tcBorders>
                    <w:tl2br w:val="nil"/>
                    <w:tr2bl w:val="nil"/>
                  </w:tcBorders>
                  <w:shd w:val="clear" w:color="auto" w:fill="auto"/>
                  <w:vAlign w:val="center"/>
                </w:tcPr>
                <w:p w14:paraId="0AA89C3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聚丙烯酰胺</w:t>
                  </w:r>
                </w:p>
              </w:tc>
              <w:tc>
                <w:tcPr>
                  <w:tcW w:w="488" w:type="dxa"/>
                  <w:tcBorders>
                    <w:tl2br w:val="nil"/>
                    <w:tr2bl w:val="nil"/>
                  </w:tcBorders>
                  <w:shd w:val="clear" w:color="auto" w:fill="auto"/>
                  <w:vAlign w:val="center"/>
                </w:tcPr>
                <w:p w14:paraId="36F2610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40EE48F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964" w:type="dxa"/>
                  <w:tcBorders>
                    <w:tl2br w:val="nil"/>
                    <w:tr2bl w:val="nil"/>
                  </w:tcBorders>
                  <w:shd w:val="clear" w:color="auto" w:fill="auto"/>
                  <w:vAlign w:val="center"/>
                </w:tcPr>
                <w:p w14:paraId="63E625B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0.01t/a</w:t>
                  </w:r>
                </w:p>
              </w:tc>
              <w:tc>
                <w:tcPr>
                  <w:tcW w:w="1050" w:type="dxa"/>
                  <w:tcBorders>
                    <w:tl2br w:val="nil"/>
                    <w:tr2bl w:val="nil"/>
                  </w:tcBorders>
                  <w:shd w:val="clear" w:color="auto" w:fill="auto"/>
                  <w:vAlign w:val="center"/>
                </w:tcPr>
                <w:p w14:paraId="5AA1FD9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667E857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 t</w:t>
                  </w:r>
                </w:p>
              </w:tc>
              <w:tc>
                <w:tcPr>
                  <w:tcW w:w="1240" w:type="dxa"/>
                  <w:tcBorders>
                    <w:tl2br w:val="nil"/>
                    <w:tr2bl w:val="nil"/>
                  </w:tcBorders>
                  <w:shd w:val="clear" w:color="auto" w:fill="auto"/>
                  <w:vAlign w:val="center"/>
                </w:tcPr>
                <w:p w14:paraId="0FDEDDF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w:t>
                  </w:r>
                </w:p>
              </w:tc>
            </w:tr>
            <w:tr w14:paraId="717CA3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1F2642F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897" w:type="dxa"/>
                  <w:tcBorders>
                    <w:tl2br w:val="nil"/>
                    <w:tr2bl w:val="nil"/>
                  </w:tcBorders>
                  <w:shd w:val="clear" w:color="auto" w:fill="auto"/>
                  <w:vAlign w:val="center"/>
                </w:tcPr>
                <w:p w14:paraId="23F844F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水性环氧酯涂料</w:t>
                  </w:r>
                </w:p>
              </w:tc>
              <w:tc>
                <w:tcPr>
                  <w:tcW w:w="2072" w:type="dxa"/>
                  <w:tcBorders>
                    <w:tl2br w:val="nil"/>
                    <w:tr2bl w:val="nil"/>
                  </w:tcBorders>
                  <w:shd w:val="clear" w:color="auto" w:fill="auto"/>
                  <w:vAlign w:val="center"/>
                </w:tcPr>
                <w:p w14:paraId="014ED39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丙二醇甲醚2%～10%、乙二醇丁醚2%～10%、二甲基乙醇胺1%～2%、环氧酯树脂20%～30%、颜填料30%～40%、去离子水20%～30%</w:t>
                  </w:r>
                </w:p>
              </w:tc>
              <w:tc>
                <w:tcPr>
                  <w:tcW w:w="488" w:type="dxa"/>
                  <w:tcBorders>
                    <w:tl2br w:val="nil"/>
                    <w:tr2bl w:val="nil"/>
                  </w:tcBorders>
                  <w:shd w:val="clear" w:color="auto" w:fill="auto"/>
                  <w:vAlign w:val="center"/>
                </w:tcPr>
                <w:p w14:paraId="61F3FE0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650" w:type="dxa"/>
                  <w:tcBorders>
                    <w:tl2br w:val="nil"/>
                    <w:tr2bl w:val="nil"/>
                  </w:tcBorders>
                  <w:shd w:val="clear" w:color="auto" w:fill="auto"/>
                  <w:vAlign w:val="center"/>
                </w:tcPr>
                <w:p w14:paraId="27858D9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964" w:type="dxa"/>
                  <w:tcBorders>
                    <w:tl2br w:val="nil"/>
                    <w:tr2bl w:val="nil"/>
                  </w:tcBorders>
                  <w:shd w:val="clear" w:color="auto" w:fill="auto"/>
                  <w:vAlign w:val="center"/>
                </w:tcPr>
                <w:p w14:paraId="2A42605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t/a</w:t>
                  </w:r>
                </w:p>
              </w:tc>
              <w:tc>
                <w:tcPr>
                  <w:tcW w:w="1050" w:type="dxa"/>
                  <w:tcBorders>
                    <w:tl2br w:val="nil"/>
                    <w:tr2bl w:val="nil"/>
                  </w:tcBorders>
                  <w:shd w:val="clear" w:color="auto" w:fill="auto"/>
                  <w:vAlign w:val="center"/>
                </w:tcPr>
                <w:p w14:paraId="4688141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370E1C6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2t</w:t>
                  </w:r>
                </w:p>
              </w:tc>
              <w:tc>
                <w:tcPr>
                  <w:tcW w:w="1240" w:type="dxa"/>
                  <w:tcBorders>
                    <w:tl2br w:val="nil"/>
                    <w:tr2bl w:val="nil"/>
                  </w:tcBorders>
                  <w:shd w:val="clear" w:color="auto" w:fill="auto"/>
                  <w:vAlign w:val="center"/>
                </w:tcPr>
                <w:p w14:paraId="268813B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喷漆</w:t>
                  </w:r>
                </w:p>
              </w:tc>
            </w:tr>
            <w:tr w14:paraId="5D855F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554" w:type="dxa"/>
                  <w:tcBorders>
                    <w:tl2br w:val="nil"/>
                    <w:tr2bl w:val="nil"/>
                  </w:tcBorders>
                  <w:shd w:val="clear" w:color="auto" w:fill="auto"/>
                  <w:vAlign w:val="center"/>
                </w:tcPr>
                <w:p w14:paraId="7D87D42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897" w:type="dxa"/>
                  <w:tcBorders>
                    <w:tl2br w:val="nil"/>
                    <w:tr2bl w:val="nil"/>
                  </w:tcBorders>
                  <w:shd w:val="clear" w:color="auto" w:fill="auto"/>
                  <w:vAlign w:val="center"/>
                </w:tcPr>
                <w:p w14:paraId="404D35A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塑料粉末（粉末涂料）</w:t>
                  </w:r>
                </w:p>
              </w:tc>
              <w:tc>
                <w:tcPr>
                  <w:tcW w:w="2072" w:type="dxa"/>
                  <w:tcBorders>
                    <w:tl2br w:val="nil"/>
                    <w:tr2bl w:val="nil"/>
                  </w:tcBorders>
                  <w:shd w:val="clear" w:color="auto" w:fill="auto"/>
                  <w:vAlign w:val="center"/>
                </w:tcPr>
                <w:p w14:paraId="74FB155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环氧树脂31%、聚酯树脂31%、助剂1.5%、钛白粉20%、填料16.5%</w:t>
                  </w:r>
                </w:p>
              </w:tc>
              <w:tc>
                <w:tcPr>
                  <w:tcW w:w="488" w:type="dxa"/>
                  <w:tcBorders>
                    <w:tl2br w:val="nil"/>
                    <w:tr2bl w:val="nil"/>
                  </w:tcBorders>
                  <w:shd w:val="clear" w:color="auto" w:fill="auto"/>
                  <w:vAlign w:val="center"/>
                </w:tcPr>
                <w:p w14:paraId="137C021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50" w:type="dxa"/>
                  <w:tcBorders>
                    <w:tl2br w:val="nil"/>
                    <w:tr2bl w:val="nil"/>
                  </w:tcBorders>
                  <w:shd w:val="clear" w:color="auto" w:fill="auto"/>
                  <w:vAlign w:val="center"/>
                </w:tcPr>
                <w:p w14:paraId="6FC0B3D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964" w:type="dxa"/>
                  <w:tcBorders>
                    <w:tl2br w:val="nil"/>
                    <w:tr2bl w:val="nil"/>
                  </w:tcBorders>
                  <w:shd w:val="clear" w:color="auto" w:fill="auto"/>
                  <w:vAlign w:val="center"/>
                </w:tcPr>
                <w:p w14:paraId="4D95AA1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t/a</w:t>
                  </w:r>
                </w:p>
              </w:tc>
              <w:tc>
                <w:tcPr>
                  <w:tcW w:w="1050" w:type="dxa"/>
                  <w:tcBorders>
                    <w:tl2br w:val="nil"/>
                    <w:tr2bl w:val="nil"/>
                  </w:tcBorders>
                  <w:shd w:val="clear" w:color="auto" w:fill="auto"/>
                  <w:vAlign w:val="center"/>
                </w:tcPr>
                <w:p w14:paraId="7B58217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723" w:type="dxa"/>
                  <w:tcBorders>
                    <w:tl2br w:val="nil"/>
                    <w:tr2bl w:val="nil"/>
                  </w:tcBorders>
                  <w:shd w:val="clear" w:color="auto" w:fill="auto"/>
                  <w:vAlign w:val="center"/>
                </w:tcPr>
                <w:p w14:paraId="0C130A2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1t</w:t>
                  </w:r>
                </w:p>
              </w:tc>
              <w:tc>
                <w:tcPr>
                  <w:tcW w:w="1240" w:type="dxa"/>
                  <w:tcBorders>
                    <w:tl2br w:val="nil"/>
                    <w:tr2bl w:val="nil"/>
                  </w:tcBorders>
                  <w:shd w:val="clear" w:color="auto" w:fill="auto"/>
                  <w:vAlign w:val="center"/>
                </w:tcPr>
                <w:p w14:paraId="62048AD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喷粉</w:t>
                  </w:r>
                </w:p>
              </w:tc>
            </w:tr>
          </w:tbl>
          <w:p w14:paraId="278E9748">
            <w:pPr>
              <w:pStyle w:val="46"/>
              <w:ind w:firstLine="480"/>
              <w:rPr>
                <w:rFonts w:hint="eastAsia"/>
                <w:color w:val="auto"/>
                <w:sz w:val="21"/>
                <w:szCs w:val="21"/>
                <w:highlight w:val="none"/>
              </w:rPr>
            </w:pPr>
            <w:r>
              <w:rPr>
                <w:rFonts w:hint="eastAsia"/>
                <w:color w:val="auto"/>
                <w:sz w:val="21"/>
                <w:szCs w:val="21"/>
                <w:highlight w:val="none"/>
              </w:rPr>
              <w:t>注：[1]本项目使用的天然气来源为市政管道，厂区贮存量为厂区天然气管道内的在线量。[2]本项目使用的原辅材料中均不含</w:t>
            </w:r>
            <w:r>
              <w:rPr>
                <w:rFonts w:hint="eastAsia"/>
                <w:color w:val="auto"/>
                <w:sz w:val="21"/>
                <w:szCs w:val="21"/>
                <w:highlight w:val="none"/>
                <w:lang w:val="en-US" w:eastAsia="zh-CN"/>
              </w:rPr>
              <w:t>重金属如</w:t>
            </w:r>
            <w:r>
              <w:rPr>
                <w:rFonts w:hint="eastAsia"/>
                <w:color w:val="auto"/>
                <w:sz w:val="21"/>
                <w:szCs w:val="21"/>
                <w:highlight w:val="none"/>
              </w:rPr>
              <w:t>汞、烷基汞、镉、铬、砷、铅、镍、铍、银、钒、硒、钴、锡、苯并（a）芘等成分。</w:t>
            </w:r>
          </w:p>
          <w:p w14:paraId="22BA2722">
            <w:pPr>
              <w:pStyle w:val="46"/>
              <w:ind w:firstLine="480"/>
              <w:rPr>
                <w:color w:val="auto"/>
                <w:sz w:val="21"/>
                <w:szCs w:val="21"/>
                <w:highlight w:val="none"/>
                <w:shd w:val="clear" w:fill="FFFF00"/>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shd w:val="clear"/>
              </w:rPr>
              <w:t>主要原辅材料特性</w:t>
            </w:r>
          </w:p>
          <w:p w14:paraId="27F85AA4">
            <w:pPr>
              <w:pStyle w:val="44"/>
              <w:keepNext/>
              <w:keepLines/>
              <w:pageBreakBefore w:val="0"/>
              <w:widowControl w:val="0"/>
              <w:kinsoku/>
              <w:wordWrap/>
              <w:overflowPunct/>
              <w:topLinePunct w:val="0"/>
              <w:autoSpaceDE/>
              <w:autoSpaceDN/>
              <w:bidi w:val="0"/>
              <w:adjustRightInd/>
              <w:snapToGrid/>
              <w:spacing w:before="157" w:beforeLines="5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项目主要原辅料理化性质一览表</w:t>
            </w:r>
          </w:p>
          <w:tbl>
            <w:tblPr>
              <w:tblStyle w:val="35"/>
              <w:tblW w:w="86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94"/>
              <w:gridCol w:w="1278"/>
              <w:gridCol w:w="2179"/>
              <w:gridCol w:w="1034"/>
              <w:gridCol w:w="2004"/>
              <w:gridCol w:w="1051"/>
            </w:tblGrid>
            <w:tr w14:paraId="32FEB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4" w:type="dxa"/>
                  <w:tcBorders>
                    <w:bottom w:val="single" w:color="000000" w:sz="12" w:space="0"/>
                  </w:tcBorders>
                  <w:shd w:val="clear" w:color="auto" w:fill="auto"/>
                  <w:vAlign w:val="center"/>
                </w:tcPr>
                <w:p w14:paraId="3E5B017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名称</w:t>
                  </w:r>
                </w:p>
              </w:tc>
              <w:tc>
                <w:tcPr>
                  <w:tcW w:w="1278" w:type="dxa"/>
                  <w:tcBorders>
                    <w:bottom w:val="single" w:color="000000" w:sz="12" w:space="0"/>
                  </w:tcBorders>
                  <w:shd w:val="clear" w:color="auto" w:fill="auto"/>
                  <w:vAlign w:val="center"/>
                </w:tcPr>
                <w:p w14:paraId="77C7B4C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w:t>
                  </w:r>
                </w:p>
              </w:tc>
              <w:tc>
                <w:tcPr>
                  <w:tcW w:w="2179" w:type="dxa"/>
                  <w:tcBorders>
                    <w:bottom w:val="single" w:color="000000" w:sz="12" w:space="0"/>
                  </w:tcBorders>
                  <w:shd w:val="clear" w:color="auto" w:fill="auto"/>
                  <w:vAlign w:val="center"/>
                </w:tcPr>
                <w:p w14:paraId="58AC4CE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理化特性</w:t>
                  </w:r>
                </w:p>
              </w:tc>
              <w:tc>
                <w:tcPr>
                  <w:tcW w:w="1034" w:type="dxa"/>
                  <w:tcBorders>
                    <w:bottom w:val="single" w:color="000000" w:sz="12" w:space="0"/>
                  </w:tcBorders>
                  <w:shd w:val="clear" w:color="auto" w:fill="auto"/>
                  <w:vAlign w:val="center"/>
                </w:tcPr>
                <w:p w14:paraId="0CB8654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燃烧爆炸性</w:t>
                  </w:r>
                </w:p>
              </w:tc>
              <w:tc>
                <w:tcPr>
                  <w:tcW w:w="2004" w:type="dxa"/>
                  <w:tcBorders>
                    <w:bottom w:val="single" w:color="000000" w:sz="12" w:space="0"/>
                  </w:tcBorders>
                  <w:shd w:val="clear" w:color="auto" w:fill="auto"/>
                  <w:vAlign w:val="center"/>
                </w:tcPr>
                <w:p w14:paraId="473B269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毒性毒理</w:t>
                  </w:r>
                </w:p>
              </w:tc>
              <w:tc>
                <w:tcPr>
                  <w:tcW w:w="1051" w:type="dxa"/>
                  <w:tcBorders>
                    <w:bottom w:val="single" w:color="000000" w:sz="12" w:space="0"/>
                  </w:tcBorders>
                  <w:shd w:val="clear" w:color="auto" w:fill="auto"/>
                  <w:vAlign w:val="center"/>
                </w:tcPr>
                <w:p w14:paraId="5B1A1E6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VOCs判</w:t>
                  </w:r>
                </w:p>
                <w:p w14:paraId="3BEDEFC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定</w:t>
                  </w:r>
                </w:p>
              </w:tc>
            </w:tr>
            <w:tr w14:paraId="2B113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op w:val="single" w:color="000000" w:sz="12" w:space="0"/>
                    <w:tl2br w:val="nil"/>
                    <w:tr2bl w:val="nil"/>
                  </w:tcBorders>
                  <w:shd w:val="clear" w:color="auto" w:fill="auto"/>
                  <w:vAlign w:val="center"/>
                </w:tcPr>
                <w:p w14:paraId="0A74B3E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偏硅酸钠</w:t>
                  </w:r>
                </w:p>
              </w:tc>
              <w:tc>
                <w:tcPr>
                  <w:tcW w:w="1278" w:type="dxa"/>
                  <w:tcBorders>
                    <w:top w:val="single" w:color="000000" w:sz="12" w:space="0"/>
                    <w:tl2br w:val="nil"/>
                    <w:tr2bl w:val="nil"/>
                  </w:tcBorders>
                  <w:shd w:val="clear" w:color="auto" w:fill="auto"/>
                  <w:vAlign w:val="center"/>
                </w:tcPr>
                <w:p w14:paraId="15B98E6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13517-24-3</w:t>
                  </w:r>
                </w:p>
              </w:tc>
              <w:tc>
                <w:tcPr>
                  <w:tcW w:w="2179" w:type="dxa"/>
                  <w:tcBorders>
                    <w:top w:val="single" w:color="000000" w:sz="12" w:space="0"/>
                    <w:tl2br w:val="nil"/>
                    <w:tr2bl w:val="nil"/>
                  </w:tcBorders>
                  <w:shd w:val="clear" w:color="auto" w:fill="auto"/>
                  <w:vAlign w:val="center"/>
                </w:tcPr>
                <w:p w14:paraId="1D08348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分子量为284.2。白色结晶状粉末，易溶于水及稀碱液，不溶于醇和酸。熔点72.2℃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相对密度（水=1）：2.61</w:t>
                  </w:r>
                </w:p>
              </w:tc>
              <w:tc>
                <w:tcPr>
                  <w:tcW w:w="1034" w:type="dxa"/>
                  <w:tcBorders>
                    <w:top w:val="single" w:color="000000" w:sz="12" w:space="0"/>
                    <w:tl2br w:val="nil"/>
                    <w:tr2bl w:val="nil"/>
                  </w:tcBorders>
                  <w:shd w:val="clear" w:color="auto" w:fill="auto"/>
                  <w:vAlign w:val="center"/>
                </w:tcPr>
                <w:p w14:paraId="4E63003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op w:val="single" w:color="000000" w:sz="12" w:space="0"/>
                    <w:tl2br w:val="nil"/>
                    <w:tr2bl w:val="nil"/>
                  </w:tcBorders>
                  <w:shd w:val="clear" w:color="auto" w:fill="auto"/>
                  <w:vAlign w:val="center"/>
                </w:tcPr>
                <w:p w14:paraId="144FD65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0504065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1152mg/kg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w:t>
                  </w:r>
                </w:p>
                <w:p w14:paraId="2611BB1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经口</w:t>
                  </w:r>
                  <w:r>
                    <w:rPr>
                      <w:rFonts w:hint="eastAsia" w:cs="Times New Roman"/>
                      <w:color w:val="auto"/>
                      <w:sz w:val="21"/>
                      <w:szCs w:val="21"/>
                      <w:lang w:val="en-US" w:eastAsia="zh-CN"/>
                    </w:rPr>
                    <w:t>）</w:t>
                  </w:r>
                </w:p>
              </w:tc>
              <w:tc>
                <w:tcPr>
                  <w:tcW w:w="1051" w:type="dxa"/>
                  <w:tcBorders>
                    <w:top w:val="single" w:color="000000" w:sz="12" w:space="0"/>
                    <w:tl2br w:val="nil"/>
                    <w:tr2bl w:val="nil"/>
                  </w:tcBorders>
                  <w:shd w:val="clear" w:color="auto" w:fill="auto"/>
                  <w:vAlign w:val="center"/>
                </w:tcPr>
                <w:p w14:paraId="1575DF4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32992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6D5AD1C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碳酸钠</w:t>
                  </w:r>
                </w:p>
              </w:tc>
              <w:tc>
                <w:tcPr>
                  <w:tcW w:w="1278" w:type="dxa"/>
                  <w:tcBorders>
                    <w:tl2br w:val="nil"/>
                    <w:tr2bl w:val="nil"/>
                  </w:tcBorders>
                  <w:shd w:val="clear" w:color="auto" w:fill="auto"/>
                  <w:vAlign w:val="center"/>
                </w:tcPr>
                <w:p w14:paraId="3AECABA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497-19-8</w:t>
                  </w:r>
                </w:p>
              </w:tc>
              <w:tc>
                <w:tcPr>
                  <w:tcW w:w="2179" w:type="dxa"/>
                  <w:tcBorders>
                    <w:tl2br w:val="nil"/>
                    <w:tr2bl w:val="nil"/>
                  </w:tcBorders>
                  <w:shd w:val="clear" w:color="auto" w:fill="auto"/>
                  <w:vAlign w:val="center"/>
                </w:tcPr>
                <w:p w14:paraId="204C7F3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分子量为105.99。白色无气味的粉末或颗粒。密度2.532g/cm³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熔点851℃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沸点1600℃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相对密度（水=1）：2.53g/cm3。溶于水，微溶于无水乙醇，不溶于丙醇，溶于甘油</w:t>
                  </w:r>
                </w:p>
              </w:tc>
              <w:tc>
                <w:tcPr>
                  <w:tcW w:w="1034" w:type="dxa"/>
                  <w:tcBorders>
                    <w:tl2br w:val="nil"/>
                    <w:tr2bl w:val="nil"/>
                  </w:tcBorders>
                  <w:shd w:val="clear" w:color="auto" w:fill="auto"/>
                  <w:vAlign w:val="center"/>
                </w:tcPr>
                <w:p w14:paraId="76B5968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482458A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4090 mg/kg</w:t>
                  </w:r>
                </w:p>
                <w:p w14:paraId="1D8D994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w:t>
                  </w:r>
                </w:p>
                <w:p w14:paraId="70964FF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LC50</w:t>
                  </w:r>
                  <w:r>
                    <w:rPr>
                      <w:rFonts w:hint="eastAsia" w:cs="Times New Roman"/>
                      <w:color w:val="auto"/>
                      <w:sz w:val="21"/>
                      <w:szCs w:val="21"/>
                      <w:lang w:val="en-US" w:eastAsia="zh-CN"/>
                    </w:rPr>
                    <w:t>:</w:t>
                  </w:r>
                </w:p>
                <w:p w14:paraId="4149A5E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2300mg/m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，2小时（大鼠吸入）</w:t>
                  </w:r>
                </w:p>
              </w:tc>
              <w:tc>
                <w:tcPr>
                  <w:tcW w:w="1051" w:type="dxa"/>
                  <w:tcBorders>
                    <w:tl2br w:val="nil"/>
                    <w:tr2bl w:val="nil"/>
                  </w:tcBorders>
                  <w:shd w:val="clear" w:color="auto" w:fill="auto"/>
                  <w:vAlign w:val="center"/>
                </w:tcPr>
                <w:p w14:paraId="710151E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0BD64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4E472CA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r-缩水甘油醚氧丙基三甲氧基硅烷</w:t>
                  </w:r>
                </w:p>
                <w:p w14:paraId="7B19E20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p>
              </w:tc>
              <w:tc>
                <w:tcPr>
                  <w:tcW w:w="1278" w:type="dxa"/>
                  <w:tcBorders>
                    <w:tl2br w:val="nil"/>
                    <w:tr2bl w:val="nil"/>
                  </w:tcBorders>
                  <w:shd w:val="clear" w:color="auto" w:fill="auto"/>
                  <w:vAlign w:val="center"/>
                </w:tcPr>
                <w:p w14:paraId="4CC6B0B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530-83-8</w:t>
                  </w:r>
                </w:p>
              </w:tc>
              <w:tc>
                <w:tcPr>
                  <w:tcW w:w="2179" w:type="dxa"/>
                  <w:tcBorders>
                    <w:tl2br w:val="nil"/>
                    <w:tr2bl w:val="nil"/>
                  </w:tcBorders>
                  <w:shd w:val="clear" w:color="auto" w:fill="auto"/>
                  <w:vAlign w:val="center"/>
                </w:tcPr>
                <w:p w14:paraId="23D0A9A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w:t>
                  </w:r>
                  <w:r>
                    <w:rPr>
                      <w:rFonts w:hint="eastAsia" w:cs="Times New Roman"/>
                      <w:color w:val="auto"/>
                      <w:sz w:val="21"/>
                      <w:szCs w:val="21"/>
                      <w:lang w:val="en-US" w:eastAsia="zh-CN"/>
                    </w:rPr>
                    <w:t>236.34</w:t>
                  </w:r>
                  <w:r>
                    <w:rPr>
                      <w:rFonts w:hint="eastAsia" w:ascii="Times New Roman" w:hAnsi="Times New Roman" w:eastAsia="宋体" w:cs="Times New Roman"/>
                      <w:color w:val="auto"/>
                      <w:sz w:val="21"/>
                      <w:szCs w:val="21"/>
                      <w:lang w:val="en-US" w:eastAsia="zh-CN"/>
                    </w:rPr>
                    <w:t>。熔</w:t>
                  </w:r>
                </w:p>
                <w:p w14:paraId="271F732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点-</w:t>
                  </w:r>
                  <w:r>
                    <w:rPr>
                      <w:rFonts w:hint="eastAsia" w:cs="Times New Roman"/>
                      <w:color w:val="auto"/>
                      <w:sz w:val="21"/>
                      <w:szCs w:val="21"/>
                      <w:lang w:val="en-US" w:eastAsia="zh-CN"/>
                    </w:rPr>
                    <w:t>50</w:t>
                  </w: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w:t>
                  </w:r>
                </w:p>
                <w:p w14:paraId="02E9DA2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点</w:t>
                  </w:r>
                  <w:r>
                    <w:rPr>
                      <w:rFonts w:hint="eastAsia" w:cs="Times New Roman"/>
                      <w:color w:val="auto"/>
                      <w:sz w:val="21"/>
                      <w:szCs w:val="21"/>
                      <w:lang w:val="en-US" w:eastAsia="zh-CN"/>
                    </w:rPr>
                    <w:t>120.0</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w:t>
                  </w:r>
                </w:p>
                <w:p w14:paraId="2C4F5E2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en-US"/>
                    </w:rPr>
                    <w:t>1.070 g/mL at 20 °C无色透明液体</w:t>
                  </w:r>
                </w:p>
              </w:tc>
              <w:tc>
                <w:tcPr>
                  <w:tcW w:w="1034" w:type="dxa"/>
                  <w:tcBorders>
                    <w:tl2br w:val="nil"/>
                    <w:tr2bl w:val="nil"/>
                  </w:tcBorders>
                  <w:shd w:val="clear" w:color="auto" w:fill="auto"/>
                  <w:vAlign w:val="center"/>
                </w:tcPr>
                <w:p w14:paraId="017E7C9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4483F5C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LD50 oral in rat: 22600uL/k</w:t>
                  </w:r>
                  <w:r>
                    <w:rPr>
                      <w:rFonts w:hint="eastAsia"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大鼠经口</w:t>
                  </w:r>
                  <w:r>
                    <w:rPr>
                      <w:rFonts w:hint="eastAsia" w:cs="Times New Roman"/>
                      <w:color w:val="auto"/>
                      <w:sz w:val="21"/>
                      <w:szCs w:val="21"/>
                      <w:lang w:val="en-US" w:eastAsia="zh-CN"/>
                    </w:rPr>
                    <w:t>）</w:t>
                  </w:r>
                </w:p>
              </w:tc>
              <w:tc>
                <w:tcPr>
                  <w:tcW w:w="1051" w:type="dxa"/>
                  <w:tcBorders>
                    <w:tl2br w:val="nil"/>
                    <w:tr2bl w:val="nil"/>
                  </w:tcBorders>
                  <w:shd w:val="clear" w:color="auto" w:fill="auto"/>
                  <w:vAlign w:val="center"/>
                </w:tcPr>
                <w:p w14:paraId="49B4656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45517A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0E4EBA9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r>
                    <w:rPr>
                      <w:rFonts w:hint="eastAsia" w:ascii="Times New Roman" w:hAnsi="Times New Roman" w:eastAsia="宋体" w:cs="Times New Roman"/>
                      <w:color w:val="auto"/>
                      <w:sz w:val="21"/>
                      <w:szCs w:val="21"/>
                      <w:highlight w:val="none"/>
                      <w:lang w:val="en-US" w:eastAsia="zh-CN"/>
                    </w:rPr>
                    <w:t>硅酸钠</w:t>
                  </w:r>
                </w:p>
              </w:tc>
              <w:tc>
                <w:tcPr>
                  <w:tcW w:w="1278" w:type="dxa"/>
                  <w:tcBorders>
                    <w:tl2br w:val="nil"/>
                    <w:tr2bl w:val="nil"/>
                  </w:tcBorders>
                  <w:shd w:val="clear" w:color="auto" w:fill="auto"/>
                  <w:vAlign w:val="center"/>
                </w:tcPr>
                <w:p w14:paraId="6F00117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1344</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09</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p>
              </w:tc>
              <w:tc>
                <w:tcPr>
                  <w:tcW w:w="2179" w:type="dxa"/>
                  <w:tcBorders>
                    <w:tl2br w:val="nil"/>
                    <w:tr2bl w:val="nil"/>
                  </w:tcBorders>
                  <w:shd w:val="clear" w:color="auto" w:fill="auto"/>
                  <w:vAlign w:val="center"/>
                </w:tcPr>
                <w:p w14:paraId="649552D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分子量为122.07。熔点1088°C</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无色、略带颜色的半透明或透明块状玻璃体</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w:t>
                  </w:r>
                  <w:r>
                    <w:rPr>
                      <w:rFonts w:hint="eastAsia" w:cs="Times New Roman"/>
                      <w:color w:val="auto"/>
                      <w:sz w:val="21"/>
                      <w:szCs w:val="21"/>
                      <w:lang w:val="en-US" w:eastAsia="zh-CN"/>
                    </w:rPr>
                    <w:t>33</w:t>
                  </w:r>
                </w:p>
              </w:tc>
              <w:tc>
                <w:tcPr>
                  <w:tcW w:w="1034" w:type="dxa"/>
                  <w:tcBorders>
                    <w:tl2br w:val="nil"/>
                    <w:tr2bl w:val="nil"/>
                  </w:tcBorders>
                  <w:shd w:val="clear" w:color="auto" w:fill="auto"/>
                  <w:vAlign w:val="center"/>
                </w:tcPr>
                <w:p w14:paraId="64282AD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3898387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LD50:1280mg/kg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大鼠经口</w:t>
                  </w:r>
                  <w:r>
                    <w:rPr>
                      <w:rFonts w:hint="eastAsia" w:cs="Times New Roman"/>
                      <w:color w:val="auto"/>
                      <w:sz w:val="21"/>
                      <w:szCs w:val="21"/>
                      <w:lang w:val="en-US" w:eastAsia="zh-CN"/>
                    </w:rPr>
                    <w:t>）</w:t>
                  </w:r>
                </w:p>
              </w:tc>
              <w:tc>
                <w:tcPr>
                  <w:tcW w:w="1051" w:type="dxa"/>
                  <w:tcBorders>
                    <w:tl2br w:val="nil"/>
                    <w:tr2bl w:val="nil"/>
                  </w:tcBorders>
                  <w:shd w:val="clear" w:color="auto" w:fill="auto"/>
                  <w:vAlign w:val="center"/>
                </w:tcPr>
                <w:p w14:paraId="2699883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300F7D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3EA22F1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r>
                    <w:rPr>
                      <w:rFonts w:hint="eastAsia" w:ascii="Times New Roman" w:hAnsi="Times New Roman" w:eastAsia="宋体" w:cs="Times New Roman"/>
                      <w:color w:val="auto"/>
                      <w:sz w:val="21"/>
                      <w:szCs w:val="21"/>
                      <w:highlight w:val="none"/>
                      <w:lang w:val="en-US" w:eastAsia="en-US"/>
                    </w:rPr>
                    <w:t>纳米二氧化硅</w:t>
                  </w:r>
                </w:p>
              </w:tc>
              <w:tc>
                <w:tcPr>
                  <w:tcW w:w="1278" w:type="dxa"/>
                  <w:tcBorders>
                    <w:tl2br w:val="nil"/>
                    <w:tr2bl w:val="nil"/>
                  </w:tcBorders>
                  <w:shd w:val="clear" w:color="auto" w:fill="auto"/>
                  <w:vAlign w:val="center"/>
                </w:tcPr>
                <w:p w14:paraId="6546DB5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60676-86-0</w:t>
                  </w:r>
                </w:p>
              </w:tc>
              <w:tc>
                <w:tcPr>
                  <w:tcW w:w="2179" w:type="dxa"/>
                  <w:tcBorders>
                    <w:tl2br w:val="nil"/>
                    <w:tr2bl w:val="nil"/>
                  </w:tcBorders>
                  <w:shd w:val="clear" w:color="auto" w:fill="auto"/>
                  <w:vAlign w:val="center"/>
                </w:tcPr>
                <w:p w14:paraId="2B666E2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分子量为60.08。</w:t>
                  </w:r>
                  <w:r>
                    <w:rPr>
                      <w:rFonts w:hint="eastAsia" w:cs="Times New Roman"/>
                      <w:color w:val="auto"/>
                      <w:sz w:val="21"/>
                      <w:szCs w:val="21"/>
                      <w:lang w:val="en-US" w:eastAsia="zh-CN"/>
                    </w:rPr>
                    <w:t>白色粉末</w:t>
                  </w:r>
                  <w:r>
                    <w:rPr>
                      <w:rFonts w:hint="eastAsia" w:ascii="Times New Roman" w:hAnsi="Times New Roman" w:eastAsia="宋体" w:cs="Times New Roman"/>
                      <w:color w:val="auto"/>
                      <w:sz w:val="21"/>
                      <w:szCs w:val="21"/>
                      <w:lang w:val="en-US" w:eastAsia="zh-CN"/>
                    </w:rPr>
                    <w:t>，味微苦，易潮解。熔点</w:t>
                  </w:r>
                  <w:r>
                    <w:rPr>
                      <w:rFonts w:hint="eastAsia" w:cs="Times New Roman"/>
                      <w:color w:val="auto"/>
                      <w:sz w:val="21"/>
                      <w:szCs w:val="21"/>
                      <w:lang w:val="en-US" w:eastAsia="zh-CN"/>
                    </w:rPr>
                    <w:t>1750</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相对密度（水＝1）：2.26</w:t>
                  </w:r>
                </w:p>
              </w:tc>
              <w:tc>
                <w:tcPr>
                  <w:tcW w:w="1034" w:type="dxa"/>
                  <w:tcBorders>
                    <w:tl2br w:val="nil"/>
                    <w:tr2bl w:val="nil"/>
                  </w:tcBorders>
                  <w:shd w:val="clear" w:color="auto" w:fill="auto"/>
                  <w:vAlign w:val="center"/>
                </w:tcPr>
                <w:p w14:paraId="043328A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0212E15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shd w:val="clear" w:color="auto" w:fill="auto"/>
                  <w:vAlign w:val="center"/>
                </w:tcPr>
                <w:p w14:paraId="5BCD423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0ED3D7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35826C8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聚酰胺</w:t>
                  </w:r>
                </w:p>
              </w:tc>
              <w:tc>
                <w:tcPr>
                  <w:tcW w:w="1278" w:type="dxa"/>
                  <w:tcBorders>
                    <w:tl2br w:val="nil"/>
                    <w:tr2bl w:val="nil"/>
                  </w:tcBorders>
                  <w:shd w:val="clear" w:color="auto" w:fill="auto"/>
                  <w:vAlign w:val="center"/>
                </w:tcPr>
                <w:p w14:paraId="59DBCEE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63428-83-1</w:t>
                  </w:r>
                </w:p>
              </w:tc>
              <w:tc>
                <w:tcPr>
                  <w:tcW w:w="2179" w:type="dxa"/>
                  <w:tcBorders>
                    <w:tl2br w:val="nil"/>
                    <w:tr2bl w:val="nil"/>
                  </w:tcBorders>
                  <w:shd w:val="clear" w:color="auto" w:fill="auto"/>
                  <w:vAlign w:val="center"/>
                </w:tcPr>
                <w:p w14:paraId="2D63104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白色至淡黄色固体，</w:t>
                  </w:r>
                </w:p>
                <w:p w14:paraId="4FB116F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分子量为341.489，熔点250℃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沸点611.8℃</w:t>
                  </w:r>
                </w:p>
              </w:tc>
              <w:tc>
                <w:tcPr>
                  <w:tcW w:w="1034" w:type="dxa"/>
                  <w:tcBorders>
                    <w:tl2br w:val="nil"/>
                    <w:tr2bl w:val="nil"/>
                  </w:tcBorders>
                  <w:shd w:val="clear" w:color="auto" w:fill="auto"/>
                  <w:vAlign w:val="center"/>
                </w:tcPr>
                <w:p w14:paraId="5F52D42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可燃</w:t>
                  </w:r>
                </w:p>
              </w:tc>
              <w:tc>
                <w:tcPr>
                  <w:tcW w:w="2004" w:type="dxa"/>
                  <w:tcBorders>
                    <w:tl2br w:val="nil"/>
                    <w:tr2bl w:val="nil"/>
                  </w:tcBorders>
                  <w:shd w:val="clear" w:color="auto" w:fill="auto"/>
                  <w:vAlign w:val="center"/>
                </w:tcPr>
                <w:p w14:paraId="6E880D8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shd w:val="clear" w:color="auto" w:fill="auto"/>
                  <w:vAlign w:val="center"/>
                </w:tcPr>
                <w:p w14:paraId="6E94BEC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4EE3D4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0B1947D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乙酸</w:t>
                  </w:r>
                </w:p>
              </w:tc>
              <w:tc>
                <w:tcPr>
                  <w:tcW w:w="1278" w:type="dxa"/>
                  <w:tcBorders>
                    <w:tl2br w:val="nil"/>
                    <w:tr2bl w:val="nil"/>
                  </w:tcBorders>
                  <w:shd w:val="clear" w:color="auto" w:fill="auto"/>
                  <w:vAlign w:val="center"/>
                </w:tcPr>
                <w:p w14:paraId="3E24F13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64-19-7</w:t>
                  </w:r>
                </w:p>
              </w:tc>
              <w:tc>
                <w:tcPr>
                  <w:tcW w:w="2179" w:type="dxa"/>
                  <w:tcBorders>
                    <w:tl2br w:val="nil"/>
                    <w:tr2bl w:val="nil"/>
                  </w:tcBorders>
                  <w:shd w:val="clear" w:color="auto" w:fill="auto"/>
                  <w:vAlign w:val="center"/>
                </w:tcPr>
                <w:p w14:paraId="1698877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无色透明液体，有刺激性酸臭，分子量60.05。熔点16.7℃</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沸点118.1℃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溶于水、醚、甘油，不溶于二硫化碳</w:t>
                  </w:r>
                </w:p>
              </w:tc>
              <w:tc>
                <w:tcPr>
                  <w:tcW w:w="1034" w:type="dxa"/>
                  <w:tcBorders>
                    <w:tl2br w:val="nil"/>
                    <w:tr2bl w:val="nil"/>
                  </w:tcBorders>
                  <w:shd w:val="clear" w:color="auto" w:fill="auto"/>
                  <w:vAlign w:val="center"/>
                </w:tcPr>
                <w:p w14:paraId="346484E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4FA3D14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5654D61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3530mg/kg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w:t>
                  </w:r>
                </w:p>
                <w:p w14:paraId="1069F96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经口</w:t>
                  </w:r>
                  <w:r>
                    <w:rPr>
                      <w:rFonts w:hint="eastAsia" w:cs="Times New Roman"/>
                      <w:color w:val="auto"/>
                      <w:sz w:val="21"/>
                      <w:szCs w:val="21"/>
                      <w:lang w:val="en-US" w:eastAsia="zh-CN"/>
                    </w:rPr>
                    <w:t>）</w:t>
                  </w:r>
                </w:p>
                <w:p w14:paraId="6EB0B5F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53B4494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兔经</w:t>
                  </w:r>
                </w:p>
                <w:p w14:paraId="263D64D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皮</w:t>
                  </w:r>
                  <w:r>
                    <w:rPr>
                      <w:rFonts w:hint="eastAsia" w:cs="Times New Roman"/>
                      <w:color w:val="auto"/>
                      <w:sz w:val="21"/>
                      <w:szCs w:val="21"/>
                      <w:lang w:val="en-US" w:eastAsia="zh-CN"/>
                    </w:rPr>
                    <w:t>）</w:t>
                  </w:r>
                </w:p>
              </w:tc>
              <w:tc>
                <w:tcPr>
                  <w:tcW w:w="1051" w:type="dxa"/>
                  <w:tcBorders>
                    <w:tl2br w:val="nil"/>
                    <w:tr2bl w:val="nil"/>
                  </w:tcBorders>
                  <w:shd w:val="clear" w:color="auto" w:fill="auto"/>
                  <w:vAlign w:val="center"/>
                </w:tcPr>
                <w:p w14:paraId="2550876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是</w:t>
                  </w:r>
                </w:p>
              </w:tc>
            </w:tr>
            <w:tr w14:paraId="350F83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2BB6BD6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w:t>
                  </w:r>
                </w:p>
                <w:p w14:paraId="6641088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脂</w:t>
                  </w:r>
                </w:p>
              </w:tc>
              <w:tc>
                <w:tcPr>
                  <w:tcW w:w="1278" w:type="dxa"/>
                  <w:tcBorders>
                    <w:tl2br w:val="nil"/>
                    <w:tr2bl w:val="nil"/>
                  </w:tcBorders>
                  <w:shd w:val="clear" w:color="auto" w:fill="auto"/>
                  <w:vAlign w:val="center"/>
                </w:tcPr>
                <w:p w14:paraId="1ECF1D3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61788-97-4</w:t>
                  </w:r>
                </w:p>
              </w:tc>
              <w:tc>
                <w:tcPr>
                  <w:tcW w:w="2179" w:type="dxa"/>
                  <w:tcBorders>
                    <w:tl2br w:val="nil"/>
                    <w:tr2bl w:val="nil"/>
                  </w:tcBorders>
                  <w:shd w:val="clear" w:color="auto" w:fill="auto"/>
                  <w:vAlign w:val="center"/>
                </w:tcPr>
                <w:p w14:paraId="351F173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黄色或透明固体。沸点大于260℃</w:t>
                  </w:r>
                </w:p>
              </w:tc>
              <w:tc>
                <w:tcPr>
                  <w:tcW w:w="1034" w:type="dxa"/>
                  <w:tcBorders>
                    <w:tl2br w:val="nil"/>
                    <w:tr2bl w:val="nil"/>
                  </w:tcBorders>
                  <w:shd w:val="clear" w:color="auto" w:fill="auto"/>
                  <w:vAlign w:val="center"/>
                </w:tcPr>
                <w:p w14:paraId="5DFC9E5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可燃</w:t>
                  </w:r>
                </w:p>
              </w:tc>
              <w:tc>
                <w:tcPr>
                  <w:tcW w:w="2004" w:type="dxa"/>
                  <w:tcBorders>
                    <w:tl2br w:val="nil"/>
                    <w:tr2bl w:val="nil"/>
                  </w:tcBorders>
                  <w:shd w:val="clear" w:color="auto" w:fill="auto"/>
                  <w:vAlign w:val="center"/>
                </w:tcPr>
                <w:p w14:paraId="2FB0C45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shd w:val="clear" w:color="auto" w:fill="auto"/>
                  <w:vAlign w:val="center"/>
                </w:tcPr>
                <w:p w14:paraId="7455771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5DD69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shd w:val="clear" w:color="auto" w:fill="auto"/>
                  <w:vAlign w:val="center"/>
                </w:tcPr>
                <w:p w14:paraId="740DB03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2-丁氧基</w:t>
                  </w:r>
                </w:p>
                <w:p w14:paraId="78182FE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乙醇（乙</w:t>
                  </w:r>
                </w:p>
                <w:p w14:paraId="1D9369F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二醇丁</w:t>
                  </w:r>
                </w:p>
                <w:p w14:paraId="06E3E35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醚）</w:t>
                  </w:r>
                </w:p>
              </w:tc>
              <w:tc>
                <w:tcPr>
                  <w:tcW w:w="1278" w:type="dxa"/>
                  <w:tcBorders>
                    <w:tl2br w:val="nil"/>
                    <w:tr2bl w:val="nil"/>
                  </w:tcBorders>
                  <w:shd w:val="clear" w:color="auto" w:fill="auto"/>
                  <w:vAlign w:val="center"/>
                </w:tcPr>
                <w:p w14:paraId="26A41B1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111-76-2</w:t>
                  </w:r>
                </w:p>
              </w:tc>
              <w:tc>
                <w:tcPr>
                  <w:tcW w:w="2179" w:type="dxa"/>
                  <w:tcBorders>
                    <w:tl2br w:val="nil"/>
                    <w:tr2bl w:val="nil"/>
                  </w:tcBorders>
                  <w:shd w:val="clear" w:color="auto" w:fill="auto"/>
                  <w:vAlign w:val="center"/>
                </w:tcPr>
                <w:p w14:paraId="7DA54E1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无色透明液体。分子量：118.174，相对密度：0.902，沸点：</w:t>
                  </w:r>
                </w:p>
                <w:p w14:paraId="765B139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闪点：60℃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蒸气压（25℃</w:t>
                  </w:r>
                  <w:r>
                    <w:rPr>
                      <w:rFonts w:hint="eastAsia" w:cs="Times New Roman"/>
                      <w:color w:val="auto"/>
                      <w:sz w:val="21"/>
                      <w:szCs w:val="21"/>
                      <w:lang w:val="en-US" w:eastAsia="zh-CN"/>
                    </w:rPr>
                    <w:t>）：</w:t>
                  </w:r>
                </w:p>
                <w:p w14:paraId="7EC4C2B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1.368mmHg</w:t>
                  </w:r>
                </w:p>
              </w:tc>
              <w:tc>
                <w:tcPr>
                  <w:tcW w:w="1034" w:type="dxa"/>
                  <w:tcBorders>
                    <w:tl2br w:val="nil"/>
                    <w:tr2bl w:val="nil"/>
                  </w:tcBorders>
                  <w:shd w:val="clear" w:color="auto" w:fill="auto"/>
                  <w:vAlign w:val="center"/>
                </w:tcPr>
                <w:p w14:paraId="16E87F9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7B71C13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2500 mg/kg</w:t>
                  </w:r>
                </w:p>
                <w:p w14:paraId="3A836CD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（大鼠经口）</w:t>
                  </w:r>
                </w:p>
              </w:tc>
              <w:tc>
                <w:tcPr>
                  <w:tcW w:w="1051" w:type="dxa"/>
                  <w:tcBorders>
                    <w:tl2br w:val="nil"/>
                    <w:tr2bl w:val="nil"/>
                  </w:tcBorders>
                  <w:shd w:val="clear" w:color="auto" w:fill="auto"/>
                  <w:vAlign w:val="center"/>
                </w:tcPr>
                <w:p w14:paraId="50082B2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是</w:t>
                  </w:r>
                </w:p>
              </w:tc>
            </w:tr>
            <w:tr w14:paraId="441C8E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0B8A4D7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丙二醇苯醚</w:t>
                  </w:r>
                </w:p>
              </w:tc>
              <w:tc>
                <w:tcPr>
                  <w:tcW w:w="1278" w:type="dxa"/>
                  <w:tcBorders>
                    <w:tl2br w:val="nil"/>
                    <w:tr2bl w:val="nil"/>
                  </w:tcBorders>
                  <w:shd w:val="clear" w:color="auto" w:fill="auto"/>
                  <w:vAlign w:val="center"/>
                </w:tcPr>
                <w:p w14:paraId="0E45450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6180-61-6</w:t>
                  </w:r>
                </w:p>
              </w:tc>
              <w:tc>
                <w:tcPr>
                  <w:tcW w:w="2179" w:type="dxa"/>
                  <w:tcBorders>
                    <w:tl2br w:val="nil"/>
                    <w:tr2bl w:val="nil"/>
                  </w:tcBorders>
                  <w:shd w:val="clear" w:color="auto" w:fill="auto"/>
                  <w:vAlign w:val="center"/>
                </w:tcPr>
                <w:p w14:paraId="4866E94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分子量为152.190，相</w:t>
                  </w:r>
                </w:p>
                <w:p w14:paraId="4C53F44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对密度：1.1，沸点：</w:t>
                  </w:r>
                </w:p>
                <w:p w14:paraId="7C4B1DF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250.2℃</w:t>
                  </w:r>
                </w:p>
              </w:tc>
              <w:tc>
                <w:tcPr>
                  <w:tcW w:w="1034" w:type="dxa"/>
                  <w:tcBorders>
                    <w:tl2br w:val="nil"/>
                    <w:tr2bl w:val="nil"/>
                  </w:tcBorders>
                  <w:shd w:val="clear" w:color="auto" w:fill="auto"/>
                  <w:vAlign w:val="center"/>
                </w:tcPr>
                <w:p w14:paraId="519D1EC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04" w:type="dxa"/>
                  <w:tcBorders>
                    <w:tl2br w:val="nil"/>
                    <w:tr2bl w:val="nil"/>
                  </w:tcBorders>
                  <w:shd w:val="clear" w:color="auto" w:fill="auto"/>
                  <w:vAlign w:val="center"/>
                </w:tcPr>
                <w:p w14:paraId="1D8093A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vAlign w:val="center"/>
                </w:tcPr>
                <w:p w14:paraId="6DCD72D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0205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0D7CA6D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丙二醇甲醚</w:t>
                  </w:r>
                </w:p>
              </w:tc>
              <w:tc>
                <w:tcPr>
                  <w:tcW w:w="1278" w:type="dxa"/>
                  <w:tcBorders>
                    <w:tl2br w:val="nil"/>
                    <w:tr2bl w:val="nil"/>
                  </w:tcBorders>
                  <w:shd w:val="clear" w:color="auto" w:fill="auto"/>
                  <w:vAlign w:val="center"/>
                </w:tcPr>
                <w:p w14:paraId="3DB6ABD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107-98-2</w:t>
                  </w:r>
                </w:p>
              </w:tc>
              <w:tc>
                <w:tcPr>
                  <w:tcW w:w="2179" w:type="dxa"/>
                  <w:tcBorders>
                    <w:tl2br w:val="nil"/>
                    <w:tr2bl w:val="nil"/>
                  </w:tcBorders>
                  <w:shd w:val="clear" w:color="auto" w:fill="auto"/>
                  <w:vAlign w:val="center"/>
                </w:tcPr>
                <w:p w14:paraId="2A681FB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无色透明液体，有微弱醚味</w:t>
                  </w:r>
                  <w:r>
                    <w:rPr>
                      <w:rFonts w:hint="eastAsia" w:cs="Times New Roman"/>
                      <w:color w:val="auto"/>
                      <w:sz w:val="21"/>
                      <w:szCs w:val="21"/>
                      <w:lang w:val="en-US" w:eastAsia="zh-CN"/>
                    </w:rPr>
                    <w:t>，</w:t>
                  </w:r>
                </w:p>
                <w:p w14:paraId="04D01C6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分子量：90.12g/mol</w:t>
                  </w:r>
                </w:p>
                <w:p w14:paraId="6B11BD9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沸点：118-120°C</w:t>
                  </w:r>
                </w:p>
                <w:p w14:paraId="52725E1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c>
                <w:tcPr>
                  <w:tcW w:w="1034" w:type="dxa"/>
                  <w:tcBorders>
                    <w:tl2br w:val="nil"/>
                    <w:tr2bl w:val="nil"/>
                  </w:tcBorders>
                  <w:shd w:val="clear" w:color="auto" w:fill="auto"/>
                  <w:vAlign w:val="center"/>
                </w:tcPr>
                <w:p w14:paraId="04C7202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1C034FB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p w14:paraId="47DE07A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大鼠经口LD₅₀：6,040 mg/kg（低毒）</w:t>
                  </w:r>
                </w:p>
                <w:p w14:paraId="447D944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大鼠经皮LD₅₀：12,900 mg/kg</w:t>
                  </w:r>
                </w:p>
                <w:p w14:paraId="7B3B400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c>
                <w:tcPr>
                  <w:tcW w:w="1051" w:type="dxa"/>
                  <w:tcBorders>
                    <w:tl2br w:val="nil"/>
                    <w:tr2bl w:val="nil"/>
                  </w:tcBorders>
                  <w:vAlign w:val="center"/>
                </w:tcPr>
                <w:p w14:paraId="1C5C7AE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6C1843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2479F59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乙二醇丁醚</w:t>
                  </w:r>
                </w:p>
              </w:tc>
              <w:tc>
                <w:tcPr>
                  <w:tcW w:w="1278" w:type="dxa"/>
                  <w:tcBorders>
                    <w:tl2br w:val="nil"/>
                    <w:tr2bl w:val="nil"/>
                  </w:tcBorders>
                  <w:shd w:val="clear" w:color="auto" w:fill="auto"/>
                  <w:vAlign w:val="center"/>
                </w:tcPr>
                <w:p w14:paraId="4154DFA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111-76-2</w:t>
                  </w:r>
                </w:p>
              </w:tc>
              <w:tc>
                <w:tcPr>
                  <w:tcW w:w="2179" w:type="dxa"/>
                  <w:tcBorders>
                    <w:tl2br w:val="nil"/>
                    <w:tr2bl w:val="nil"/>
                  </w:tcBorders>
                  <w:shd w:val="clear" w:color="auto" w:fill="auto"/>
                  <w:vAlign w:val="center"/>
                </w:tcPr>
                <w:p w14:paraId="34334AF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无色液体</w:t>
                  </w:r>
                  <w:r>
                    <w:rPr>
                      <w:rFonts w:hint="eastAsia" w:cs="Times New Roman"/>
                      <w:color w:val="auto"/>
                      <w:sz w:val="21"/>
                      <w:szCs w:val="21"/>
                      <w:lang w:val="en-US" w:eastAsia="zh-CN"/>
                    </w:rPr>
                    <w:t>，分子量：118.17，闪点：60-71°C （闭口杯），74°C （开口杯）</w:t>
                  </w:r>
                </w:p>
              </w:tc>
              <w:tc>
                <w:tcPr>
                  <w:tcW w:w="1034" w:type="dxa"/>
                  <w:tcBorders>
                    <w:tl2br w:val="nil"/>
                    <w:tr2bl w:val="nil"/>
                  </w:tcBorders>
                  <w:shd w:val="clear" w:color="auto" w:fill="auto"/>
                  <w:vAlign w:val="center"/>
                </w:tcPr>
                <w:p w14:paraId="7A4024C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2004" w:type="dxa"/>
                  <w:tcBorders>
                    <w:tl2br w:val="nil"/>
                    <w:tr2bl w:val="nil"/>
                  </w:tcBorders>
                  <w:shd w:val="clear" w:color="auto" w:fill="auto"/>
                  <w:vAlign w:val="center"/>
                </w:tcPr>
                <w:p w14:paraId="59DBC12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大鼠经口LD₅₀：470-2,500 mg/kg</w:t>
                  </w:r>
                </w:p>
                <w:p w14:paraId="1BDEDBE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小鼠经口LD₅₀：1,200 mg/kg</w:t>
                  </w:r>
                </w:p>
              </w:tc>
              <w:tc>
                <w:tcPr>
                  <w:tcW w:w="1051" w:type="dxa"/>
                  <w:tcBorders>
                    <w:tl2br w:val="nil"/>
                    <w:tr2bl w:val="nil"/>
                  </w:tcBorders>
                  <w:vAlign w:val="center"/>
                </w:tcPr>
                <w:p w14:paraId="4C28381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C3CA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59ECFB7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二甲基乙醇胺</w:t>
                  </w:r>
                </w:p>
              </w:tc>
              <w:tc>
                <w:tcPr>
                  <w:tcW w:w="1278" w:type="dxa"/>
                  <w:tcBorders>
                    <w:tl2br w:val="nil"/>
                    <w:tr2bl w:val="nil"/>
                  </w:tcBorders>
                  <w:shd w:val="clear" w:color="auto" w:fill="auto"/>
                  <w:vAlign w:val="center"/>
                </w:tcPr>
                <w:p w14:paraId="5AEC0CA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108-01-0</w:t>
                  </w:r>
                </w:p>
              </w:tc>
              <w:tc>
                <w:tcPr>
                  <w:tcW w:w="2179" w:type="dxa"/>
                  <w:tcBorders>
                    <w:tl2br w:val="nil"/>
                    <w:tr2bl w:val="nil"/>
                  </w:tcBorders>
                  <w:shd w:val="clear" w:color="auto" w:fill="auto"/>
                  <w:vAlign w:val="center"/>
                </w:tcPr>
                <w:p w14:paraId="42B33CB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无色或微黄色液体</w:t>
                  </w:r>
                  <w:r>
                    <w:rPr>
                      <w:rFonts w:hint="eastAsia" w:cs="Times New Roman"/>
                      <w:color w:val="auto"/>
                      <w:sz w:val="21"/>
                      <w:szCs w:val="21"/>
                      <w:lang w:val="en-US" w:eastAsia="zh-CN"/>
                    </w:rPr>
                    <w:t>，分子量：89.14，相对密度：0.886-0.89 g/mL (20°C)</w:t>
                  </w:r>
                </w:p>
              </w:tc>
              <w:tc>
                <w:tcPr>
                  <w:tcW w:w="1034" w:type="dxa"/>
                  <w:tcBorders>
                    <w:tl2br w:val="nil"/>
                    <w:tr2bl w:val="nil"/>
                  </w:tcBorders>
                  <w:shd w:val="clear" w:color="auto" w:fill="auto"/>
                  <w:vAlign w:val="center"/>
                </w:tcPr>
                <w:p w14:paraId="2CE28B7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70CAD02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大鼠经口LD₅₀：2000-2340mg/kg</w:t>
                  </w:r>
                </w:p>
              </w:tc>
              <w:tc>
                <w:tcPr>
                  <w:tcW w:w="1051" w:type="dxa"/>
                  <w:tcBorders>
                    <w:tl2br w:val="nil"/>
                    <w:tr2bl w:val="nil"/>
                  </w:tcBorders>
                  <w:vAlign w:val="center"/>
                </w:tcPr>
                <w:p w14:paraId="4CD7700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01369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23D464D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环氧酯树脂</w:t>
                  </w:r>
                </w:p>
              </w:tc>
              <w:tc>
                <w:tcPr>
                  <w:tcW w:w="1278" w:type="dxa"/>
                  <w:tcBorders>
                    <w:tl2br w:val="nil"/>
                    <w:tr2bl w:val="nil"/>
                  </w:tcBorders>
                  <w:shd w:val="clear" w:color="auto" w:fill="auto"/>
                  <w:vAlign w:val="center"/>
                </w:tcPr>
                <w:p w14:paraId="26B350D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38891-59-7</w:t>
                  </w:r>
                </w:p>
              </w:tc>
              <w:tc>
                <w:tcPr>
                  <w:tcW w:w="2179" w:type="dxa"/>
                  <w:tcBorders>
                    <w:tl2br w:val="nil"/>
                    <w:tr2bl w:val="nil"/>
                  </w:tcBorders>
                  <w:shd w:val="clear" w:color="auto" w:fill="auto"/>
                  <w:vAlign w:val="center"/>
                </w:tcPr>
                <w:p w14:paraId="7AF1795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黏稠</w:t>
                  </w:r>
                  <w:r>
                    <w:rPr>
                      <w:rFonts w:hint="eastAsia" w:ascii="Times New Roman" w:hAnsi="Times New Roman" w:eastAsia="宋体" w:cs="Times New Roman"/>
                      <w:color w:val="auto"/>
                      <w:sz w:val="21"/>
                      <w:szCs w:val="21"/>
                      <w:lang w:val="en-US" w:eastAsia="zh-CN"/>
                    </w:rPr>
                    <w:t>液体</w:t>
                  </w:r>
                  <w:r>
                    <w:rPr>
                      <w:rFonts w:hint="eastAsia" w:cs="Times New Roman"/>
                      <w:color w:val="auto"/>
                      <w:sz w:val="21"/>
                      <w:szCs w:val="21"/>
                      <w:lang w:val="en-US" w:eastAsia="zh-CN"/>
                    </w:rPr>
                    <w:t>，密度</w:t>
                  </w:r>
                  <w:r>
                    <w:rPr>
                      <w:rFonts w:hint="eastAsia" w:cs="Times New Roman"/>
                      <w:color w:val="auto"/>
                      <w:sz w:val="21"/>
                      <w:szCs w:val="21"/>
                      <w:lang w:val="en-US" w:eastAsia="zh-CN"/>
                    </w:rPr>
                    <w:tab/>
                  </w:r>
                  <w:r>
                    <w:rPr>
                      <w:rFonts w:hint="eastAsia" w:cs="Times New Roman"/>
                      <w:color w:val="auto"/>
                      <w:sz w:val="21"/>
                      <w:szCs w:val="21"/>
                      <w:lang w:val="en-US" w:eastAsia="zh-CN"/>
                    </w:rPr>
                    <w:t>1.0-1.2 g/cm³</w:t>
                  </w:r>
                </w:p>
              </w:tc>
              <w:tc>
                <w:tcPr>
                  <w:tcW w:w="1034" w:type="dxa"/>
                  <w:tcBorders>
                    <w:tl2br w:val="nil"/>
                    <w:tr2bl w:val="nil"/>
                  </w:tcBorders>
                  <w:shd w:val="clear" w:color="auto" w:fill="auto"/>
                  <w:vAlign w:val="center"/>
                </w:tcPr>
                <w:p w14:paraId="55C41D3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2004" w:type="dxa"/>
                  <w:tcBorders>
                    <w:tl2br w:val="nil"/>
                    <w:tr2bl w:val="nil"/>
                  </w:tcBorders>
                  <w:shd w:val="clear" w:color="auto" w:fill="auto"/>
                  <w:vAlign w:val="center"/>
                </w:tcPr>
                <w:p w14:paraId="3E81E9A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vAlign w:val="center"/>
                </w:tcPr>
                <w:p w14:paraId="165E002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11351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2156CD9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w:t>
                  </w:r>
                </w:p>
              </w:tc>
              <w:tc>
                <w:tcPr>
                  <w:tcW w:w="1278" w:type="dxa"/>
                  <w:tcBorders>
                    <w:tl2br w:val="nil"/>
                    <w:tr2bl w:val="nil"/>
                  </w:tcBorders>
                  <w:shd w:val="clear" w:color="auto" w:fill="auto"/>
                  <w:vAlign w:val="center"/>
                </w:tcPr>
                <w:p w14:paraId="3F8728E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8006-14-2</w:t>
                  </w:r>
                </w:p>
              </w:tc>
              <w:tc>
                <w:tcPr>
                  <w:tcW w:w="2179" w:type="dxa"/>
                  <w:tcBorders>
                    <w:tl2br w:val="nil"/>
                    <w:tr2bl w:val="nil"/>
                  </w:tcBorders>
                  <w:shd w:val="clear" w:color="auto" w:fill="auto"/>
                  <w:vAlign w:val="center"/>
                </w:tcPr>
                <w:p w14:paraId="73F3347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无色气体。不溶于水，密度：0.7174kg/m3，</w:t>
                  </w:r>
                </w:p>
                <w:p w14:paraId="6D88B49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相对密度（水）：0.45（液化）燃点</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p>
                <w:p w14:paraId="2B2B58B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650，爆炸极限（V%）：</w:t>
                  </w:r>
                </w:p>
                <w:p w14:paraId="59184D4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5-15</w:t>
                  </w:r>
                </w:p>
              </w:tc>
              <w:tc>
                <w:tcPr>
                  <w:tcW w:w="1034" w:type="dxa"/>
                  <w:tcBorders>
                    <w:tl2br w:val="nil"/>
                    <w:tr2bl w:val="nil"/>
                  </w:tcBorders>
                  <w:shd w:val="clear" w:color="auto" w:fill="auto"/>
                  <w:vAlign w:val="center"/>
                </w:tcPr>
                <w:p w14:paraId="7DB0FF5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2004" w:type="dxa"/>
                  <w:tcBorders>
                    <w:tl2br w:val="nil"/>
                    <w:tr2bl w:val="nil"/>
                  </w:tcBorders>
                  <w:shd w:val="clear" w:color="auto" w:fill="auto"/>
                  <w:vAlign w:val="center"/>
                </w:tcPr>
                <w:p w14:paraId="73261A4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vAlign w:val="center"/>
                </w:tcPr>
                <w:p w14:paraId="6D3F4F9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69B3A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43B7829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聚合氯化铝</w:t>
                  </w:r>
                </w:p>
              </w:tc>
              <w:tc>
                <w:tcPr>
                  <w:tcW w:w="1278" w:type="dxa"/>
                  <w:tcBorders>
                    <w:tl2br w:val="nil"/>
                    <w:tr2bl w:val="nil"/>
                  </w:tcBorders>
                  <w:shd w:val="clear" w:color="auto" w:fill="auto"/>
                  <w:vAlign w:val="center"/>
                </w:tcPr>
                <w:p w14:paraId="3BCE335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1327-41-9</w:t>
                  </w:r>
                </w:p>
              </w:tc>
              <w:tc>
                <w:tcPr>
                  <w:tcW w:w="2179" w:type="dxa"/>
                  <w:tcBorders>
                    <w:tl2br w:val="nil"/>
                    <w:tr2bl w:val="nil"/>
                  </w:tcBorders>
                  <w:shd w:val="clear" w:color="auto" w:fill="auto"/>
                  <w:vAlign w:val="center"/>
                </w:tcPr>
                <w:p w14:paraId="1FA21F2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黄色或灰色固体。熔点：190℃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易溶于水</w:t>
                  </w:r>
                </w:p>
              </w:tc>
              <w:tc>
                <w:tcPr>
                  <w:tcW w:w="1034" w:type="dxa"/>
                  <w:tcBorders>
                    <w:tl2br w:val="nil"/>
                    <w:tr2bl w:val="nil"/>
                  </w:tcBorders>
                  <w:shd w:val="clear" w:color="auto" w:fill="auto"/>
                  <w:vAlign w:val="center"/>
                </w:tcPr>
                <w:p w14:paraId="76339E5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467A18A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vAlign w:val="center"/>
                </w:tcPr>
                <w:p w14:paraId="7843E02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1C51A5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67D99AC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聚丙烯酰胺</w:t>
                  </w:r>
                </w:p>
              </w:tc>
              <w:tc>
                <w:tcPr>
                  <w:tcW w:w="1278" w:type="dxa"/>
                  <w:tcBorders>
                    <w:tl2br w:val="nil"/>
                    <w:tr2bl w:val="nil"/>
                  </w:tcBorders>
                  <w:shd w:val="clear" w:color="auto" w:fill="auto"/>
                  <w:vAlign w:val="center"/>
                </w:tcPr>
                <w:p w14:paraId="71F8F0D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9003-05-8</w:t>
                  </w:r>
                </w:p>
              </w:tc>
              <w:tc>
                <w:tcPr>
                  <w:tcW w:w="2179" w:type="dxa"/>
                  <w:tcBorders>
                    <w:tl2br w:val="nil"/>
                    <w:tr2bl w:val="nil"/>
                  </w:tcBorders>
                  <w:shd w:val="clear" w:color="auto" w:fill="auto"/>
                  <w:vAlign w:val="center"/>
                </w:tcPr>
                <w:p w14:paraId="7AF92CB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常温下为坚硬的玻璃态固体。密度：1.302g/cm³(23℃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，易溶于水</w:t>
                  </w:r>
                </w:p>
              </w:tc>
              <w:tc>
                <w:tcPr>
                  <w:tcW w:w="1034" w:type="dxa"/>
                  <w:tcBorders>
                    <w:tl2br w:val="nil"/>
                    <w:tr2bl w:val="nil"/>
                  </w:tcBorders>
                  <w:shd w:val="clear" w:color="auto" w:fill="auto"/>
                  <w:vAlign w:val="center"/>
                </w:tcPr>
                <w:p w14:paraId="64CBDCD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0FB1614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vAlign w:val="center"/>
                </w:tcPr>
                <w:p w14:paraId="3C6A9E9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0B9EB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3CD07B3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聚酯树脂</w:t>
                  </w:r>
                </w:p>
              </w:tc>
              <w:tc>
                <w:tcPr>
                  <w:tcW w:w="1278" w:type="dxa"/>
                  <w:tcBorders>
                    <w:tl2br w:val="nil"/>
                    <w:tr2bl w:val="nil"/>
                  </w:tcBorders>
                  <w:shd w:val="clear" w:color="auto" w:fill="auto"/>
                  <w:vAlign w:val="center"/>
                </w:tcPr>
                <w:p w14:paraId="4F7DD25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40471-09-8</w:t>
                  </w:r>
                </w:p>
              </w:tc>
              <w:tc>
                <w:tcPr>
                  <w:tcW w:w="2179" w:type="dxa"/>
                  <w:tcBorders>
                    <w:tl2br w:val="nil"/>
                    <w:tr2bl w:val="nil"/>
                  </w:tcBorders>
                  <w:shd w:val="clear" w:color="auto" w:fill="auto"/>
                  <w:vAlign w:val="center"/>
                </w:tcPr>
                <w:p w14:paraId="704D9C4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白色或淡黄色片状固体</w:t>
                  </w:r>
                  <w:r>
                    <w:rPr>
                      <w:rFonts w:hint="eastAsia" w:cs="Times New Roman"/>
                      <w:color w:val="auto"/>
                      <w:sz w:val="21"/>
                      <w:szCs w:val="21"/>
                      <w:lang w:val="en-US" w:eastAsia="zh-CN"/>
                    </w:rPr>
                    <w:t>；密度1.2-1.51g/cm</w:t>
                  </w:r>
                  <w:r>
                    <w:rPr>
                      <w:rFonts w:hint="eastAsia" w:cs="Times New Roman"/>
                      <w:color w:val="auto"/>
                      <w:sz w:val="21"/>
                      <w:szCs w:val="21"/>
                      <w:vertAlign w:val="superscript"/>
                      <w:lang w:val="en-US" w:eastAsia="zh-CN"/>
                    </w:rPr>
                    <w:t>3</w:t>
                  </w:r>
                </w:p>
              </w:tc>
              <w:tc>
                <w:tcPr>
                  <w:tcW w:w="1034" w:type="dxa"/>
                  <w:tcBorders>
                    <w:tl2br w:val="nil"/>
                    <w:tr2bl w:val="nil"/>
                  </w:tcBorders>
                  <w:shd w:val="clear" w:color="auto" w:fill="auto"/>
                  <w:vAlign w:val="center"/>
                </w:tcPr>
                <w:p w14:paraId="610A916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可燃</w:t>
                  </w:r>
                </w:p>
              </w:tc>
              <w:tc>
                <w:tcPr>
                  <w:tcW w:w="2004" w:type="dxa"/>
                  <w:tcBorders>
                    <w:tl2br w:val="nil"/>
                    <w:tr2bl w:val="nil"/>
                  </w:tcBorders>
                  <w:shd w:val="clear" w:color="auto" w:fill="auto"/>
                  <w:vAlign w:val="center"/>
                </w:tcPr>
                <w:p w14:paraId="36A66EE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shd w:val="clear" w:color="auto" w:fill="auto"/>
                  <w:vAlign w:val="center"/>
                </w:tcPr>
                <w:p w14:paraId="47AA000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否</w:t>
                  </w:r>
                </w:p>
              </w:tc>
            </w:tr>
            <w:tr w14:paraId="03EEA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tcBorders>
                    <w:tl2br w:val="nil"/>
                    <w:tr2bl w:val="nil"/>
                  </w:tcBorders>
                  <w:vAlign w:val="center"/>
                </w:tcPr>
                <w:p w14:paraId="365F5F0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钛白粉</w:t>
                  </w:r>
                </w:p>
              </w:tc>
              <w:tc>
                <w:tcPr>
                  <w:tcW w:w="1278" w:type="dxa"/>
                  <w:tcBorders>
                    <w:tl2br w:val="nil"/>
                    <w:tr2bl w:val="nil"/>
                  </w:tcBorders>
                  <w:shd w:val="clear" w:color="auto" w:fill="auto"/>
                  <w:vAlign w:val="center"/>
                </w:tcPr>
                <w:p w14:paraId="0CE5E9A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13463-67-7</w:t>
                  </w:r>
                </w:p>
              </w:tc>
              <w:tc>
                <w:tcPr>
                  <w:tcW w:w="2179" w:type="dxa"/>
                  <w:tcBorders>
                    <w:tl2br w:val="nil"/>
                    <w:tr2bl w:val="nil"/>
                  </w:tcBorders>
                  <w:shd w:val="clear" w:color="auto" w:fill="auto"/>
                  <w:vAlign w:val="center"/>
                </w:tcPr>
                <w:p w14:paraId="3A4F779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白色粉末，无味、无臭</w:t>
                  </w:r>
                  <w:r>
                    <w:rPr>
                      <w:rFonts w:hint="eastAsia" w:cs="Times New Roman"/>
                      <w:color w:val="auto"/>
                      <w:sz w:val="21"/>
                      <w:szCs w:val="21"/>
                      <w:lang w:val="en-US" w:eastAsia="zh-CN"/>
                    </w:rPr>
                    <w:t>，密度3.84-4.26g/cm</w:t>
                  </w:r>
                  <w:r>
                    <w:rPr>
                      <w:rFonts w:hint="eastAsia" w:cs="Times New Roman"/>
                      <w:color w:val="auto"/>
                      <w:sz w:val="21"/>
                      <w:szCs w:val="21"/>
                      <w:vertAlign w:val="superscript"/>
                      <w:lang w:val="en-US" w:eastAsia="zh-CN"/>
                    </w:rPr>
                    <w:t>3</w:t>
                  </w:r>
                </w:p>
              </w:tc>
              <w:tc>
                <w:tcPr>
                  <w:tcW w:w="1034" w:type="dxa"/>
                  <w:tcBorders>
                    <w:tl2br w:val="nil"/>
                    <w:tr2bl w:val="nil"/>
                  </w:tcBorders>
                  <w:shd w:val="clear" w:color="auto" w:fill="auto"/>
                  <w:vAlign w:val="center"/>
                </w:tcPr>
                <w:p w14:paraId="77008FF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不燃</w:t>
                  </w:r>
                </w:p>
              </w:tc>
              <w:tc>
                <w:tcPr>
                  <w:tcW w:w="2004" w:type="dxa"/>
                  <w:tcBorders>
                    <w:tl2br w:val="nil"/>
                    <w:tr2bl w:val="nil"/>
                  </w:tcBorders>
                  <w:shd w:val="clear" w:color="auto" w:fill="auto"/>
                  <w:vAlign w:val="center"/>
                </w:tcPr>
                <w:p w14:paraId="00A0584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1" w:type="dxa"/>
                  <w:tcBorders>
                    <w:tl2br w:val="nil"/>
                    <w:tr2bl w:val="nil"/>
                  </w:tcBorders>
                  <w:shd w:val="clear" w:color="auto" w:fill="auto"/>
                  <w:vAlign w:val="center"/>
                </w:tcPr>
                <w:p w14:paraId="38832F9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否</w:t>
                  </w:r>
                </w:p>
              </w:tc>
            </w:tr>
          </w:tbl>
          <w:p w14:paraId="5D9888DB">
            <w:pPr>
              <w:rPr>
                <w:rFonts w:hint="eastAsia"/>
                <w:color w:val="auto"/>
              </w:rPr>
            </w:pPr>
          </w:p>
          <w:p w14:paraId="3F557A04">
            <w:pPr>
              <w:pStyle w:val="115"/>
              <w:numPr>
                <w:ilvl w:val="0"/>
                <w:numId w:val="8"/>
              </w:numPr>
              <w:spacing w:before="4" w:line="359" w:lineRule="exact"/>
              <w:ind w:left="601"/>
              <w:outlineLvl w:val="1"/>
              <w:rPr>
                <w:color w:val="auto"/>
                <w:spacing w:val="3"/>
                <w:position w:val="2"/>
                <w:sz w:val="24"/>
                <w:szCs w:val="24"/>
              </w:rPr>
            </w:pPr>
            <w:r>
              <w:rPr>
                <w:color w:val="auto"/>
                <w:spacing w:val="3"/>
                <w:position w:val="2"/>
                <w:sz w:val="24"/>
                <w:szCs w:val="24"/>
              </w:rPr>
              <w:t>原辅材料中</w:t>
            </w:r>
            <w:r>
              <w:rPr>
                <w:rFonts w:ascii="Times New Roman" w:hAnsi="Times New Roman" w:eastAsia="Times New Roman" w:cs="Times New Roman"/>
                <w:color w:val="auto"/>
                <w:position w:val="2"/>
                <w:sz w:val="24"/>
                <w:szCs w:val="24"/>
              </w:rPr>
              <w:t>VOCs</w:t>
            </w:r>
            <w:r>
              <w:rPr>
                <w:color w:val="auto"/>
                <w:spacing w:val="3"/>
                <w:position w:val="2"/>
                <w:sz w:val="24"/>
                <w:szCs w:val="24"/>
              </w:rPr>
              <w:t>含量分析</w:t>
            </w:r>
          </w:p>
          <w:p w14:paraId="5A84B175">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color w:val="auto"/>
                <w:spacing w:val="-1"/>
                <w:sz w:val="24"/>
                <w:szCs w:val="24"/>
              </w:rPr>
              <w:t>①原辅材料用量核算</w:t>
            </w:r>
          </w:p>
          <w:p w14:paraId="0015156C">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宋体"/>
                <w:color w:val="auto"/>
                <w:spacing w:val="-5"/>
                <w:sz w:val="24"/>
                <w:szCs w:val="24"/>
              </w:rPr>
            </w:pPr>
            <w:r>
              <w:rPr>
                <w:rFonts w:ascii="Times New Roman" w:hAnsi="Times New Roman" w:eastAsia="宋体"/>
                <w:color w:val="auto"/>
                <w:spacing w:val="-2"/>
                <w:sz w:val="24"/>
                <w:szCs w:val="24"/>
              </w:rPr>
              <w:t>根据项目电泳方案，电泳漆每层厚度约为</w:t>
            </w:r>
            <w:r>
              <w:rPr>
                <w:rFonts w:ascii="Times New Roman" w:hAnsi="Times New Roman" w:eastAsia="宋体" w:cs="Times New Roman"/>
                <w:color w:val="auto"/>
                <w:spacing w:val="-2"/>
                <w:sz w:val="24"/>
                <w:szCs w:val="24"/>
              </w:rPr>
              <w:t>20μm</w:t>
            </w:r>
            <w:r>
              <w:rPr>
                <w:rFonts w:ascii="Times New Roman" w:hAnsi="Times New Roman" w:eastAsia="宋体"/>
                <w:color w:val="auto"/>
                <w:spacing w:val="-2"/>
                <w:sz w:val="24"/>
                <w:szCs w:val="24"/>
              </w:rPr>
              <w:t>，链速为</w:t>
            </w:r>
            <w:r>
              <w:rPr>
                <w:rFonts w:ascii="Times New Roman" w:hAnsi="Times New Roman" w:eastAsia="宋体" w:cs="Times New Roman"/>
                <w:color w:val="auto"/>
                <w:spacing w:val="-2"/>
                <w:sz w:val="24"/>
                <w:szCs w:val="24"/>
              </w:rPr>
              <w:t>3m/min</w:t>
            </w:r>
            <w:r>
              <w:rPr>
                <w:rFonts w:ascii="Times New Roman" w:hAnsi="Times New Roman" w:eastAsia="宋体"/>
                <w:color w:val="auto"/>
                <w:spacing w:val="-2"/>
                <w:sz w:val="24"/>
                <w:szCs w:val="24"/>
              </w:rPr>
              <w:t>，电泳面积为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Times New Roman"/>
                <w:color w:val="auto"/>
                <w:spacing w:val="-2"/>
                <w:sz w:val="24"/>
                <w:szCs w:val="24"/>
              </w:rPr>
              <w:t>/</w:t>
            </w:r>
            <w:r>
              <w:rPr>
                <w:rFonts w:ascii="Times New Roman" w:hAnsi="Times New Roman" w:eastAsia="宋体"/>
                <w:color w:val="auto"/>
                <w:spacing w:val="-2"/>
                <w:sz w:val="24"/>
                <w:szCs w:val="24"/>
              </w:rPr>
              <w:t>套，</w:t>
            </w:r>
            <w:r>
              <w:rPr>
                <w:rFonts w:hint="eastAsia" w:ascii="Times New Roman" w:hAnsi="Times New Roman" w:eastAsia="宋体"/>
                <w:color w:val="auto"/>
                <w:spacing w:val="-2"/>
                <w:sz w:val="24"/>
                <w:szCs w:val="24"/>
                <w:lang w:val="en-US" w:eastAsia="zh-CN"/>
              </w:rPr>
              <w:t>本项目设计年加工</w:t>
            </w:r>
            <w:r>
              <w:rPr>
                <w:rFonts w:hint="eastAsia" w:ascii="Times New Roman" w:hAnsi="Times New Roman" w:eastAsia="宋体" w:cs="Times New Roman"/>
                <w:color w:val="auto"/>
                <w:spacing w:val="-2"/>
                <w:sz w:val="24"/>
                <w:szCs w:val="24"/>
                <w:lang w:val="en-US" w:eastAsia="zh-CN"/>
              </w:rPr>
              <w:t>12万套</w:t>
            </w:r>
            <w:r>
              <w:rPr>
                <w:rFonts w:hint="eastAsia" w:ascii="Times New Roman" w:hAnsi="Times New Roman" w:eastAsia="宋体"/>
                <w:color w:val="auto"/>
                <w:spacing w:val="-2"/>
                <w:sz w:val="24"/>
                <w:szCs w:val="24"/>
                <w:lang w:val="en-US" w:eastAsia="zh-CN"/>
              </w:rPr>
              <w:t>汽车座椅骨架生产规模</w:t>
            </w:r>
            <w:r>
              <w:rPr>
                <w:rFonts w:hint="eastAsia" w:ascii="Times New Roman" w:hAnsi="Times New Roman" w:eastAsia="宋体"/>
                <w:color w:val="auto"/>
                <w:spacing w:val="-2"/>
                <w:sz w:val="24"/>
                <w:szCs w:val="24"/>
                <w:lang w:eastAsia="zh-CN"/>
              </w:rPr>
              <w:t>，</w:t>
            </w:r>
            <w:r>
              <w:rPr>
                <w:rFonts w:hint="eastAsia" w:ascii="Times New Roman" w:hAnsi="Times New Roman" w:eastAsia="宋体"/>
                <w:color w:val="auto"/>
                <w:spacing w:val="-2"/>
                <w:sz w:val="24"/>
                <w:szCs w:val="24"/>
                <w:lang w:val="en-US" w:eastAsia="zh-CN"/>
              </w:rPr>
              <w:t>设需电泳</w:t>
            </w:r>
            <w:r>
              <w:rPr>
                <w:rFonts w:ascii="Times New Roman" w:hAnsi="Times New Roman" w:eastAsia="宋体"/>
                <w:color w:val="auto"/>
                <w:spacing w:val="-2"/>
                <w:sz w:val="24"/>
                <w:szCs w:val="24"/>
              </w:rPr>
              <w:t>产品为</w:t>
            </w:r>
            <w:r>
              <w:rPr>
                <w:rFonts w:hint="eastAsia" w:ascii="Times New Roman" w:hAnsi="Times New Roman" w:eastAsia="宋体" w:cs="Times New Roman"/>
                <w:color w:val="auto"/>
                <w:spacing w:val="-2"/>
                <w:sz w:val="24"/>
                <w:szCs w:val="24"/>
                <w:lang w:val="en-US" w:eastAsia="zh-CN"/>
              </w:rPr>
              <w:t>9</w:t>
            </w:r>
            <w:r>
              <w:rPr>
                <w:rFonts w:ascii="Times New Roman" w:hAnsi="Times New Roman" w:eastAsia="宋体"/>
                <w:color w:val="auto"/>
                <w:spacing w:val="-2"/>
                <w:sz w:val="24"/>
                <w:szCs w:val="24"/>
              </w:rPr>
              <w:t>万套</w:t>
            </w:r>
            <w:r>
              <w:rPr>
                <w:rFonts w:ascii="Times New Roman" w:hAnsi="Times New Roman" w:eastAsia="宋体" w:cs="Times New Roman"/>
                <w:color w:val="auto"/>
                <w:spacing w:val="-2"/>
                <w:sz w:val="24"/>
                <w:szCs w:val="24"/>
              </w:rPr>
              <w:t>/a</w:t>
            </w:r>
            <w:r>
              <w:rPr>
                <w:rFonts w:ascii="Times New Roman" w:hAnsi="Times New Roman" w:eastAsia="宋体"/>
                <w:color w:val="auto"/>
                <w:spacing w:val="-2"/>
                <w:sz w:val="24"/>
                <w:szCs w:val="24"/>
              </w:rPr>
              <w:t>，</w:t>
            </w:r>
            <w:r>
              <w:rPr>
                <w:rFonts w:ascii="Times New Roman" w:hAnsi="Times New Roman" w:eastAsia="宋体"/>
                <w:color w:val="auto"/>
                <w:spacing w:val="-3"/>
                <w:sz w:val="24"/>
                <w:szCs w:val="24"/>
              </w:rPr>
              <w:t>电泳漆调配工艺为乳液：黑浆：</w:t>
            </w:r>
            <w:r>
              <w:rPr>
                <w:rFonts w:ascii="Times New Roman" w:hAnsi="Times New Roman" w:eastAsia="宋体"/>
                <w:color w:val="auto"/>
                <w:spacing w:val="-5"/>
                <w:sz w:val="24"/>
                <w:szCs w:val="24"/>
              </w:rPr>
              <w:t>助剂：中和剂</w:t>
            </w:r>
            <w:r>
              <w:rPr>
                <w:rFonts w:ascii="Times New Roman" w:hAnsi="Times New Roman" w:eastAsia="宋体" w:cs="Times New Roman"/>
                <w:color w:val="auto"/>
                <w:spacing w:val="-5"/>
                <w:sz w:val="24"/>
                <w:szCs w:val="24"/>
              </w:rPr>
              <w:t>=112.5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17.5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w:t>
            </w:r>
            <w:r>
              <w:rPr>
                <w:rFonts w:ascii="Times New Roman" w:hAnsi="Times New Roman" w:eastAsia="宋体"/>
                <w:color w:val="auto"/>
                <w:spacing w:val="-5"/>
                <w:sz w:val="24"/>
                <w:szCs w:val="24"/>
              </w:rPr>
              <w:t>。</w:t>
            </w:r>
          </w:p>
          <w:p w14:paraId="12643A31">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根据项目喷粉方案，粉末每层厚度约</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rPr>
              <w:t>μm</w:t>
            </w:r>
            <w:r>
              <w:rPr>
                <w:rFonts w:ascii="Times New Roman" w:hAnsi="Times New Roman" w:eastAsia="宋体" w:cs="宋体"/>
                <w:color w:val="auto"/>
                <w:spacing w:val="-2"/>
                <w:sz w:val="24"/>
                <w:szCs w:val="24"/>
              </w:rPr>
              <w:t>，</w:t>
            </w:r>
            <w:r>
              <w:rPr>
                <w:rFonts w:ascii="Times New Roman" w:hAnsi="Times New Roman" w:eastAsia="宋体" w:cs="Times New Roman"/>
                <w:color w:val="auto"/>
                <w:spacing w:val="-2"/>
                <w:sz w:val="24"/>
                <w:szCs w:val="24"/>
              </w:rPr>
              <w:t>电</w:t>
            </w:r>
            <w:r>
              <w:rPr>
                <w:rFonts w:ascii="Times New Roman" w:hAnsi="Times New Roman" w:eastAsia="宋体" w:cs="宋体"/>
                <w:color w:val="auto"/>
                <w:spacing w:val="-2"/>
                <w:sz w:val="24"/>
                <w:szCs w:val="24"/>
              </w:rPr>
              <w:t>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宋体"/>
                <w:color w:val="auto"/>
                <w:spacing w:val="-2"/>
                <w:sz w:val="24"/>
                <w:szCs w:val="24"/>
              </w:rPr>
              <w:t>/套，</w:t>
            </w:r>
            <w:r>
              <w:rPr>
                <w:rFonts w:hint="eastAsia" w:ascii="Times New Roman" w:hAnsi="Times New Roman" w:eastAsia="宋体" w:cs="宋体"/>
                <w:color w:val="auto"/>
                <w:spacing w:val="-2"/>
                <w:sz w:val="24"/>
                <w:szCs w:val="24"/>
                <w:lang w:val="en-US" w:eastAsia="zh-CN"/>
              </w:rPr>
              <w:t>本项目设计年加工12万套汽车座椅骨架生产规模</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设需电泳</w:t>
            </w:r>
            <w:r>
              <w:rPr>
                <w:rFonts w:ascii="Times New Roman" w:hAnsi="Times New Roman" w:eastAsia="宋体" w:cs="宋体"/>
                <w:color w:val="auto"/>
                <w:spacing w:val="-2"/>
                <w:sz w:val="24"/>
                <w:szCs w:val="24"/>
              </w:rPr>
              <w:t>产品为</w:t>
            </w:r>
            <w:r>
              <w:rPr>
                <w:rFonts w:hint="default" w:ascii="Times New Roman" w:hAnsi="Times New Roman" w:eastAsia="宋体" w:cs="Times New Roman"/>
                <w:color w:val="auto"/>
                <w:spacing w:val="-2"/>
                <w:sz w:val="24"/>
                <w:szCs w:val="24"/>
                <w:lang w:val="en-US" w:eastAsia="zh-CN"/>
              </w:rPr>
              <w:t>1.5</w:t>
            </w:r>
            <w:r>
              <w:rPr>
                <w:rFonts w:ascii="Times New Roman" w:hAnsi="Times New Roman" w:eastAsia="宋体" w:cs="宋体"/>
                <w:color w:val="auto"/>
                <w:spacing w:val="-2"/>
                <w:sz w:val="24"/>
                <w:szCs w:val="24"/>
              </w:rPr>
              <w:t>万套/a</w:t>
            </w:r>
            <w:r>
              <w:rPr>
                <w:rFonts w:hint="eastAsia" w:ascii="Times New Roman" w:hAnsi="Times New Roman" w:eastAsia="宋体" w:cs="宋体"/>
                <w:color w:val="auto"/>
                <w:spacing w:val="-2"/>
                <w:sz w:val="24"/>
                <w:szCs w:val="24"/>
                <w:lang w:val="en-US" w:eastAsia="zh-CN"/>
              </w:rPr>
              <w:t>。</w:t>
            </w:r>
          </w:p>
          <w:p w14:paraId="62B8C878">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根据项目喷漆方案，水性涂料每层厚度约</w:t>
            </w:r>
            <w:r>
              <w:rPr>
                <w:rFonts w:hint="eastAsia" w:ascii="Times New Roman" w:hAnsi="Times New Roman" w:eastAsia="宋体" w:cs="Times New Roman"/>
                <w:color w:val="auto"/>
                <w:spacing w:val="-2"/>
                <w:sz w:val="24"/>
                <w:szCs w:val="24"/>
                <w:lang w:val="en-US" w:eastAsia="zh-CN"/>
              </w:rPr>
              <w:t>30</w:t>
            </w:r>
            <w:r>
              <w:rPr>
                <w:rFonts w:hint="default" w:ascii="Times New Roman" w:hAnsi="Times New Roman" w:eastAsia="宋体" w:cs="Times New Roman"/>
                <w:color w:val="auto"/>
                <w:spacing w:val="-2"/>
                <w:sz w:val="24"/>
                <w:szCs w:val="24"/>
              </w:rPr>
              <w:t>μm</w:t>
            </w:r>
            <w:r>
              <w:rPr>
                <w:rFonts w:ascii="Times New Roman" w:hAnsi="Times New Roman" w:eastAsia="宋体" w:cs="宋体"/>
                <w:color w:val="auto"/>
                <w:spacing w:val="-2"/>
                <w:sz w:val="24"/>
                <w:szCs w:val="24"/>
              </w:rPr>
              <w:t>，</w:t>
            </w:r>
            <w:r>
              <w:rPr>
                <w:rFonts w:ascii="Times New Roman" w:hAnsi="Times New Roman" w:eastAsia="宋体" w:cs="Times New Roman"/>
                <w:color w:val="auto"/>
                <w:spacing w:val="-2"/>
                <w:sz w:val="24"/>
                <w:szCs w:val="24"/>
              </w:rPr>
              <w:t>电</w:t>
            </w:r>
            <w:r>
              <w:rPr>
                <w:rFonts w:ascii="Times New Roman" w:hAnsi="Times New Roman" w:eastAsia="宋体" w:cs="宋体"/>
                <w:color w:val="auto"/>
                <w:spacing w:val="-2"/>
                <w:sz w:val="24"/>
                <w:szCs w:val="24"/>
              </w:rPr>
              <w:t>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宋体"/>
                <w:color w:val="auto"/>
                <w:spacing w:val="-2"/>
                <w:sz w:val="24"/>
                <w:szCs w:val="24"/>
              </w:rPr>
              <w:t>/套，</w:t>
            </w:r>
            <w:r>
              <w:rPr>
                <w:rFonts w:hint="eastAsia" w:ascii="Times New Roman" w:hAnsi="Times New Roman" w:eastAsia="宋体" w:cs="宋体"/>
                <w:color w:val="auto"/>
                <w:spacing w:val="-2"/>
                <w:sz w:val="24"/>
                <w:szCs w:val="24"/>
                <w:lang w:val="en-US" w:eastAsia="zh-CN"/>
              </w:rPr>
              <w:t>本项目设计年加工12万套汽车座椅骨架生产规模</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设需喷漆</w:t>
            </w:r>
            <w:r>
              <w:rPr>
                <w:rFonts w:ascii="Times New Roman" w:hAnsi="Times New Roman" w:eastAsia="宋体" w:cs="宋体"/>
                <w:color w:val="auto"/>
                <w:spacing w:val="-2"/>
                <w:sz w:val="24"/>
                <w:szCs w:val="24"/>
              </w:rPr>
              <w:t>产品为</w:t>
            </w:r>
            <w:r>
              <w:rPr>
                <w:rFonts w:hint="default" w:ascii="Times New Roman" w:hAnsi="Times New Roman" w:eastAsia="宋体" w:cs="Times New Roman"/>
                <w:color w:val="auto"/>
                <w:spacing w:val="-2"/>
                <w:sz w:val="24"/>
                <w:szCs w:val="24"/>
                <w:lang w:val="en-US" w:eastAsia="zh-CN"/>
              </w:rPr>
              <w:t>1.5</w:t>
            </w:r>
            <w:r>
              <w:rPr>
                <w:rFonts w:ascii="Times New Roman" w:hAnsi="Times New Roman" w:eastAsia="宋体" w:cs="宋体"/>
                <w:color w:val="auto"/>
                <w:spacing w:val="-2"/>
                <w:sz w:val="24"/>
                <w:szCs w:val="24"/>
              </w:rPr>
              <w:t>万套/a</w:t>
            </w:r>
            <w:r>
              <w:rPr>
                <w:rFonts w:hint="eastAsia" w:ascii="Times New Roman" w:hAnsi="Times New Roman" w:eastAsia="宋体" w:cs="宋体"/>
                <w:color w:val="auto"/>
                <w:spacing w:val="-2"/>
                <w:sz w:val="24"/>
                <w:szCs w:val="24"/>
                <w:lang w:val="en-US" w:eastAsia="zh-CN"/>
              </w:rPr>
              <w:t>。</w:t>
            </w:r>
          </w:p>
          <w:p w14:paraId="099D3170">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color w:val="auto"/>
                <w:sz w:val="24"/>
                <w:szCs w:val="24"/>
              </w:rPr>
            </w:pPr>
            <w:r>
              <w:rPr>
                <w:rFonts w:hint="eastAsia"/>
                <w:color w:val="auto"/>
                <w:spacing w:val="-3"/>
                <w:sz w:val="24"/>
                <w:szCs w:val="24"/>
                <w:lang w:val="en-US" w:eastAsia="zh-CN"/>
              </w:rPr>
              <w:t>涂装材料</w:t>
            </w:r>
            <w:r>
              <w:rPr>
                <w:color w:val="auto"/>
                <w:spacing w:val="-3"/>
                <w:sz w:val="24"/>
                <w:szCs w:val="24"/>
              </w:rPr>
              <w:t>用量采用以下公式计算。</w:t>
            </w:r>
          </w:p>
          <w:p w14:paraId="6442C345">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color w:val="auto"/>
              </w:rPr>
            </w:pPr>
            <w:r>
              <w:rPr>
                <w:color w:val="auto"/>
                <w:position w:val="-11"/>
              </w:rPr>
              <w:drawing>
                <wp:inline distT="0" distB="0" distL="0" distR="0">
                  <wp:extent cx="1040765" cy="347345"/>
                  <wp:effectExtent l="0" t="0" r="6985" b="14605"/>
                  <wp:docPr id="237" name="IM 2"/>
                  <wp:cNvGraphicFramePr/>
                  <a:graphic xmlns:a="http://schemas.openxmlformats.org/drawingml/2006/main">
                    <a:graphicData uri="http://schemas.openxmlformats.org/drawingml/2006/picture">
                      <pic:pic xmlns:pic="http://schemas.openxmlformats.org/drawingml/2006/picture">
                        <pic:nvPicPr>
                          <pic:cNvPr id="237" name="IM 2"/>
                          <pic:cNvPicPr/>
                        </pic:nvPicPr>
                        <pic:blipFill>
                          <a:blip r:embed="rId11"/>
                          <a:stretch>
                            <a:fillRect/>
                          </a:stretch>
                        </pic:blipFill>
                        <pic:spPr>
                          <a:xfrm>
                            <a:off x="0" y="0"/>
                            <a:ext cx="1041196" cy="347713"/>
                          </a:xfrm>
                          <a:prstGeom prst="rect">
                            <a:avLst/>
                          </a:prstGeom>
                        </pic:spPr>
                      </pic:pic>
                    </a:graphicData>
                  </a:graphic>
                </wp:inline>
              </w:drawing>
            </w:r>
          </w:p>
          <w:p w14:paraId="25B7CDF9">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color w:val="auto"/>
                <w:spacing w:val="-1"/>
                <w:sz w:val="24"/>
                <w:szCs w:val="24"/>
              </w:rPr>
              <w:t>其中：</w:t>
            </w:r>
            <w:r>
              <w:rPr>
                <w:rFonts w:ascii="Times New Roman" w:hAnsi="Times New Roman" w:eastAsia="Times New Roman" w:cs="Times New Roman"/>
                <w:color w:val="auto"/>
                <w:spacing w:val="-1"/>
                <w:sz w:val="24"/>
                <w:szCs w:val="24"/>
              </w:rPr>
              <w:t>m——</w:t>
            </w:r>
            <w:r>
              <w:rPr>
                <w:color w:val="auto"/>
                <w:spacing w:val="-1"/>
                <w:sz w:val="24"/>
                <w:szCs w:val="24"/>
              </w:rPr>
              <w:t>总用量（</w:t>
            </w:r>
            <w:r>
              <w:rPr>
                <w:rFonts w:ascii="Times New Roman" w:hAnsi="Times New Roman" w:eastAsia="Times New Roman" w:cs="Times New Roman"/>
                <w:color w:val="auto"/>
                <w:spacing w:val="-1"/>
                <w:sz w:val="24"/>
                <w:szCs w:val="24"/>
              </w:rPr>
              <w:t>t/a</w:t>
            </w:r>
            <w:r>
              <w:rPr>
                <w:color w:val="auto"/>
                <w:spacing w:val="1"/>
                <w:sz w:val="24"/>
                <w:szCs w:val="24"/>
              </w:rPr>
              <w:t>）；</w:t>
            </w:r>
          </w:p>
          <w:p w14:paraId="0CD5974E">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ρ——</w:t>
            </w:r>
            <w:r>
              <w:rPr>
                <w:color w:val="auto"/>
                <w:spacing w:val="-1"/>
                <w:sz w:val="24"/>
                <w:szCs w:val="24"/>
              </w:rPr>
              <w:t>密度（</w:t>
            </w:r>
            <w:r>
              <w:rPr>
                <w:rFonts w:ascii="Times New Roman" w:hAnsi="Times New Roman" w:eastAsia="Times New Roman" w:cs="Times New Roman"/>
                <w:color w:val="auto"/>
                <w:spacing w:val="-1"/>
                <w:sz w:val="24"/>
                <w:szCs w:val="24"/>
              </w:rPr>
              <w:t>g/cm</w:t>
            </w:r>
            <w:r>
              <w:rPr>
                <w:rFonts w:ascii="Times New Roman" w:hAnsi="Times New Roman" w:eastAsia="Times New Roman" w:cs="Times New Roman"/>
                <w:color w:val="auto"/>
                <w:spacing w:val="-1"/>
                <w:position w:val="7"/>
                <w:sz w:val="15"/>
                <w:szCs w:val="15"/>
              </w:rPr>
              <w:t>3</w:t>
            </w:r>
            <w:r>
              <w:rPr>
                <w:color w:val="auto"/>
                <w:spacing w:val="-17"/>
                <w:sz w:val="24"/>
                <w:szCs w:val="24"/>
              </w:rPr>
              <w:t>）；</w:t>
            </w:r>
          </w:p>
          <w:p w14:paraId="1F80D15A">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δ——</w:t>
            </w:r>
            <w:r>
              <w:rPr>
                <w:color w:val="auto"/>
                <w:spacing w:val="-1"/>
                <w:sz w:val="24"/>
                <w:szCs w:val="24"/>
              </w:rPr>
              <w:t>涂层厚度</w:t>
            </w:r>
            <w:r>
              <w:rPr>
                <w:rFonts w:hint="eastAsia"/>
                <w:color w:val="auto"/>
                <w:spacing w:val="-1"/>
                <w:sz w:val="24"/>
                <w:szCs w:val="24"/>
                <w:lang w:eastAsia="zh-CN"/>
              </w:rPr>
              <w:t>（</w:t>
            </w:r>
            <w:r>
              <w:rPr>
                <w:rFonts w:ascii="Times New Roman" w:hAnsi="Times New Roman" w:eastAsia="Times New Roman" w:cs="Times New Roman"/>
                <w:color w:val="auto"/>
                <w:spacing w:val="-1"/>
                <w:sz w:val="24"/>
                <w:szCs w:val="24"/>
              </w:rPr>
              <w:t>μm</w:t>
            </w:r>
            <w:r>
              <w:rPr>
                <w:color w:val="auto"/>
                <w:sz w:val="24"/>
                <w:szCs w:val="24"/>
              </w:rPr>
              <w:t>）；</w:t>
            </w:r>
          </w:p>
          <w:p w14:paraId="547016D3">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s——</w:t>
            </w:r>
            <w:r>
              <w:rPr>
                <w:color w:val="auto"/>
                <w:spacing w:val="-1"/>
                <w:sz w:val="24"/>
                <w:szCs w:val="24"/>
              </w:rPr>
              <w:t>涂层总面积（</w:t>
            </w:r>
            <w:r>
              <w:rPr>
                <w:rFonts w:ascii="Times New Roman" w:hAnsi="Times New Roman" w:eastAsia="Times New Roman" w:cs="Times New Roman"/>
                <w:color w:val="auto"/>
                <w:spacing w:val="-1"/>
                <w:sz w:val="24"/>
                <w:szCs w:val="24"/>
              </w:rPr>
              <w:t>m</w:t>
            </w:r>
            <w:r>
              <w:rPr>
                <w:rFonts w:ascii="Times New Roman" w:hAnsi="Times New Roman" w:eastAsia="Times New Roman" w:cs="Times New Roman"/>
                <w:color w:val="auto"/>
                <w:spacing w:val="-1"/>
                <w:position w:val="7"/>
                <w:sz w:val="15"/>
                <w:szCs w:val="15"/>
              </w:rPr>
              <w:t>2</w:t>
            </w:r>
            <w:r>
              <w:rPr>
                <w:rFonts w:ascii="Times New Roman" w:hAnsi="Times New Roman" w:eastAsia="Times New Roman" w:cs="Times New Roman"/>
                <w:color w:val="auto"/>
                <w:spacing w:val="-1"/>
                <w:sz w:val="24"/>
                <w:szCs w:val="24"/>
              </w:rPr>
              <w:t>/a</w:t>
            </w:r>
            <w:r>
              <w:rPr>
                <w:color w:val="auto"/>
                <w:spacing w:val="1"/>
                <w:sz w:val="24"/>
                <w:szCs w:val="24"/>
              </w:rPr>
              <w:t>）；</w:t>
            </w:r>
          </w:p>
          <w:p w14:paraId="608632B3">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z w:val="24"/>
                <w:szCs w:val="24"/>
              </w:rPr>
            </w:pPr>
            <w:r>
              <w:rPr>
                <w:rFonts w:ascii="Times New Roman" w:hAnsi="Times New Roman" w:eastAsia="Times New Roman" w:cs="Times New Roman"/>
                <w:color w:val="auto"/>
                <w:sz w:val="24"/>
                <w:szCs w:val="24"/>
              </w:rPr>
              <w:t>NV——</w:t>
            </w:r>
            <w:r>
              <w:rPr>
                <w:color w:val="auto"/>
                <w:sz w:val="24"/>
                <w:szCs w:val="24"/>
              </w:rPr>
              <w:t>漆料中的体积固体份；</w:t>
            </w:r>
          </w:p>
          <w:p w14:paraId="5E278DA1">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color w:val="auto"/>
                <w:sz w:val="24"/>
                <w:szCs w:val="24"/>
              </w:rPr>
            </w:pPr>
            <w:r>
              <w:rPr>
                <w:rFonts w:ascii="Times New Roman" w:hAnsi="Times New Roman" w:eastAsia="Times New Roman" w:cs="Times New Roman"/>
                <w:color w:val="auto"/>
                <w:spacing w:val="-2"/>
                <w:sz w:val="24"/>
                <w:szCs w:val="24"/>
              </w:rPr>
              <w:t>ε——</w:t>
            </w:r>
            <w:r>
              <w:rPr>
                <w:color w:val="auto"/>
                <w:spacing w:val="-2"/>
                <w:sz w:val="24"/>
                <w:szCs w:val="24"/>
              </w:rPr>
              <w:t>上漆率</w:t>
            </w:r>
            <w:r>
              <w:rPr>
                <w:rFonts w:hint="eastAsia"/>
                <w:b w:val="0"/>
                <w:bCs w:val="0"/>
                <w:color w:val="auto"/>
                <w:spacing w:val="3"/>
                <w:sz w:val="21"/>
                <w:szCs w:val="21"/>
                <w:lang w:val="en-US" w:eastAsia="zh-CN"/>
              </w:rPr>
              <w:t>/</w:t>
            </w:r>
            <w:r>
              <w:rPr>
                <w:rFonts w:hint="eastAsia" w:ascii="宋体" w:hAnsi="宋体" w:eastAsia="宋体" w:cs="宋体"/>
                <w:color w:val="auto"/>
                <w:spacing w:val="-2"/>
                <w:sz w:val="24"/>
                <w:szCs w:val="24"/>
                <w:lang w:val="en-US" w:eastAsia="zh-CN"/>
              </w:rPr>
              <w:t>上粉率</w:t>
            </w:r>
            <w:r>
              <w:rPr>
                <w:color w:val="auto"/>
                <w:spacing w:val="-2"/>
                <w:sz w:val="24"/>
                <w:szCs w:val="24"/>
              </w:rPr>
              <w:t>。</w:t>
            </w:r>
          </w:p>
          <w:p w14:paraId="7AEB0ED2">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color w:val="auto"/>
                <w:spacing w:val="-1"/>
                <w:sz w:val="24"/>
                <w:szCs w:val="24"/>
              </w:rPr>
            </w:pPr>
            <w:r>
              <w:rPr>
                <w:color w:val="auto"/>
                <w:spacing w:val="-1"/>
                <w:sz w:val="24"/>
                <w:szCs w:val="24"/>
              </w:rPr>
              <w:t>本项目涂料使用计算参数见下表。</w:t>
            </w:r>
          </w:p>
          <w:p w14:paraId="52A0261D">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sz w:val="24"/>
                <w:szCs w:val="24"/>
              </w:rPr>
            </w:pPr>
            <w:r>
              <w:rPr>
                <w:rFonts w:hint="eastAsia" w:cs="Times New Roman"/>
                <w:color w:val="auto"/>
                <w:highlight w:val="none"/>
                <w:lang w:val="en-US" w:eastAsia="zh-CN"/>
              </w:rPr>
              <w:t>涂装材料</w:t>
            </w:r>
            <w:r>
              <w:rPr>
                <w:rFonts w:hint="eastAsia" w:ascii="Times New Roman" w:hAnsi="Times New Roman" w:eastAsia="宋体" w:cs="Times New Roman"/>
                <w:color w:val="auto"/>
                <w:highlight w:val="none"/>
              </w:rPr>
              <w:t>用量计算参数一览表</w:t>
            </w:r>
          </w:p>
          <w:tbl>
            <w:tblPr>
              <w:tblStyle w:val="86"/>
              <w:tblW w:w="8633"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40"/>
              <w:gridCol w:w="923"/>
              <w:gridCol w:w="885"/>
              <w:gridCol w:w="2"/>
              <w:gridCol w:w="81"/>
              <w:gridCol w:w="777"/>
              <w:gridCol w:w="24"/>
              <w:gridCol w:w="3"/>
              <w:gridCol w:w="881"/>
              <w:gridCol w:w="5"/>
              <w:gridCol w:w="16"/>
              <w:gridCol w:w="809"/>
              <w:gridCol w:w="55"/>
              <w:gridCol w:w="7"/>
              <w:gridCol w:w="890"/>
              <w:gridCol w:w="847"/>
              <w:gridCol w:w="841"/>
              <w:gridCol w:w="847"/>
            </w:tblGrid>
            <w:tr w14:paraId="25AF63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40" w:type="dxa"/>
                  <w:tcBorders>
                    <w:bottom w:val="single" w:color="000000" w:sz="12" w:space="0"/>
                  </w:tcBorders>
                  <w:vAlign w:val="center"/>
                </w:tcPr>
                <w:p w14:paraId="427D1F0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b w:val="0"/>
                      <w:bCs w:val="0"/>
                      <w:color w:val="auto"/>
                      <w:spacing w:val="3"/>
                      <w:sz w:val="21"/>
                      <w:szCs w:val="21"/>
                      <w:lang w:val="en-US" w:eastAsia="zh-CN"/>
                    </w:rPr>
                  </w:pPr>
                  <w:r>
                    <w:rPr>
                      <w:rFonts w:hint="eastAsia"/>
                      <w:b w:val="0"/>
                      <w:bCs w:val="0"/>
                      <w:color w:val="auto"/>
                      <w:spacing w:val="3"/>
                      <w:sz w:val="21"/>
                      <w:szCs w:val="21"/>
                      <w:lang w:val="en-US" w:eastAsia="zh-CN"/>
                    </w:rPr>
                    <w:t>工序</w:t>
                  </w:r>
                </w:p>
              </w:tc>
              <w:tc>
                <w:tcPr>
                  <w:tcW w:w="923" w:type="dxa"/>
                  <w:tcBorders>
                    <w:bottom w:val="single" w:color="000000" w:sz="12" w:space="0"/>
                  </w:tcBorders>
                  <w:vAlign w:val="center"/>
                </w:tcPr>
                <w:p w14:paraId="652A7A4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3"/>
                      <w:sz w:val="21"/>
                      <w:szCs w:val="21"/>
                    </w:rPr>
                    <w:t>类型</w:t>
                  </w:r>
                </w:p>
              </w:tc>
              <w:tc>
                <w:tcPr>
                  <w:tcW w:w="968" w:type="dxa"/>
                  <w:gridSpan w:val="3"/>
                  <w:tcBorders>
                    <w:bottom w:val="single" w:color="000000" w:sz="12" w:space="0"/>
                  </w:tcBorders>
                  <w:vAlign w:val="center"/>
                </w:tcPr>
                <w:p w14:paraId="116F930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3"/>
                      <w:sz w:val="21"/>
                      <w:szCs w:val="21"/>
                    </w:rPr>
                    <w:t>密度</w:t>
                  </w:r>
                </w:p>
                <w:p w14:paraId="4C2DB0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4"/>
                      <w:sz w:val="21"/>
                      <w:szCs w:val="21"/>
                    </w:rPr>
                    <w:t>ρ(g/</w:t>
                  </w:r>
                  <w:r>
                    <w:rPr>
                      <w:rFonts w:ascii="Times New Roman" w:hAnsi="Times New Roman" w:eastAsia="宋体" w:cs="Times New Roman"/>
                      <w:b w:val="0"/>
                      <w:bCs w:val="0"/>
                      <w:color w:val="auto"/>
                      <w:sz w:val="21"/>
                      <w:szCs w:val="21"/>
                    </w:rPr>
                    <w:t>cm</w:t>
                  </w:r>
                  <w:r>
                    <w:rPr>
                      <w:rFonts w:hint="eastAsia" w:cs="Times New Roman"/>
                      <w:b w:val="0"/>
                      <w:bCs w:val="0"/>
                      <w:color w:val="auto"/>
                      <w:sz w:val="21"/>
                      <w:szCs w:val="21"/>
                      <w:vertAlign w:val="superscript"/>
                      <w:lang w:val="en-US" w:eastAsia="zh-CN"/>
                    </w:rPr>
                    <w:t>3</w:t>
                  </w:r>
                  <w:r>
                    <w:rPr>
                      <w:rFonts w:ascii="Times New Roman" w:hAnsi="Times New Roman" w:eastAsia="宋体" w:cs="Times New Roman"/>
                      <w:b w:val="0"/>
                      <w:bCs w:val="0"/>
                      <w:color w:val="auto"/>
                      <w:spacing w:val="4"/>
                      <w:sz w:val="21"/>
                      <w:szCs w:val="21"/>
                    </w:rPr>
                    <w:t>)</w:t>
                  </w:r>
                </w:p>
              </w:tc>
              <w:tc>
                <w:tcPr>
                  <w:tcW w:w="777" w:type="dxa"/>
                  <w:tcBorders>
                    <w:bottom w:val="single" w:color="000000" w:sz="12" w:space="0"/>
                  </w:tcBorders>
                  <w:vAlign w:val="center"/>
                </w:tcPr>
                <w:p w14:paraId="12C80C6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2"/>
                      <w:sz w:val="21"/>
                      <w:szCs w:val="21"/>
                    </w:rPr>
                    <w:t>涂层</w:t>
                  </w:r>
                  <w:r>
                    <w:rPr>
                      <w:rFonts w:eastAsia="宋体"/>
                      <w:b w:val="0"/>
                      <w:bCs w:val="0"/>
                      <w:color w:val="auto"/>
                      <w:spacing w:val="1"/>
                      <w:sz w:val="21"/>
                      <w:szCs w:val="21"/>
                    </w:rPr>
                    <w:t>厚度</w:t>
                  </w:r>
                  <w:r>
                    <w:rPr>
                      <w:rFonts w:ascii="Times New Roman" w:hAnsi="Times New Roman" w:eastAsia="宋体" w:cs="Times New Roman"/>
                      <w:b w:val="0"/>
                      <w:bCs w:val="0"/>
                      <w:color w:val="auto"/>
                      <w:spacing w:val="5"/>
                      <w:sz w:val="21"/>
                      <w:szCs w:val="21"/>
                    </w:rPr>
                    <w:t>δ(</w:t>
                  </w:r>
                  <w:r>
                    <w:rPr>
                      <w:rFonts w:ascii="Times New Roman" w:hAnsi="Times New Roman" w:eastAsia="Times New Roman" w:cs="Times New Roman"/>
                      <w:color w:val="auto"/>
                      <w:spacing w:val="-1"/>
                      <w:sz w:val="24"/>
                      <w:szCs w:val="24"/>
                    </w:rPr>
                    <w:t>μ</w:t>
                  </w:r>
                  <w:r>
                    <w:rPr>
                      <w:rFonts w:ascii="Times New Roman" w:hAnsi="Times New Roman" w:eastAsia="宋体" w:cs="Times New Roman"/>
                      <w:b w:val="0"/>
                      <w:bCs w:val="0"/>
                      <w:color w:val="auto"/>
                      <w:sz w:val="21"/>
                      <w:szCs w:val="21"/>
                    </w:rPr>
                    <w:t>m</w:t>
                  </w:r>
                  <w:r>
                    <w:rPr>
                      <w:rFonts w:ascii="Times New Roman" w:hAnsi="Times New Roman" w:eastAsia="宋体" w:cs="Times New Roman"/>
                      <w:b w:val="0"/>
                      <w:bCs w:val="0"/>
                      <w:color w:val="auto"/>
                      <w:spacing w:val="5"/>
                      <w:sz w:val="21"/>
                      <w:szCs w:val="21"/>
                    </w:rPr>
                    <w:t>)</w:t>
                  </w:r>
                </w:p>
              </w:tc>
              <w:tc>
                <w:tcPr>
                  <w:tcW w:w="929" w:type="dxa"/>
                  <w:gridSpan w:val="5"/>
                  <w:tcBorders>
                    <w:bottom w:val="single" w:color="000000" w:sz="12" w:space="0"/>
                  </w:tcBorders>
                  <w:vAlign w:val="center"/>
                </w:tcPr>
                <w:p w14:paraId="2F63E4F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1"/>
                      <w:sz w:val="21"/>
                      <w:szCs w:val="21"/>
                    </w:rPr>
                    <w:t>固</w:t>
                  </w:r>
                  <w:r>
                    <w:rPr>
                      <w:rFonts w:eastAsia="宋体"/>
                      <w:b w:val="0"/>
                      <w:bCs w:val="0"/>
                      <w:color w:val="auto"/>
                      <w:spacing w:val="28"/>
                      <w:sz w:val="21"/>
                      <w:szCs w:val="21"/>
                    </w:rPr>
                    <w:t>体份</w:t>
                  </w:r>
                  <w:r>
                    <w:rPr>
                      <w:rFonts w:ascii="Times New Roman" w:hAnsi="Times New Roman" w:eastAsia="宋体" w:cs="Times New Roman"/>
                      <w:b w:val="0"/>
                      <w:bCs w:val="0"/>
                      <w:color w:val="auto"/>
                      <w:sz w:val="21"/>
                      <w:szCs w:val="21"/>
                    </w:rPr>
                    <w:t>NV</w:t>
                  </w:r>
                  <w:r>
                    <w:rPr>
                      <w:rFonts w:ascii="Times New Roman" w:hAnsi="Times New Roman" w:eastAsia="宋体" w:cs="Times New Roman"/>
                      <w:b w:val="0"/>
                      <w:bCs w:val="0"/>
                      <w:color w:val="auto"/>
                      <w:spacing w:val="19"/>
                      <w:sz w:val="21"/>
                      <w:szCs w:val="21"/>
                    </w:rPr>
                    <w:t>%</w:t>
                  </w:r>
                </w:p>
              </w:tc>
              <w:tc>
                <w:tcPr>
                  <w:tcW w:w="809" w:type="dxa"/>
                  <w:tcBorders>
                    <w:bottom w:val="single" w:color="000000" w:sz="12" w:space="0"/>
                  </w:tcBorders>
                  <w:vAlign w:val="center"/>
                </w:tcPr>
                <w:p w14:paraId="4F0F4EC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3"/>
                      <w:sz w:val="21"/>
                      <w:szCs w:val="21"/>
                    </w:rPr>
                    <w:t>上漆率</w:t>
                  </w:r>
                  <w:r>
                    <w:rPr>
                      <w:rFonts w:hint="eastAsia"/>
                      <w:b w:val="0"/>
                      <w:bCs w:val="0"/>
                      <w:color w:val="auto"/>
                      <w:spacing w:val="3"/>
                      <w:sz w:val="21"/>
                      <w:szCs w:val="21"/>
                      <w:lang w:val="en-US" w:eastAsia="zh-CN"/>
                    </w:rPr>
                    <w:t>/上粉率</w:t>
                  </w:r>
                  <w:r>
                    <w:rPr>
                      <w:rFonts w:ascii="Times New Roman" w:hAnsi="Times New Roman" w:eastAsia="宋体" w:cs="Times New Roman"/>
                      <w:b w:val="0"/>
                      <w:bCs w:val="0"/>
                      <w:color w:val="auto"/>
                      <w:spacing w:val="3"/>
                      <w:sz w:val="21"/>
                      <w:szCs w:val="21"/>
                    </w:rPr>
                    <w:t>ε%</w:t>
                  </w:r>
                </w:p>
              </w:tc>
              <w:tc>
                <w:tcPr>
                  <w:tcW w:w="952" w:type="dxa"/>
                  <w:gridSpan w:val="3"/>
                  <w:tcBorders>
                    <w:bottom w:val="single" w:color="000000" w:sz="12" w:space="0"/>
                  </w:tcBorders>
                  <w:vAlign w:val="center"/>
                </w:tcPr>
                <w:p w14:paraId="0CB48B6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hint="eastAsia"/>
                      <w:b w:val="0"/>
                      <w:bCs w:val="0"/>
                      <w:color w:val="auto"/>
                      <w:spacing w:val="-3"/>
                      <w:sz w:val="21"/>
                      <w:szCs w:val="21"/>
                      <w:lang w:val="en-US" w:eastAsia="zh-CN"/>
                    </w:rPr>
                    <w:t>涂装</w:t>
                  </w:r>
                  <w:r>
                    <w:rPr>
                      <w:rFonts w:eastAsia="宋体"/>
                      <w:b w:val="0"/>
                      <w:bCs w:val="0"/>
                      <w:color w:val="auto"/>
                      <w:spacing w:val="-3"/>
                      <w:sz w:val="21"/>
                      <w:szCs w:val="21"/>
                    </w:rPr>
                    <w:t>面</w:t>
                  </w:r>
                  <w:r>
                    <w:rPr>
                      <w:rFonts w:eastAsia="宋体"/>
                      <w:b w:val="0"/>
                      <w:bCs w:val="0"/>
                      <w:color w:val="auto"/>
                      <w:spacing w:val="8"/>
                      <w:sz w:val="21"/>
                      <w:szCs w:val="21"/>
                    </w:rPr>
                    <w:t>积</w:t>
                  </w:r>
                  <w:r>
                    <w:rPr>
                      <w:rFonts w:ascii="Times New Roman" w:hAnsi="Times New Roman" w:eastAsia="宋体" w:cs="Times New Roman"/>
                      <w:b w:val="0"/>
                      <w:bCs w:val="0"/>
                      <w:color w:val="auto"/>
                      <w:spacing w:val="8"/>
                      <w:sz w:val="21"/>
                      <w:szCs w:val="21"/>
                    </w:rPr>
                    <w:t>S(m</w:t>
                  </w:r>
                  <w:r>
                    <w:rPr>
                      <w:rFonts w:hint="eastAsia" w:ascii="Times New Roman" w:hAnsi="Times New Roman" w:eastAsia="宋体" w:cs="Times New Roman"/>
                      <w:b w:val="0"/>
                      <w:bCs w:val="0"/>
                      <w:color w:val="auto"/>
                      <w:spacing w:val="8"/>
                      <w:sz w:val="21"/>
                      <w:szCs w:val="21"/>
                      <w:vertAlign w:val="superscript"/>
                      <w:lang w:val="en-US" w:eastAsia="zh-CN"/>
                    </w:rPr>
                    <w:t>2</w:t>
                  </w:r>
                  <w:r>
                    <w:rPr>
                      <w:rFonts w:ascii="Times New Roman" w:hAnsi="Times New Roman" w:eastAsia="宋体" w:cs="Times New Roman"/>
                      <w:b w:val="0"/>
                      <w:bCs w:val="0"/>
                      <w:color w:val="auto"/>
                      <w:spacing w:val="8"/>
                      <w:sz w:val="21"/>
                      <w:szCs w:val="21"/>
                    </w:rPr>
                    <w:t>)</w:t>
                  </w:r>
                </w:p>
              </w:tc>
              <w:tc>
                <w:tcPr>
                  <w:tcW w:w="847" w:type="dxa"/>
                  <w:tcBorders>
                    <w:bottom w:val="single" w:color="000000" w:sz="12" w:space="0"/>
                  </w:tcBorders>
                  <w:vAlign w:val="center"/>
                </w:tcPr>
                <w:p w14:paraId="0C61179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4"/>
                      <w:sz w:val="21"/>
                      <w:szCs w:val="21"/>
                    </w:rPr>
                    <w:t>理论计</w:t>
                  </w:r>
                </w:p>
                <w:p w14:paraId="6CD7D1D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5"/>
                      <w:sz w:val="21"/>
                      <w:szCs w:val="21"/>
                    </w:rPr>
                    <w:t>算用量</w:t>
                  </w:r>
                </w:p>
                <w:p w14:paraId="38AD365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hint="eastAsia"/>
                      <w:b w:val="0"/>
                      <w:bCs w:val="0"/>
                      <w:color w:val="auto"/>
                      <w:spacing w:val="-1"/>
                      <w:sz w:val="21"/>
                      <w:szCs w:val="21"/>
                      <w:lang w:eastAsia="zh-CN"/>
                    </w:rPr>
                    <w:t>(</w:t>
                  </w:r>
                  <w:r>
                    <w:rPr>
                      <w:rFonts w:ascii="Times New Roman" w:hAnsi="Times New Roman" w:eastAsia="宋体" w:cs="Times New Roman"/>
                      <w:b w:val="0"/>
                      <w:bCs w:val="0"/>
                      <w:color w:val="auto"/>
                      <w:spacing w:val="-1"/>
                      <w:sz w:val="21"/>
                      <w:szCs w:val="21"/>
                    </w:rPr>
                    <w:t>t/a</w:t>
                  </w:r>
                  <w:r>
                    <w:rPr>
                      <w:rFonts w:hint="eastAsia" w:ascii="Times New Roman" w:hAnsi="Times New Roman" w:cs="Times New Roman"/>
                      <w:b w:val="0"/>
                      <w:bCs w:val="0"/>
                      <w:color w:val="auto"/>
                      <w:spacing w:val="-1"/>
                      <w:sz w:val="21"/>
                      <w:szCs w:val="21"/>
                      <w:lang w:eastAsia="zh-CN"/>
                    </w:rPr>
                    <w:t>)</w:t>
                  </w:r>
                </w:p>
              </w:tc>
              <w:tc>
                <w:tcPr>
                  <w:tcW w:w="841" w:type="dxa"/>
                  <w:tcBorders>
                    <w:bottom w:val="single" w:color="000000" w:sz="12" w:space="0"/>
                  </w:tcBorders>
                  <w:vAlign w:val="center"/>
                </w:tcPr>
                <w:p w14:paraId="6409012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4"/>
                      <w:sz w:val="21"/>
                      <w:szCs w:val="21"/>
                    </w:rPr>
                    <w:t>设计用</w:t>
                  </w:r>
                </w:p>
                <w:p w14:paraId="483A2D6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2"/>
                      <w:sz w:val="21"/>
                      <w:szCs w:val="21"/>
                    </w:rPr>
                    <w:t>量</w:t>
                  </w:r>
                </w:p>
                <w:p w14:paraId="0E667A3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hint="eastAsia"/>
                      <w:b w:val="0"/>
                      <w:bCs w:val="0"/>
                      <w:color w:val="auto"/>
                      <w:spacing w:val="-1"/>
                      <w:sz w:val="21"/>
                      <w:szCs w:val="21"/>
                      <w:lang w:eastAsia="zh-CN"/>
                    </w:rPr>
                    <w:t>(</w:t>
                  </w:r>
                  <w:r>
                    <w:rPr>
                      <w:rFonts w:ascii="Times New Roman" w:hAnsi="Times New Roman" w:eastAsia="宋体" w:cs="Times New Roman"/>
                      <w:b w:val="0"/>
                      <w:bCs w:val="0"/>
                      <w:color w:val="auto"/>
                      <w:spacing w:val="-1"/>
                      <w:sz w:val="21"/>
                      <w:szCs w:val="21"/>
                    </w:rPr>
                    <w:t>t/a</w:t>
                  </w:r>
                  <w:r>
                    <w:rPr>
                      <w:rFonts w:hint="eastAsia" w:ascii="Times New Roman" w:hAnsi="Times New Roman" w:cs="Times New Roman"/>
                      <w:b w:val="0"/>
                      <w:bCs w:val="0"/>
                      <w:color w:val="auto"/>
                      <w:spacing w:val="-1"/>
                      <w:sz w:val="21"/>
                      <w:szCs w:val="21"/>
                      <w:lang w:eastAsia="zh-CN"/>
                    </w:rPr>
                    <w:t>)</w:t>
                  </w:r>
                </w:p>
              </w:tc>
              <w:tc>
                <w:tcPr>
                  <w:tcW w:w="847" w:type="dxa"/>
                  <w:tcBorders>
                    <w:bottom w:val="single" w:color="000000" w:sz="12" w:space="0"/>
                  </w:tcBorders>
                  <w:vAlign w:val="center"/>
                </w:tcPr>
                <w:p w14:paraId="0118BA6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2"/>
                      <w:sz w:val="21"/>
                      <w:szCs w:val="21"/>
                    </w:rPr>
                    <w:t>匹配情</w:t>
                  </w:r>
                  <w:r>
                    <w:rPr>
                      <w:rFonts w:eastAsia="宋体"/>
                      <w:b w:val="0"/>
                      <w:bCs w:val="0"/>
                      <w:color w:val="auto"/>
                      <w:spacing w:val="-3"/>
                      <w:sz w:val="21"/>
                      <w:szCs w:val="21"/>
                    </w:rPr>
                    <w:t>况</w:t>
                  </w:r>
                </w:p>
              </w:tc>
            </w:tr>
            <w:tr w14:paraId="65314F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40" w:type="dxa"/>
                  <w:vMerge w:val="restart"/>
                  <w:tcBorders>
                    <w:top w:val="single" w:color="000000" w:sz="12" w:space="0"/>
                    <w:tl2br w:val="nil"/>
                    <w:tr2bl w:val="nil"/>
                  </w:tcBorders>
                  <w:vAlign w:val="center"/>
                </w:tcPr>
                <w:p w14:paraId="3EA5EEC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pacing w:val="3"/>
                      <w:sz w:val="21"/>
                      <w:szCs w:val="21"/>
                      <w:lang w:val="en-US" w:eastAsia="zh-CN"/>
                    </w:rPr>
                  </w:pPr>
                  <w:r>
                    <w:rPr>
                      <w:rFonts w:hint="eastAsia"/>
                      <w:color w:val="auto"/>
                      <w:spacing w:val="3"/>
                      <w:sz w:val="21"/>
                      <w:szCs w:val="21"/>
                      <w:lang w:val="en-US" w:eastAsia="zh-CN"/>
                    </w:rPr>
                    <w:t>电泳</w:t>
                  </w:r>
                </w:p>
              </w:tc>
              <w:tc>
                <w:tcPr>
                  <w:tcW w:w="923" w:type="dxa"/>
                  <w:tcBorders>
                    <w:top w:val="single" w:color="000000" w:sz="12" w:space="0"/>
                    <w:tl2br w:val="nil"/>
                    <w:tr2bl w:val="nil"/>
                  </w:tcBorders>
                  <w:vAlign w:val="center"/>
                </w:tcPr>
                <w:p w14:paraId="16B7B1F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3"/>
                      <w:sz w:val="21"/>
                      <w:szCs w:val="21"/>
                    </w:rPr>
                    <w:t>乳液</w:t>
                  </w:r>
                </w:p>
              </w:tc>
              <w:tc>
                <w:tcPr>
                  <w:tcW w:w="968" w:type="dxa"/>
                  <w:gridSpan w:val="3"/>
                  <w:tcBorders>
                    <w:top w:val="single" w:color="000000" w:sz="12" w:space="0"/>
                    <w:tl2br w:val="nil"/>
                    <w:tr2bl w:val="nil"/>
                  </w:tcBorders>
                  <w:vAlign w:val="center"/>
                </w:tcPr>
                <w:p w14:paraId="175985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777" w:type="dxa"/>
                  <w:tcBorders>
                    <w:top w:val="single" w:color="000000" w:sz="12" w:space="0"/>
                    <w:tl2br w:val="nil"/>
                    <w:tr2bl w:val="nil"/>
                  </w:tcBorders>
                  <w:vAlign w:val="center"/>
                </w:tcPr>
                <w:p w14:paraId="10E68E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929" w:type="dxa"/>
                  <w:gridSpan w:val="5"/>
                  <w:tcBorders>
                    <w:top w:val="single" w:color="000000" w:sz="12" w:space="0"/>
                    <w:tl2br w:val="nil"/>
                    <w:tr2bl w:val="nil"/>
                  </w:tcBorders>
                  <w:vAlign w:val="center"/>
                </w:tcPr>
                <w:p w14:paraId="7F8A626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809" w:type="dxa"/>
                  <w:tcBorders>
                    <w:top w:val="single" w:color="000000" w:sz="12" w:space="0"/>
                    <w:tl2br w:val="nil"/>
                    <w:tr2bl w:val="nil"/>
                  </w:tcBorders>
                  <w:vAlign w:val="center"/>
                </w:tcPr>
                <w:p w14:paraId="69BC67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952" w:type="dxa"/>
                  <w:gridSpan w:val="3"/>
                  <w:tcBorders>
                    <w:top w:val="single" w:color="000000" w:sz="12" w:space="0"/>
                    <w:tl2br w:val="nil"/>
                    <w:tr2bl w:val="nil"/>
                  </w:tcBorders>
                  <w:vAlign w:val="center"/>
                </w:tcPr>
                <w:p w14:paraId="0946957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847" w:type="dxa"/>
                  <w:tcBorders>
                    <w:top w:val="single" w:color="000000" w:sz="12" w:space="0"/>
                    <w:tl2br w:val="nil"/>
                    <w:tr2bl w:val="nil"/>
                  </w:tcBorders>
                  <w:vAlign w:val="center"/>
                </w:tcPr>
                <w:p w14:paraId="5E47A5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1" w:type="dxa"/>
                  <w:tcBorders>
                    <w:top w:val="single" w:color="000000" w:sz="12" w:space="0"/>
                    <w:tl2br w:val="nil"/>
                    <w:tr2bl w:val="nil"/>
                  </w:tcBorders>
                  <w:vAlign w:val="center"/>
                </w:tcPr>
                <w:p w14:paraId="02E8880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7" w:type="dxa"/>
                  <w:vMerge w:val="restart"/>
                  <w:tcBorders>
                    <w:top w:val="single" w:color="000000" w:sz="12" w:space="0"/>
                    <w:tl2br w:val="nil"/>
                    <w:tr2bl w:val="nil"/>
                  </w:tcBorders>
                  <w:vAlign w:val="center"/>
                </w:tcPr>
                <w:p w14:paraId="33B7E7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317D4B8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z w:val="21"/>
                      <w:szCs w:val="21"/>
                    </w:rPr>
                    <w:t>配</w:t>
                  </w:r>
                </w:p>
              </w:tc>
            </w:tr>
            <w:tr w14:paraId="5B155E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0" w:type="dxa"/>
                  <w:vMerge w:val="continue"/>
                  <w:tcBorders>
                    <w:tl2br w:val="nil"/>
                    <w:tr2bl w:val="nil"/>
                  </w:tcBorders>
                  <w:vAlign w:val="center"/>
                </w:tcPr>
                <w:p w14:paraId="3EF4501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pacing w:val="2"/>
                      <w:sz w:val="21"/>
                      <w:szCs w:val="21"/>
                    </w:rPr>
                  </w:pPr>
                </w:p>
              </w:tc>
              <w:tc>
                <w:tcPr>
                  <w:tcW w:w="923" w:type="dxa"/>
                  <w:tcBorders>
                    <w:tl2br w:val="nil"/>
                    <w:tr2bl w:val="nil"/>
                  </w:tcBorders>
                  <w:vAlign w:val="center"/>
                </w:tcPr>
                <w:p w14:paraId="5244A6F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2"/>
                      <w:sz w:val="21"/>
                      <w:szCs w:val="21"/>
                    </w:rPr>
                    <w:t>黑浆</w:t>
                  </w:r>
                </w:p>
              </w:tc>
              <w:tc>
                <w:tcPr>
                  <w:tcW w:w="4435" w:type="dxa"/>
                  <w:gridSpan w:val="13"/>
                  <w:tcBorders>
                    <w:tl2br w:val="nil"/>
                    <w:tr2bl w:val="nil"/>
                  </w:tcBorders>
                  <w:vAlign w:val="center"/>
                </w:tcPr>
                <w:p w14:paraId="2B7842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847" w:type="dxa"/>
                  <w:tcBorders>
                    <w:tl2br w:val="nil"/>
                    <w:tr2bl w:val="nil"/>
                  </w:tcBorders>
                  <w:vAlign w:val="center"/>
                </w:tcPr>
                <w:p w14:paraId="793DE6D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1" w:type="dxa"/>
                  <w:tcBorders>
                    <w:tl2br w:val="nil"/>
                    <w:tr2bl w:val="nil"/>
                  </w:tcBorders>
                  <w:vAlign w:val="center"/>
                </w:tcPr>
                <w:p w14:paraId="6695C0E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7" w:type="dxa"/>
                  <w:vMerge w:val="continue"/>
                  <w:tcBorders>
                    <w:tl2br w:val="nil"/>
                    <w:tr2bl w:val="nil"/>
                  </w:tcBorders>
                  <w:vAlign w:val="center"/>
                </w:tcPr>
                <w:p w14:paraId="4640840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35B0E7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0" w:type="dxa"/>
                  <w:vMerge w:val="continue"/>
                  <w:tcBorders>
                    <w:tl2br w:val="nil"/>
                    <w:tr2bl w:val="nil"/>
                  </w:tcBorders>
                  <w:vAlign w:val="center"/>
                </w:tcPr>
                <w:p w14:paraId="20F834F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pacing w:val="4"/>
                      <w:sz w:val="21"/>
                      <w:szCs w:val="21"/>
                    </w:rPr>
                  </w:pPr>
                </w:p>
              </w:tc>
              <w:tc>
                <w:tcPr>
                  <w:tcW w:w="923" w:type="dxa"/>
                  <w:tcBorders>
                    <w:tl2br w:val="nil"/>
                    <w:tr2bl w:val="nil"/>
                  </w:tcBorders>
                  <w:vAlign w:val="center"/>
                </w:tcPr>
                <w:p w14:paraId="74D9FE7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4"/>
                      <w:sz w:val="21"/>
                      <w:szCs w:val="21"/>
                    </w:rPr>
                    <w:t>助剂</w:t>
                  </w:r>
                </w:p>
              </w:tc>
              <w:tc>
                <w:tcPr>
                  <w:tcW w:w="4435" w:type="dxa"/>
                  <w:gridSpan w:val="13"/>
                  <w:tcBorders>
                    <w:tl2br w:val="nil"/>
                    <w:tr2bl w:val="nil"/>
                  </w:tcBorders>
                  <w:vAlign w:val="center"/>
                </w:tcPr>
                <w:p w14:paraId="483C83E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847" w:type="dxa"/>
                  <w:tcBorders>
                    <w:tl2br w:val="nil"/>
                    <w:tr2bl w:val="nil"/>
                  </w:tcBorders>
                  <w:vAlign w:val="center"/>
                </w:tcPr>
                <w:p w14:paraId="56D8B4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1" w:type="dxa"/>
                  <w:tcBorders>
                    <w:tl2br w:val="nil"/>
                    <w:tr2bl w:val="nil"/>
                  </w:tcBorders>
                  <w:vAlign w:val="center"/>
                </w:tcPr>
                <w:p w14:paraId="207B50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7" w:type="dxa"/>
                  <w:vMerge w:val="continue"/>
                  <w:tcBorders>
                    <w:tl2br w:val="nil"/>
                    <w:tr2bl w:val="nil"/>
                  </w:tcBorders>
                  <w:vAlign w:val="center"/>
                </w:tcPr>
                <w:p w14:paraId="031C78CF">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48C975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40" w:type="dxa"/>
                  <w:vMerge w:val="continue"/>
                  <w:tcBorders>
                    <w:tl2br w:val="nil"/>
                    <w:tr2bl w:val="nil"/>
                  </w:tcBorders>
                  <w:vAlign w:val="center"/>
                </w:tcPr>
                <w:p w14:paraId="4675CCA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923" w:type="dxa"/>
                  <w:tcBorders>
                    <w:tl2br w:val="nil"/>
                    <w:tr2bl w:val="nil"/>
                  </w:tcBorders>
                  <w:vAlign w:val="center"/>
                </w:tcPr>
                <w:p w14:paraId="249BAAC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z w:val="21"/>
                      <w:szCs w:val="21"/>
                    </w:rPr>
                    <w:t>中和剂</w:t>
                  </w:r>
                </w:p>
              </w:tc>
              <w:tc>
                <w:tcPr>
                  <w:tcW w:w="4435" w:type="dxa"/>
                  <w:gridSpan w:val="13"/>
                  <w:tcBorders>
                    <w:tl2br w:val="nil"/>
                    <w:tr2bl w:val="nil"/>
                  </w:tcBorders>
                  <w:vAlign w:val="center"/>
                </w:tcPr>
                <w:p w14:paraId="3E42BC3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847" w:type="dxa"/>
                  <w:tcBorders>
                    <w:tl2br w:val="nil"/>
                    <w:tr2bl w:val="nil"/>
                  </w:tcBorders>
                  <w:vAlign w:val="center"/>
                </w:tcPr>
                <w:p w14:paraId="3C1682F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1" w:type="dxa"/>
                  <w:tcBorders>
                    <w:tl2br w:val="nil"/>
                    <w:tr2bl w:val="nil"/>
                  </w:tcBorders>
                  <w:vAlign w:val="center"/>
                </w:tcPr>
                <w:p w14:paraId="7C5040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847" w:type="dxa"/>
                  <w:vMerge w:val="continue"/>
                  <w:tcBorders>
                    <w:tl2br w:val="nil"/>
                    <w:tr2bl w:val="nil"/>
                  </w:tcBorders>
                  <w:vAlign w:val="center"/>
                </w:tcPr>
                <w:p w14:paraId="7348014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114DEB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40" w:type="dxa"/>
                  <w:tcBorders>
                    <w:tl2br w:val="nil"/>
                    <w:tr2bl w:val="nil"/>
                  </w:tcBorders>
                  <w:vAlign w:val="center"/>
                </w:tcPr>
                <w:p w14:paraId="25CEDF6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喷粉</w:t>
                  </w:r>
                </w:p>
              </w:tc>
              <w:tc>
                <w:tcPr>
                  <w:tcW w:w="923" w:type="dxa"/>
                  <w:tcBorders>
                    <w:tl2br w:val="nil"/>
                    <w:tr2bl w:val="nil"/>
                  </w:tcBorders>
                  <w:vAlign w:val="center"/>
                </w:tcPr>
                <w:p w14:paraId="01FB6C3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rFonts w:hint="eastAsia"/>
                      <w:color w:val="auto"/>
                      <w:sz w:val="21"/>
                      <w:szCs w:val="21"/>
                      <w:lang w:val="en-US" w:eastAsia="zh-CN"/>
                    </w:rPr>
                    <w:t>粉末涂料</w:t>
                  </w:r>
                </w:p>
              </w:tc>
              <w:tc>
                <w:tcPr>
                  <w:tcW w:w="885" w:type="dxa"/>
                  <w:tcBorders>
                    <w:tl2br w:val="nil"/>
                    <w:tr2bl w:val="nil"/>
                  </w:tcBorders>
                  <w:vAlign w:val="center"/>
                </w:tcPr>
                <w:p w14:paraId="7F2674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4" w:type="dxa"/>
                  <w:gridSpan w:val="4"/>
                  <w:tcBorders>
                    <w:tl2br w:val="nil"/>
                    <w:tr2bl w:val="nil"/>
                  </w:tcBorders>
                  <w:vAlign w:val="center"/>
                </w:tcPr>
                <w:p w14:paraId="7FFBC4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4" w:type="dxa"/>
                  <w:gridSpan w:val="2"/>
                  <w:tcBorders>
                    <w:tl2br w:val="nil"/>
                    <w:tr2bl w:val="nil"/>
                  </w:tcBorders>
                  <w:vAlign w:val="center"/>
                </w:tcPr>
                <w:p w14:paraId="1C0F62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5" w:type="dxa"/>
                  <w:gridSpan w:val="4"/>
                  <w:tcBorders>
                    <w:tl2br w:val="nil"/>
                    <w:tr2bl w:val="nil"/>
                  </w:tcBorders>
                  <w:vAlign w:val="center"/>
                </w:tcPr>
                <w:p w14:paraId="2FC7F5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97" w:type="dxa"/>
                  <w:gridSpan w:val="2"/>
                  <w:tcBorders>
                    <w:tl2br w:val="nil"/>
                    <w:tr2bl w:val="nil"/>
                  </w:tcBorders>
                  <w:vAlign w:val="center"/>
                </w:tcPr>
                <w:p w14:paraId="5D49AD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7" w:type="dxa"/>
                  <w:tcBorders>
                    <w:tl2br w:val="nil"/>
                    <w:tr2bl w:val="nil"/>
                  </w:tcBorders>
                  <w:vAlign w:val="center"/>
                </w:tcPr>
                <w:p w14:paraId="028FD0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1" w:type="dxa"/>
                  <w:tcBorders>
                    <w:tl2br w:val="nil"/>
                    <w:tr2bl w:val="nil"/>
                  </w:tcBorders>
                  <w:vAlign w:val="center"/>
                </w:tcPr>
                <w:p w14:paraId="2CB117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7" w:type="dxa"/>
                  <w:tcBorders>
                    <w:tl2br w:val="nil"/>
                    <w:tr2bl w:val="nil"/>
                  </w:tcBorders>
                  <w:vAlign w:val="center"/>
                </w:tcPr>
                <w:p w14:paraId="77A4F7E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7F90D2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6"/>
                      <w:sz w:val="21"/>
                      <w:szCs w:val="21"/>
                    </w:rPr>
                  </w:pPr>
                  <w:r>
                    <w:rPr>
                      <w:rFonts w:eastAsia="宋体"/>
                      <w:color w:val="auto"/>
                      <w:sz w:val="21"/>
                      <w:szCs w:val="21"/>
                    </w:rPr>
                    <w:t>配</w:t>
                  </w:r>
                </w:p>
              </w:tc>
            </w:tr>
            <w:tr w14:paraId="530C83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40" w:type="dxa"/>
                  <w:tcBorders>
                    <w:tl2br w:val="nil"/>
                    <w:tr2bl w:val="nil"/>
                  </w:tcBorders>
                  <w:vAlign w:val="center"/>
                </w:tcPr>
                <w:p w14:paraId="08255C0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喷漆</w:t>
                  </w:r>
                </w:p>
              </w:tc>
              <w:tc>
                <w:tcPr>
                  <w:tcW w:w="923" w:type="dxa"/>
                  <w:tcBorders>
                    <w:tl2br w:val="nil"/>
                    <w:tr2bl w:val="nil"/>
                  </w:tcBorders>
                  <w:vAlign w:val="center"/>
                </w:tcPr>
                <w:p w14:paraId="0A7E6C9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水性涂料</w:t>
                  </w:r>
                </w:p>
              </w:tc>
              <w:tc>
                <w:tcPr>
                  <w:tcW w:w="887" w:type="dxa"/>
                  <w:gridSpan w:val="2"/>
                  <w:tcBorders>
                    <w:tl2br w:val="nil"/>
                    <w:tr2bl w:val="nil"/>
                  </w:tcBorders>
                  <w:vAlign w:val="center"/>
                </w:tcPr>
                <w:p w14:paraId="74F3A3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5" w:type="dxa"/>
                  <w:gridSpan w:val="4"/>
                  <w:tcBorders>
                    <w:tl2br w:val="nil"/>
                    <w:tr2bl w:val="nil"/>
                  </w:tcBorders>
                  <w:vAlign w:val="center"/>
                </w:tcPr>
                <w:p w14:paraId="77B1DD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6" w:type="dxa"/>
                  <w:gridSpan w:val="2"/>
                  <w:tcBorders>
                    <w:tl2br w:val="nil"/>
                    <w:tr2bl w:val="nil"/>
                  </w:tcBorders>
                  <w:vAlign w:val="center"/>
                </w:tcPr>
                <w:p w14:paraId="1A4A7F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87" w:type="dxa"/>
                  <w:gridSpan w:val="4"/>
                  <w:tcBorders>
                    <w:tl2br w:val="nil"/>
                    <w:tr2bl w:val="nil"/>
                  </w:tcBorders>
                  <w:vAlign w:val="center"/>
                </w:tcPr>
                <w:p w14:paraId="2F2729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90" w:type="dxa"/>
                  <w:tcBorders>
                    <w:tl2br w:val="nil"/>
                    <w:tr2bl w:val="nil"/>
                  </w:tcBorders>
                  <w:vAlign w:val="center"/>
                </w:tcPr>
                <w:p w14:paraId="316AE8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7" w:type="dxa"/>
                  <w:tcBorders>
                    <w:tl2br w:val="nil"/>
                    <w:tr2bl w:val="nil"/>
                  </w:tcBorders>
                  <w:vAlign w:val="center"/>
                </w:tcPr>
                <w:p w14:paraId="1ED795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1" w:type="dxa"/>
                  <w:tcBorders>
                    <w:tl2br w:val="nil"/>
                    <w:tr2bl w:val="nil"/>
                  </w:tcBorders>
                  <w:vAlign w:val="center"/>
                </w:tcPr>
                <w:p w14:paraId="3FA1D7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847" w:type="dxa"/>
                  <w:tcBorders>
                    <w:tl2br w:val="nil"/>
                    <w:tr2bl w:val="nil"/>
                  </w:tcBorders>
                  <w:vAlign w:val="center"/>
                </w:tcPr>
                <w:p w14:paraId="0E9B803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5FA23E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6"/>
                      <w:sz w:val="21"/>
                      <w:szCs w:val="21"/>
                    </w:rPr>
                  </w:pPr>
                  <w:r>
                    <w:rPr>
                      <w:rFonts w:eastAsia="宋体"/>
                      <w:color w:val="auto"/>
                      <w:sz w:val="21"/>
                      <w:szCs w:val="21"/>
                    </w:rPr>
                    <w:t>配</w:t>
                  </w:r>
                </w:p>
              </w:tc>
            </w:tr>
          </w:tbl>
          <w:p w14:paraId="736DD76F">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注：</w:t>
            </w:r>
          </w:p>
          <w:p w14:paraId="6895CFF1">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涂装面积核算：</w:t>
            </w:r>
          </w:p>
          <w:p w14:paraId="6C41762A">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电泳：9万套×3.33m²/套≈300000m²/a</w:t>
            </w:r>
          </w:p>
          <w:p w14:paraId="5DD1A7D5">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喷粉/喷漆：1.5万套×3.3m²/套=49500m²/a</w:t>
            </w:r>
          </w:p>
          <w:p w14:paraId="0E6947FC">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粉末涂料上粉率：</w:t>
            </w:r>
          </w:p>
          <w:p w14:paraId="780EA403">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单次喷涂沉积效率按60%（常规自动+手动混合线），滤芯回收率90%，新粉综合利用率约93.75%（计算公式：0.6/(0.6+0.4×0.1)=93.75%）。新粉补充量按干膜需求量÷综合利用率核算为4.75t/a。</w:t>
            </w:r>
          </w:p>
          <w:p w14:paraId="031DDADF">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水性涂料上漆率：</w:t>
            </w:r>
          </w:p>
          <w:p w14:paraId="500AB733">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水帘喷漆台常规传递效率取50%。涂料按漆</w:t>
            </w:r>
            <w:r>
              <w:rPr>
                <w:rFonts w:hint="eastAsia" w:cs="宋体"/>
                <w:color w:val="auto"/>
                <w:kern w:val="0"/>
                <w:sz w:val="24"/>
                <w:szCs w:val="20"/>
                <w:lang w:val="en-US" w:eastAsia="zh-CN" w:bidi="ar-SA"/>
              </w:rPr>
              <w:t>：</w:t>
            </w:r>
            <w:r>
              <w:rPr>
                <w:rFonts w:hint="eastAsia" w:ascii="Times New Roman" w:hAnsi="Times New Roman" w:eastAsia="宋体" w:cs="宋体"/>
                <w:color w:val="auto"/>
                <w:kern w:val="0"/>
                <w:sz w:val="24"/>
                <w:szCs w:val="20"/>
                <w:lang w:val="en-US" w:eastAsia="zh-CN" w:bidi="ar-SA"/>
              </w:rPr>
              <w:t>水=10:1稀释后施工，计算值为原漆消耗量（不含稀释水）。体积固体份45%，根据MSDS固体分（树脂+颜填料约50-70%）扣减挥发分后估算得。</w:t>
            </w:r>
          </w:p>
          <w:p w14:paraId="60AE915F">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ascii="Times New Roman" w:hAnsi="Times New Roman" w:eastAsia="宋体" w:cs="宋体"/>
                <w:color w:val="auto"/>
                <w:kern w:val="0"/>
                <w:sz w:val="24"/>
                <w:szCs w:val="20"/>
                <w:lang w:val="zh-CN" w:eastAsia="zh-CN" w:bidi="ar-SA"/>
              </w:rPr>
              <w:t>②低VOC含量涂料分析</w:t>
            </w:r>
          </w:p>
          <w:p w14:paraId="424189E8">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default" w:cs="宋体"/>
                <w:color w:val="auto"/>
                <w:kern w:val="0"/>
                <w:sz w:val="24"/>
                <w:szCs w:val="20"/>
                <w:lang w:val="en-US" w:eastAsia="zh-CN" w:bidi="ar-SA"/>
              </w:rPr>
            </w:pPr>
            <w:r>
              <w:rPr>
                <w:rFonts w:hint="eastAsia" w:cs="宋体"/>
                <w:color w:val="auto"/>
                <w:kern w:val="0"/>
                <w:sz w:val="24"/>
                <w:szCs w:val="20"/>
                <w:lang w:val="en-US" w:eastAsia="zh-CN" w:bidi="ar-SA"/>
              </w:rPr>
              <w:t>1）电泳涂料</w:t>
            </w:r>
            <w:r>
              <w:rPr>
                <w:rFonts w:ascii="Times New Roman" w:hAnsi="Times New Roman" w:eastAsia="宋体" w:cs="宋体"/>
                <w:color w:val="auto"/>
                <w:kern w:val="0"/>
                <w:sz w:val="24"/>
                <w:szCs w:val="20"/>
                <w:lang w:val="zh-CN" w:eastAsia="zh-CN" w:bidi="ar-SA"/>
              </w:rPr>
              <w:t>低VOC含量涂料分析</w:t>
            </w:r>
          </w:p>
          <w:p w14:paraId="2B6E5ED0">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zh-CN" w:eastAsia="zh-CN" w:bidi="ar-SA"/>
              </w:rPr>
            </w:pPr>
            <w:r>
              <w:rPr>
                <w:rFonts w:hint="eastAsia" w:cs="宋体"/>
                <w:color w:val="auto"/>
                <w:kern w:val="0"/>
                <w:sz w:val="24"/>
                <w:szCs w:val="20"/>
                <w:lang w:val="zh-CN" w:eastAsia="zh-CN" w:bidi="ar-SA"/>
              </w:rPr>
              <w:t>使用</w:t>
            </w:r>
            <w:r>
              <w:rPr>
                <w:rFonts w:hint="eastAsia" w:ascii="Times New Roman" w:hAnsi="Times New Roman" w:eastAsia="宋体" w:cs="宋体"/>
                <w:color w:val="auto"/>
                <w:kern w:val="0"/>
                <w:sz w:val="24"/>
                <w:szCs w:val="20"/>
                <w:lang w:val="zh-CN" w:eastAsia="zh-CN" w:bidi="ar-SA"/>
              </w:rPr>
              <w:t>状态下电泳漆中VOCs含量计算过程如下：</w:t>
            </w:r>
          </w:p>
          <w:p w14:paraId="3D6216A2">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both"/>
              <w:textAlignment w:val="auto"/>
              <w:rPr>
                <w:color w:val="auto"/>
                <w:sz w:val="24"/>
                <w:szCs w:val="24"/>
              </w:rPr>
            </w:pPr>
            <w:r>
              <w:rPr>
                <w:color w:val="auto"/>
                <w:spacing w:val="-6"/>
                <w:sz w:val="24"/>
                <w:szCs w:val="24"/>
              </w:rPr>
              <w:t>乳液总量为</w:t>
            </w:r>
            <w:r>
              <w:rPr>
                <w:rFonts w:ascii="Times New Roman" w:hAnsi="Times New Roman" w:eastAsia="Times New Roman" w:cs="Times New Roman"/>
                <w:color w:val="auto"/>
                <w:spacing w:val="-6"/>
                <w:sz w:val="24"/>
                <w:szCs w:val="24"/>
              </w:rPr>
              <w:t>13.5t/a</w:t>
            </w:r>
            <w:r>
              <w:rPr>
                <w:color w:val="auto"/>
                <w:spacing w:val="-6"/>
                <w:sz w:val="24"/>
                <w:szCs w:val="24"/>
              </w:rPr>
              <w:t>，需要加入黑浆</w:t>
            </w:r>
            <w:r>
              <w:rPr>
                <w:rFonts w:ascii="Times New Roman" w:hAnsi="Times New Roman" w:eastAsia="Times New Roman" w:cs="Times New Roman"/>
                <w:color w:val="auto"/>
                <w:spacing w:val="-6"/>
                <w:sz w:val="24"/>
                <w:szCs w:val="24"/>
              </w:rPr>
              <w:t>2.1t/a</w:t>
            </w:r>
            <w:r>
              <w:rPr>
                <w:color w:val="auto"/>
                <w:spacing w:val="-6"/>
                <w:sz w:val="24"/>
                <w:szCs w:val="24"/>
              </w:rPr>
              <w:t>，助剂</w:t>
            </w:r>
            <w:r>
              <w:rPr>
                <w:rFonts w:ascii="Times New Roman" w:hAnsi="Times New Roman" w:eastAsia="Times New Roman" w:cs="Times New Roman"/>
                <w:color w:val="auto"/>
                <w:spacing w:val="-6"/>
                <w:sz w:val="24"/>
                <w:szCs w:val="24"/>
              </w:rPr>
              <w:t>0.18t/a</w:t>
            </w:r>
            <w:r>
              <w:rPr>
                <w:color w:val="auto"/>
                <w:spacing w:val="-6"/>
                <w:sz w:val="24"/>
                <w:szCs w:val="24"/>
              </w:rPr>
              <w:t>，中和剂</w:t>
            </w:r>
            <w:r>
              <w:rPr>
                <w:rFonts w:ascii="Times New Roman" w:hAnsi="Times New Roman" w:eastAsia="Times New Roman" w:cs="Times New Roman"/>
                <w:color w:val="auto"/>
                <w:spacing w:val="-6"/>
                <w:sz w:val="24"/>
                <w:szCs w:val="24"/>
              </w:rPr>
              <w:t>0.12t/a</w:t>
            </w:r>
            <w:r>
              <w:rPr>
                <w:color w:val="auto"/>
                <w:spacing w:val="-6"/>
                <w:sz w:val="24"/>
                <w:szCs w:val="24"/>
              </w:rPr>
              <w:t>。乳液密度为</w:t>
            </w:r>
            <w:r>
              <w:rPr>
                <w:rFonts w:ascii="Times New Roman" w:hAnsi="Times New Roman" w:eastAsia="Times New Roman" w:cs="Times New Roman"/>
                <w:color w:val="auto"/>
                <w:spacing w:val="-6"/>
                <w:sz w:val="24"/>
                <w:szCs w:val="24"/>
              </w:rPr>
              <w:t>1.1g/cm</w:t>
            </w:r>
            <w:r>
              <w:rPr>
                <w:rFonts w:ascii="Times New Roman" w:hAnsi="Times New Roman" w:eastAsia="Times New Roman" w:cs="Times New Roman"/>
                <w:color w:val="auto"/>
                <w:spacing w:val="-6"/>
                <w:position w:val="7"/>
                <w:sz w:val="15"/>
                <w:szCs w:val="15"/>
              </w:rPr>
              <w:t>3</w:t>
            </w:r>
            <w:r>
              <w:rPr>
                <w:color w:val="auto"/>
                <w:spacing w:val="-6"/>
                <w:sz w:val="24"/>
                <w:szCs w:val="24"/>
              </w:rPr>
              <w:t>，黑浆密度为</w:t>
            </w:r>
            <w:r>
              <w:rPr>
                <w:rFonts w:ascii="Times New Roman" w:hAnsi="Times New Roman" w:eastAsia="Times New Roman" w:cs="Times New Roman"/>
                <w:color w:val="auto"/>
                <w:spacing w:val="-6"/>
                <w:sz w:val="24"/>
                <w:szCs w:val="24"/>
              </w:rPr>
              <w:t>1.2g/cm</w:t>
            </w:r>
            <w:r>
              <w:rPr>
                <w:rFonts w:ascii="Times New Roman" w:hAnsi="Times New Roman" w:eastAsia="Times New Roman" w:cs="Times New Roman"/>
                <w:color w:val="auto"/>
                <w:spacing w:val="-6"/>
                <w:position w:val="7"/>
                <w:sz w:val="15"/>
                <w:szCs w:val="15"/>
              </w:rPr>
              <w:t>3</w:t>
            </w:r>
            <w:r>
              <w:rPr>
                <w:color w:val="auto"/>
                <w:spacing w:val="-6"/>
                <w:sz w:val="24"/>
                <w:szCs w:val="24"/>
              </w:rPr>
              <w:t>，助剂密度为</w:t>
            </w:r>
            <w:r>
              <w:rPr>
                <w:rFonts w:ascii="Times New Roman" w:hAnsi="Times New Roman" w:eastAsia="Times New Roman" w:cs="Times New Roman"/>
                <w:color w:val="auto"/>
                <w:spacing w:val="-6"/>
                <w:sz w:val="24"/>
                <w:szCs w:val="24"/>
              </w:rPr>
              <w:t>1.1g/cm</w:t>
            </w:r>
            <w:r>
              <w:rPr>
                <w:rFonts w:ascii="Times New Roman" w:hAnsi="Times New Roman" w:eastAsia="Times New Roman" w:cs="Times New Roman"/>
                <w:color w:val="auto"/>
                <w:spacing w:val="-6"/>
                <w:position w:val="7"/>
                <w:sz w:val="15"/>
                <w:szCs w:val="15"/>
              </w:rPr>
              <w:t>3</w:t>
            </w:r>
            <w:r>
              <w:rPr>
                <w:color w:val="auto"/>
                <w:spacing w:val="-6"/>
                <w:sz w:val="24"/>
                <w:szCs w:val="24"/>
              </w:rPr>
              <w:t>，中和剂密</w:t>
            </w:r>
            <w:r>
              <w:rPr>
                <w:color w:val="auto"/>
                <w:spacing w:val="-5"/>
                <w:sz w:val="24"/>
                <w:szCs w:val="24"/>
              </w:rPr>
              <w:t>度为</w:t>
            </w:r>
            <w:r>
              <w:rPr>
                <w:rFonts w:ascii="Times New Roman" w:hAnsi="Times New Roman" w:eastAsia="Times New Roman" w:cs="Times New Roman"/>
                <w:color w:val="auto"/>
                <w:spacing w:val="-5"/>
                <w:sz w:val="24"/>
                <w:szCs w:val="24"/>
              </w:rPr>
              <w:t>1.1g/cm</w:t>
            </w:r>
            <w:r>
              <w:rPr>
                <w:rFonts w:ascii="Times New Roman" w:hAnsi="Times New Roman" w:eastAsia="Times New Roman" w:cs="Times New Roman"/>
                <w:color w:val="auto"/>
                <w:spacing w:val="-5"/>
                <w:position w:val="7"/>
                <w:sz w:val="15"/>
                <w:szCs w:val="15"/>
              </w:rPr>
              <w:t>3</w:t>
            </w:r>
            <w:r>
              <w:rPr>
                <w:color w:val="auto"/>
                <w:spacing w:val="-5"/>
                <w:sz w:val="24"/>
                <w:szCs w:val="24"/>
              </w:rPr>
              <w:t>，则乳液体积为</w:t>
            </w:r>
            <w:r>
              <w:rPr>
                <w:rFonts w:ascii="Times New Roman" w:hAnsi="Times New Roman" w:eastAsia="Times New Roman" w:cs="Times New Roman"/>
                <w:color w:val="auto"/>
                <w:spacing w:val="-5"/>
                <w:sz w:val="24"/>
                <w:szCs w:val="24"/>
              </w:rPr>
              <w:t>12272.7L</w:t>
            </w:r>
            <w:r>
              <w:rPr>
                <w:color w:val="auto"/>
                <w:spacing w:val="-5"/>
                <w:sz w:val="24"/>
                <w:szCs w:val="24"/>
              </w:rPr>
              <w:t>，黑浆体积为</w:t>
            </w:r>
            <w:r>
              <w:rPr>
                <w:rFonts w:ascii="Times New Roman" w:hAnsi="Times New Roman" w:eastAsia="Times New Roman" w:cs="Times New Roman"/>
                <w:color w:val="auto"/>
                <w:spacing w:val="-5"/>
                <w:sz w:val="24"/>
                <w:szCs w:val="24"/>
              </w:rPr>
              <w:t>1750L</w:t>
            </w:r>
            <w:r>
              <w:rPr>
                <w:color w:val="auto"/>
                <w:spacing w:val="-5"/>
                <w:sz w:val="24"/>
                <w:szCs w:val="24"/>
              </w:rPr>
              <w:t>，助剂体积为</w:t>
            </w:r>
            <w:r>
              <w:rPr>
                <w:rFonts w:ascii="Times New Roman" w:hAnsi="Times New Roman" w:eastAsia="Times New Roman" w:cs="Times New Roman"/>
                <w:color w:val="auto"/>
                <w:spacing w:val="-4"/>
                <w:sz w:val="24"/>
                <w:szCs w:val="24"/>
              </w:rPr>
              <w:t>163.63L</w:t>
            </w:r>
            <w:r>
              <w:rPr>
                <w:color w:val="auto"/>
                <w:spacing w:val="-4"/>
                <w:sz w:val="24"/>
                <w:szCs w:val="24"/>
              </w:rPr>
              <w:t>，中和剂体积为</w:t>
            </w:r>
            <w:r>
              <w:rPr>
                <w:rFonts w:ascii="Times New Roman" w:hAnsi="Times New Roman" w:eastAsia="Times New Roman" w:cs="Times New Roman"/>
                <w:color w:val="auto"/>
                <w:spacing w:val="-4"/>
                <w:sz w:val="24"/>
                <w:szCs w:val="24"/>
              </w:rPr>
              <w:t>109.09L</w:t>
            </w:r>
            <w:r>
              <w:rPr>
                <w:color w:val="auto"/>
                <w:spacing w:val="-4"/>
                <w:sz w:val="24"/>
                <w:szCs w:val="24"/>
              </w:rPr>
              <w:t>。挥发性有机物量为</w:t>
            </w:r>
            <w:r>
              <w:rPr>
                <w:rFonts w:ascii="Times New Roman" w:hAnsi="Times New Roman" w:eastAsia="Times New Roman" w:cs="Times New Roman"/>
                <w:color w:val="auto"/>
                <w:spacing w:val="-1"/>
                <w:sz w:val="24"/>
                <w:szCs w:val="24"/>
              </w:rPr>
              <w:t>621kg+189kg+95.4kg+36kg=941.4kg</w:t>
            </w:r>
            <w:r>
              <w:rPr>
                <w:color w:val="auto"/>
                <w:spacing w:val="-1"/>
                <w:sz w:val="24"/>
                <w:szCs w:val="24"/>
              </w:rPr>
              <w:t>；则施用状态，电泳漆挥发性有机物含量</w:t>
            </w:r>
            <w:r>
              <w:rPr>
                <w:color w:val="auto"/>
                <w:spacing w:val="-3"/>
                <w:sz w:val="24"/>
                <w:szCs w:val="24"/>
              </w:rPr>
              <w:t>为</w:t>
            </w:r>
            <w:r>
              <w:rPr>
                <w:rFonts w:ascii="Times New Roman" w:hAnsi="Times New Roman" w:eastAsia="Times New Roman" w:cs="Times New Roman"/>
                <w:color w:val="auto"/>
                <w:spacing w:val="-3"/>
                <w:sz w:val="24"/>
                <w:szCs w:val="24"/>
              </w:rPr>
              <w:t>65.85g/L</w:t>
            </w:r>
            <w:r>
              <w:rPr>
                <w:color w:val="auto"/>
                <w:spacing w:val="-3"/>
                <w:sz w:val="24"/>
                <w:szCs w:val="24"/>
              </w:rPr>
              <w:t>。</w:t>
            </w:r>
          </w:p>
          <w:p w14:paraId="645024C1">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项目使用的涂料中VOCs含量判定</w:t>
            </w:r>
          </w:p>
          <w:p w14:paraId="5C76A889">
            <w:pPr>
              <w:spacing w:line="146" w:lineRule="exact"/>
              <w:rPr>
                <w:color w:val="auto"/>
              </w:rPr>
            </w:pPr>
          </w:p>
          <w:tbl>
            <w:tblPr>
              <w:tblStyle w:val="86"/>
              <w:tblW w:w="864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549"/>
              <w:gridCol w:w="1308"/>
              <w:gridCol w:w="1706"/>
              <w:gridCol w:w="1788"/>
              <w:gridCol w:w="840"/>
              <w:gridCol w:w="2449"/>
            </w:tblGrid>
            <w:tr w14:paraId="4847F2C9">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549" w:type="dxa"/>
                  <w:tcBorders>
                    <w:bottom w:val="single" w:color="000000" w:sz="12" w:space="0"/>
                  </w:tcBorders>
                  <w:vAlign w:val="center"/>
                </w:tcPr>
                <w:p w14:paraId="5CE1514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1308" w:type="dxa"/>
                  <w:tcBorders>
                    <w:bottom w:val="single" w:color="000000" w:sz="12" w:space="0"/>
                  </w:tcBorders>
                  <w:vAlign w:val="center"/>
                </w:tcPr>
                <w:p w14:paraId="39CF95C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含VOCs物料</w:t>
                  </w:r>
                </w:p>
              </w:tc>
              <w:tc>
                <w:tcPr>
                  <w:tcW w:w="1706" w:type="dxa"/>
                  <w:tcBorders>
                    <w:bottom w:val="single" w:color="000000" w:sz="12" w:space="0"/>
                  </w:tcBorders>
                  <w:vAlign w:val="center"/>
                </w:tcPr>
                <w:p w14:paraId="6A2C67A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本项目生产状态</w:t>
                  </w:r>
                </w:p>
                <w:p w14:paraId="4B17778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下电泳涂料中</w:t>
                  </w:r>
                </w:p>
                <w:p w14:paraId="2C28BCD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VOCs含量</w:t>
                  </w:r>
                </w:p>
              </w:tc>
              <w:tc>
                <w:tcPr>
                  <w:tcW w:w="1788" w:type="dxa"/>
                  <w:tcBorders>
                    <w:bottom w:val="single" w:color="000000" w:sz="12" w:space="0"/>
                  </w:tcBorders>
                  <w:vAlign w:val="center"/>
                </w:tcPr>
                <w:p w14:paraId="4482B3F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涂料中VOCs含量限值</w:t>
                  </w:r>
                </w:p>
              </w:tc>
              <w:tc>
                <w:tcPr>
                  <w:tcW w:w="840" w:type="dxa"/>
                  <w:tcBorders>
                    <w:bottom w:val="single" w:color="000000" w:sz="12" w:space="0"/>
                  </w:tcBorders>
                  <w:vAlign w:val="center"/>
                </w:tcPr>
                <w:p w14:paraId="4958588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符合性分析</w:t>
                  </w:r>
                </w:p>
              </w:tc>
              <w:tc>
                <w:tcPr>
                  <w:tcW w:w="2449" w:type="dxa"/>
                  <w:tcBorders>
                    <w:bottom w:val="single" w:color="000000" w:sz="12" w:space="0"/>
                  </w:tcBorders>
                  <w:vAlign w:val="center"/>
                </w:tcPr>
                <w:p w14:paraId="574C44C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标准来源</w:t>
                  </w:r>
                </w:p>
              </w:tc>
            </w:tr>
            <w:tr w14:paraId="452E20B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549" w:type="dxa"/>
                  <w:tcBorders>
                    <w:top w:val="single" w:color="000000" w:sz="12" w:space="0"/>
                    <w:tl2br w:val="nil"/>
                    <w:tr2bl w:val="nil"/>
                  </w:tcBorders>
                  <w:vAlign w:val="center"/>
                </w:tcPr>
                <w:p w14:paraId="3AB0874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08" w:type="dxa"/>
                  <w:tcBorders>
                    <w:top w:val="single" w:color="000000" w:sz="12" w:space="0"/>
                    <w:tl2br w:val="nil"/>
                    <w:tr2bl w:val="nil"/>
                  </w:tcBorders>
                  <w:vAlign w:val="center"/>
                </w:tcPr>
                <w:p w14:paraId="2E2AEDC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电泳涂料</w:t>
                  </w:r>
                </w:p>
              </w:tc>
              <w:tc>
                <w:tcPr>
                  <w:tcW w:w="1706" w:type="dxa"/>
                  <w:tcBorders>
                    <w:top w:val="single" w:color="000000" w:sz="12" w:space="0"/>
                    <w:tl2br w:val="nil"/>
                    <w:tr2bl w:val="nil"/>
                  </w:tcBorders>
                  <w:vAlign w:val="center"/>
                </w:tcPr>
                <w:p w14:paraId="661E2F4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65.85</w:t>
                  </w:r>
                  <w:r>
                    <w:rPr>
                      <w:rFonts w:hint="eastAsia" w:ascii="Times New Roman" w:hAnsi="Times New Roman" w:eastAsia="宋体" w:cs="Times New Roman"/>
                      <w:color w:val="auto"/>
                      <w:sz w:val="21"/>
                      <w:szCs w:val="21"/>
                      <w:lang w:val="en-US" w:eastAsia="zh-CN"/>
                    </w:rPr>
                    <w:t>g/L</w:t>
                  </w:r>
                </w:p>
              </w:tc>
              <w:tc>
                <w:tcPr>
                  <w:tcW w:w="1788" w:type="dxa"/>
                  <w:tcBorders>
                    <w:top w:val="single" w:color="000000" w:sz="12" w:space="0"/>
                    <w:tl2br w:val="nil"/>
                    <w:tr2bl w:val="nil"/>
                  </w:tcBorders>
                  <w:vAlign w:val="center"/>
                </w:tcPr>
                <w:p w14:paraId="6D7F78A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≤200g/L</w:t>
                  </w:r>
                </w:p>
              </w:tc>
              <w:tc>
                <w:tcPr>
                  <w:tcW w:w="840" w:type="dxa"/>
                  <w:tcBorders>
                    <w:top w:val="single" w:color="000000" w:sz="12" w:space="0"/>
                    <w:tl2br w:val="nil"/>
                    <w:tr2bl w:val="nil"/>
                  </w:tcBorders>
                  <w:vAlign w:val="center"/>
                </w:tcPr>
                <w:p w14:paraId="284F99B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c>
                <w:tcPr>
                  <w:tcW w:w="2449" w:type="dxa"/>
                  <w:tcBorders>
                    <w:top w:val="single" w:color="000000" w:sz="12" w:space="0"/>
                    <w:tl2br w:val="nil"/>
                    <w:tr2bl w:val="nil"/>
                  </w:tcBorders>
                  <w:vAlign w:val="center"/>
                </w:tcPr>
                <w:p w14:paraId="72E9EA3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《低挥发性有机化合物含量涂料产品技术要求》GB/T38597-2020</w:t>
                  </w:r>
                </w:p>
              </w:tc>
            </w:tr>
            <w:tr w14:paraId="4A5BDE45">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8640" w:type="dxa"/>
                  <w:gridSpan w:val="6"/>
                  <w:tcBorders>
                    <w:tl2br w:val="nil"/>
                    <w:tr2bl w:val="nil"/>
                  </w:tcBorders>
                  <w:vAlign w:val="center"/>
                </w:tcPr>
                <w:p w14:paraId="7EB898C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注：根据《低挥发性有机化合物含量涂料产品技术要求》（GB/T 38597-2020），低挥发性有机化合物含量涂料产品是指施工状态下涂料产品中存在的挥发性有机化合物的质量符合本标准相应产品的挥发性有机化合物含量限量要求的涂料产品；水性涂料不考虑水的稀释比例。因此，本项目使用的电泳涂料（属水性涂料）在进行低VOC含量涂料判定时，取施工状态下（即生产状态下），电泳涂料组分加入电泳槽后槽液中VOCs的含量（需扣除水分）。</w:t>
                  </w:r>
                </w:p>
              </w:tc>
            </w:tr>
          </w:tbl>
          <w:p w14:paraId="0C391F15">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ascii="Times New Roman" w:hAnsi="Times New Roman" w:eastAsia="宋体" w:cs="宋体"/>
                <w:color w:val="auto"/>
                <w:kern w:val="0"/>
                <w:sz w:val="24"/>
                <w:szCs w:val="20"/>
                <w:lang w:val="zh-CN" w:eastAsia="zh-CN" w:bidi="ar-SA"/>
              </w:rPr>
              <w:t>项目使用的电泳涂料中的挥发分占比满足《低挥发性有机化合物含量涂料产品技术要求》（GB/T 38597-2020）中的限值要求，本项目使用的电泳涂料属于低VOC含量涂料。</w:t>
            </w:r>
          </w:p>
          <w:p w14:paraId="67E44123">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hint="eastAsia" w:cs="宋体"/>
                <w:color w:val="auto"/>
                <w:kern w:val="0"/>
                <w:sz w:val="24"/>
                <w:szCs w:val="20"/>
                <w:lang w:val="en-US" w:eastAsia="zh-CN" w:bidi="ar-SA"/>
              </w:rPr>
              <w:t>2）水性涂料</w:t>
            </w:r>
            <w:r>
              <w:rPr>
                <w:rFonts w:ascii="Times New Roman" w:hAnsi="Times New Roman" w:eastAsia="宋体" w:cs="宋体"/>
                <w:color w:val="auto"/>
                <w:kern w:val="0"/>
                <w:sz w:val="24"/>
                <w:szCs w:val="20"/>
                <w:lang w:val="zh-CN" w:eastAsia="zh-CN" w:bidi="ar-SA"/>
              </w:rPr>
              <w:t>低VOC含量涂料分析</w:t>
            </w:r>
          </w:p>
          <w:p w14:paraId="762A602D">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default" w:ascii="Times New Roman" w:hAnsi="Times New Roman" w:eastAsia="宋体" w:cs="宋体"/>
                <w:color w:val="auto"/>
                <w:kern w:val="0"/>
                <w:sz w:val="24"/>
                <w:szCs w:val="20"/>
                <w:lang w:val="en-US" w:eastAsia="zh-CN" w:bidi="ar-SA"/>
              </w:rPr>
              <w:t>本项目使用的水性环氧酯涂料为单组分成品涂料。根据国恒信（常州）检测认证技术有限公司出具的检验报告（报告编号：TW221336W2）</w:t>
            </w:r>
            <w:r>
              <w:rPr>
                <w:rFonts w:hint="eastAsia" w:ascii="Times New Roman" w:hAnsi="Times New Roman" w:eastAsia="宋体" w:cs="宋体"/>
                <w:color w:val="auto"/>
                <w:kern w:val="0"/>
                <w:sz w:val="24"/>
                <w:szCs w:val="20"/>
                <w:lang w:val="en-US" w:eastAsia="zh-CN" w:bidi="ar-SA"/>
              </w:rPr>
              <w:t>（检测报告见附件15）</w:t>
            </w:r>
            <w:r>
              <w:rPr>
                <w:rFonts w:hint="default" w:ascii="Times New Roman" w:hAnsi="Times New Roman" w:eastAsia="宋体" w:cs="宋体"/>
                <w:color w:val="auto"/>
                <w:kern w:val="0"/>
                <w:sz w:val="24"/>
                <w:szCs w:val="20"/>
                <w:lang w:val="en-US" w:eastAsia="zh-CN" w:bidi="ar-SA"/>
              </w:rPr>
              <w:t>，该涂料VOC含量检测结果：158g/L</w:t>
            </w:r>
            <w:r>
              <w:rPr>
                <w:rFonts w:hint="eastAsia" w:ascii="Times New Roman" w:hAnsi="Times New Roman" w:eastAsia="宋体" w:cs="宋体"/>
                <w:color w:val="auto"/>
                <w:kern w:val="0"/>
                <w:sz w:val="24"/>
                <w:szCs w:val="20"/>
                <w:lang w:val="en-US" w:eastAsia="zh-CN" w:bidi="ar-SA"/>
              </w:rPr>
              <w:t>，故该涂料符合《低挥发性有机化合物含量涂料产品技术要求》（GB/T 38597-2020）中的限值要求，本项目喷漆使用的水性涂料属于低VOC含量涂料。</w:t>
            </w:r>
          </w:p>
          <w:p w14:paraId="662D95BF">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hint="eastAsia" w:ascii="Times New Roman" w:hAnsi="Times New Roman" w:eastAsia="宋体" w:cs="宋体"/>
                <w:color w:val="auto"/>
                <w:kern w:val="0"/>
                <w:sz w:val="24"/>
                <w:szCs w:val="20"/>
                <w:lang w:val="en-US" w:eastAsia="zh-CN" w:bidi="ar-SA"/>
              </w:rPr>
              <w:t>3）粉末涂料</w:t>
            </w:r>
            <w:r>
              <w:rPr>
                <w:rFonts w:ascii="Times New Roman" w:hAnsi="Times New Roman" w:eastAsia="宋体" w:cs="宋体"/>
                <w:color w:val="auto"/>
                <w:kern w:val="0"/>
                <w:sz w:val="24"/>
                <w:szCs w:val="20"/>
                <w:lang w:val="zh-CN" w:eastAsia="zh-CN" w:bidi="ar-SA"/>
              </w:rPr>
              <w:t>低VOC含量涂料分析</w:t>
            </w:r>
          </w:p>
          <w:p w14:paraId="45AAC8E1">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cs="宋体"/>
                <w:color w:val="auto"/>
                <w:kern w:val="0"/>
                <w:sz w:val="24"/>
                <w:szCs w:val="20"/>
                <w:lang w:val="en-US" w:eastAsia="zh-CN" w:bidi="ar-SA"/>
              </w:rPr>
              <w:t>本项目使用的粉末涂料为塑料粉末，根据厂家提供的检测报告，由常州检验检测标准认证研究院出具的检测报告（报告编号：（2021）CJ-WT-H0740）（检测报告见附件19），该涂料VOC含量检查结果为6g/L，故该涂料符合</w:t>
            </w:r>
            <w:r>
              <w:rPr>
                <w:rFonts w:hint="eastAsia" w:ascii="Times New Roman" w:hAnsi="Times New Roman" w:eastAsia="宋体" w:cs="宋体"/>
                <w:color w:val="auto"/>
                <w:kern w:val="0"/>
                <w:sz w:val="24"/>
                <w:szCs w:val="20"/>
                <w:lang w:val="en-US" w:eastAsia="zh-CN" w:bidi="ar-SA"/>
              </w:rPr>
              <w:t>《低挥发性有机化合物含量涂料产品技术要求》（GB/T 38597-2020）中的限值要求</w:t>
            </w:r>
            <w:r>
              <w:rPr>
                <w:rFonts w:hint="eastAsia" w:cs="宋体"/>
                <w:color w:val="auto"/>
                <w:kern w:val="0"/>
                <w:sz w:val="24"/>
                <w:szCs w:val="20"/>
                <w:lang w:val="en-US" w:eastAsia="zh-CN" w:bidi="ar-SA"/>
              </w:rPr>
              <w:t>，</w:t>
            </w:r>
            <w:r>
              <w:rPr>
                <w:rFonts w:hint="eastAsia" w:ascii="Times New Roman" w:hAnsi="Times New Roman" w:eastAsia="宋体" w:cs="宋体"/>
                <w:color w:val="auto"/>
                <w:kern w:val="0"/>
                <w:sz w:val="24"/>
                <w:szCs w:val="20"/>
                <w:lang w:val="en-US" w:eastAsia="zh-CN" w:bidi="ar-SA"/>
              </w:rPr>
              <w:t>本项目喷</w:t>
            </w:r>
            <w:r>
              <w:rPr>
                <w:rFonts w:hint="eastAsia" w:cs="宋体"/>
                <w:color w:val="auto"/>
                <w:kern w:val="0"/>
                <w:sz w:val="24"/>
                <w:szCs w:val="20"/>
                <w:lang w:val="en-US" w:eastAsia="zh-CN" w:bidi="ar-SA"/>
              </w:rPr>
              <w:t>粉</w:t>
            </w:r>
            <w:r>
              <w:rPr>
                <w:rFonts w:hint="eastAsia" w:ascii="Times New Roman" w:hAnsi="Times New Roman" w:eastAsia="宋体" w:cs="宋体"/>
                <w:color w:val="auto"/>
                <w:kern w:val="0"/>
                <w:sz w:val="24"/>
                <w:szCs w:val="20"/>
                <w:lang w:val="en-US" w:eastAsia="zh-CN" w:bidi="ar-SA"/>
              </w:rPr>
              <w:t>使用的</w:t>
            </w:r>
            <w:r>
              <w:rPr>
                <w:rFonts w:hint="eastAsia" w:cs="宋体"/>
                <w:color w:val="auto"/>
                <w:kern w:val="0"/>
                <w:sz w:val="24"/>
                <w:szCs w:val="20"/>
                <w:lang w:val="en-US" w:eastAsia="zh-CN" w:bidi="ar-SA"/>
              </w:rPr>
              <w:t>粉末</w:t>
            </w:r>
            <w:r>
              <w:rPr>
                <w:rFonts w:hint="eastAsia" w:ascii="Times New Roman" w:hAnsi="Times New Roman" w:eastAsia="宋体" w:cs="宋体"/>
                <w:color w:val="auto"/>
                <w:kern w:val="0"/>
                <w:sz w:val="24"/>
                <w:szCs w:val="20"/>
                <w:lang w:val="en-US" w:eastAsia="zh-CN" w:bidi="ar-SA"/>
              </w:rPr>
              <w:t>涂料属于低VOC含量涂料。</w:t>
            </w:r>
          </w:p>
          <w:p w14:paraId="6F007E95">
            <w:pPr>
              <w:pStyle w:val="46"/>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）主要能耗</w:t>
            </w:r>
          </w:p>
          <w:p w14:paraId="64D1BA70">
            <w:pPr>
              <w:pStyle w:val="46"/>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color w:val="auto"/>
                <w:highlight w:val="none"/>
              </w:rPr>
            </w:pPr>
            <w:r>
              <w:rPr>
                <w:rFonts w:hint="eastAsia"/>
                <w:color w:val="auto"/>
                <w:highlight w:val="none"/>
              </w:rPr>
              <w:t>项目主要能源消耗情况见下表。</w:t>
            </w:r>
          </w:p>
          <w:p w14:paraId="13FABA79">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shd w:val="clear"/>
              </w:rPr>
            </w:pPr>
            <w:r>
              <w:rPr>
                <w:rFonts w:hint="eastAsia" w:ascii="Times New Roman" w:hAnsi="Times New Roman" w:eastAsia="宋体"/>
                <w:color w:val="auto"/>
                <w:highlight w:val="none"/>
              </w:rPr>
              <w:t>项目主</w:t>
            </w:r>
            <w:r>
              <w:rPr>
                <w:rFonts w:hint="eastAsia" w:ascii="Times New Roman" w:hAnsi="Times New Roman" w:eastAsia="宋体"/>
                <w:color w:val="auto"/>
                <w:highlight w:val="none"/>
                <w:shd w:val="clear"/>
              </w:rPr>
              <w:t>要能耗一览表</w:t>
            </w:r>
          </w:p>
          <w:tbl>
            <w:tblPr>
              <w:tblStyle w:val="34"/>
              <w:tblW w:w="864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98"/>
              <w:gridCol w:w="2040"/>
              <w:gridCol w:w="2282"/>
              <w:gridCol w:w="2821"/>
            </w:tblGrid>
            <w:tr w14:paraId="23060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498" w:type="dxa"/>
                  <w:vMerge w:val="restart"/>
                  <w:tcBorders>
                    <w:bottom w:val="single" w:color="000000" w:sz="12" w:space="0"/>
                  </w:tcBorders>
                  <w:shd w:val="clear" w:color="auto" w:fill="auto"/>
                  <w:vAlign w:val="center"/>
                </w:tcPr>
                <w:p w14:paraId="73B4E06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2040" w:type="dxa"/>
                  <w:vMerge w:val="restart"/>
                  <w:tcBorders>
                    <w:bottom w:val="single" w:color="000000" w:sz="12" w:space="0"/>
                  </w:tcBorders>
                  <w:shd w:val="clear" w:color="auto" w:fill="auto"/>
                  <w:vAlign w:val="center"/>
                </w:tcPr>
                <w:p w14:paraId="13A47F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名称</w:t>
                  </w:r>
                </w:p>
              </w:tc>
              <w:tc>
                <w:tcPr>
                  <w:tcW w:w="2282" w:type="dxa"/>
                  <w:vMerge w:val="restart"/>
                  <w:tcBorders>
                    <w:bottom w:val="single" w:color="000000" w:sz="12" w:space="0"/>
                  </w:tcBorders>
                  <w:shd w:val="clear" w:color="auto" w:fill="auto"/>
                  <w:vAlign w:val="center"/>
                </w:tcPr>
                <w:p w14:paraId="1D4B85A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2821" w:type="dxa"/>
                  <w:vMerge w:val="restart"/>
                  <w:tcBorders>
                    <w:bottom w:val="single" w:color="000000" w:sz="12" w:space="0"/>
                  </w:tcBorders>
                  <w:shd w:val="clear" w:color="auto" w:fill="auto"/>
                  <w:vAlign w:val="center"/>
                </w:tcPr>
                <w:p w14:paraId="1902B99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年用量</w:t>
                  </w:r>
                </w:p>
              </w:tc>
            </w:tr>
            <w:tr w14:paraId="4ECC5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1498" w:type="dxa"/>
                  <w:vMerge w:val="continue"/>
                  <w:tcBorders>
                    <w:top w:val="single" w:color="000000" w:sz="12" w:space="0"/>
                    <w:bottom w:val="single" w:color="000000" w:sz="12" w:space="0"/>
                    <w:tl2br w:val="nil"/>
                    <w:tr2bl w:val="nil"/>
                  </w:tcBorders>
                  <w:shd w:val="clear" w:color="auto" w:fill="auto"/>
                  <w:vAlign w:val="center"/>
                </w:tcPr>
                <w:p w14:paraId="4D066213">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2040" w:type="dxa"/>
                  <w:vMerge w:val="continue"/>
                  <w:tcBorders>
                    <w:top w:val="single" w:color="000000" w:sz="12" w:space="0"/>
                    <w:bottom w:val="single" w:color="000000" w:sz="12" w:space="0"/>
                    <w:tl2br w:val="nil"/>
                    <w:tr2bl w:val="nil"/>
                  </w:tcBorders>
                  <w:shd w:val="clear" w:color="auto" w:fill="auto"/>
                  <w:vAlign w:val="center"/>
                </w:tcPr>
                <w:p w14:paraId="6AA6AD33">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2282" w:type="dxa"/>
                  <w:vMerge w:val="continue"/>
                  <w:tcBorders>
                    <w:top w:val="single" w:color="000000" w:sz="12" w:space="0"/>
                    <w:bottom w:val="single" w:color="000000" w:sz="12" w:space="0"/>
                    <w:tl2br w:val="nil"/>
                    <w:tr2bl w:val="nil"/>
                  </w:tcBorders>
                  <w:shd w:val="clear" w:color="auto" w:fill="auto"/>
                  <w:vAlign w:val="center"/>
                </w:tcPr>
                <w:p w14:paraId="60769A7D">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2821" w:type="dxa"/>
                  <w:vMerge w:val="continue"/>
                  <w:tcBorders>
                    <w:top w:val="single" w:color="000000" w:sz="12" w:space="0"/>
                    <w:bottom w:val="single" w:color="000000" w:sz="12" w:space="0"/>
                    <w:tl2br w:val="nil"/>
                    <w:tr2bl w:val="nil"/>
                  </w:tcBorders>
                  <w:shd w:val="clear" w:color="auto" w:fill="auto"/>
                  <w:vAlign w:val="center"/>
                </w:tcPr>
                <w:p w14:paraId="08EFDDE5">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r>
            <w:tr w14:paraId="35128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1498" w:type="dxa"/>
                  <w:tcBorders>
                    <w:top w:val="single" w:color="000000" w:sz="12" w:space="0"/>
                    <w:tl2br w:val="nil"/>
                    <w:tr2bl w:val="nil"/>
                  </w:tcBorders>
                  <w:shd w:val="clear" w:color="auto" w:fill="auto"/>
                  <w:vAlign w:val="center"/>
                </w:tcPr>
                <w:p w14:paraId="7A77EEBB">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2040" w:type="dxa"/>
                  <w:tcBorders>
                    <w:top w:val="single" w:color="000000" w:sz="12" w:space="0"/>
                    <w:tl2br w:val="nil"/>
                    <w:tr2bl w:val="nil"/>
                  </w:tcBorders>
                  <w:shd w:val="clear" w:color="auto" w:fill="auto"/>
                  <w:vAlign w:val="center"/>
                </w:tcPr>
                <w:p w14:paraId="315579D9">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shd w:val="clear"/>
                    </w:rPr>
                    <w:t>新鲜水</w:t>
                  </w:r>
                </w:p>
              </w:tc>
              <w:tc>
                <w:tcPr>
                  <w:tcW w:w="2282" w:type="dxa"/>
                  <w:tcBorders>
                    <w:top w:val="single" w:color="000000" w:sz="12" w:space="0"/>
                    <w:tl2br w:val="nil"/>
                    <w:tr2bl w:val="nil"/>
                  </w:tcBorders>
                  <w:shd w:val="clear" w:color="auto" w:fill="auto"/>
                  <w:vAlign w:val="center"/>
                </w:tcPr>
                <w:p w14:paraId="5336D645">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t/a</w:t>
                  </w:r>
                </w:p>
              </w:tc>
              <w:tc>
                <w:tcPr>
                  <w:tcW w:w="2821" w:type="dxa"/>
                  <w:tcBorders>
                    <w:top w:val="single" w:color="000000" w:sz="12" w:space="0"/>
                    <w:tl2br w:val="nil"/>
                    <w:tr2bl w:val="nil"/>
                  </w:tcBorders>
                  <w:shd w:val="clear" w:color="auto" w:fill="auto"/>
                  <w:vAlign w:val="center"/>
                </w:tcPr>
                <w:p w14:paraId="19FA6666">
                  <w:pPr>
                    <w:widowControl/>
                    <w:spacing w:line="240" w:lineRule="auto"/>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1454.31</w:t>
                  </w:r>
                </w:p>
              </w:tc>
            </w:tr>
            <w:tr w14:paraId="1B869E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1498" w:type="dxa"/>
                  <w:tcBorders>
                    <w:tl2br w:val="nil"/>
                    <w:tr2bl w:val="nil"/>
                  </w:tcBorders>
                  <w:shd w:val="clear" w:color="auto" w:fill="auto"/>
                  <w:vAlign w:val="center"/>
                </w:tcPr>
                <w:p w14:paraId="2799B0A2">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2040" w:type="dxa"/>
                  <w:tcBorders>
                    <w:tl2br w:val="nil"/>
                    <w:tr2bl w:val="nil"/>
                  </w:tcBorders>
                  <w:shd w:val="clear" w:color="auto" w:fill="auto"/>
                  <w:vAlign w:val="center"/>
                </w:tcPr>
                <w:p w14:paraId="6BD47308">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电</w:t>
                  </w:r>
                </w:p>
              </w:tc>
              <w:tc>
                <w:tcPr>
                  <w:tcW w:w="2282" w:type="dxa"/>
                  <w:tcBorders>
                    <w:tl2br w:val="nil"/>
                    <w:tr2bl w:val="nil"/>
                  </w:tcBorders>
                  <w:shd w:val="clear" w:color="auto" w:fill="auto"/>
                  <w:vAlign w:val="center"/>
                </w:tcPr>
                <w:p w14:paraId="21BB62AC">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万kwh/a</w:t>
                  </w:r>
                </w:p>
              </w:tc>
              <w:tc>
                <w:tcPr>
                  <w:tcW w:w="2821" w:type="dxa"/>
                  <w:tcBorders>
                    <w:tl2br w:val="nil"/>
                    <w:tr2bl w:val="nil"/>
                  </w:tcBorders>
                  <w:shd w:val="clear" w:color="auto" w:fill="auto"/>
                  <w:vAlign w:val="center"/>
                </w:tcPr>
                <w:p w14:paraId="5DCD4000">
                  <w:pPr>
                    <w:widowControl/>
                    <w:spacing w:line="240" w:lineRule="auto"/>
                    <w:jc w:val="center"/>
                    <w:textAlignment w:val="center"/>
                    <w:rPr>
                      <w:rFonts w:hint="default" w:eastAsia="宋体"/>
                      <w:color w:val="auto"/>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2</w:t>
                  </w:r>
                  <w:r>
                    <w:rPr>
                      <w:rFonts w:hint="eastAsia" w:cs="Times New Roman"/>
                      <w:color w:val="auto"/>
                      <w:spacing w:val="2"/>
                      <w:sz w:val="21"/>
                      <w:szCs w:val="21"/>
                      <w:highlight w:val="none"/>
                      <w:lang w:val="en-US" w:eastAsia="zh-CN"/>
                    </w:rPr>
                    <w:t>00</w:t>
                  </w:r>
                </w:p>
              </w:tc>
            </w:tr>
            <w:tr w14:paraId="1FAB06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1498" w:type="dxa"/>
                  <w:tcBorders>
                    <w:tl2br w:val="nil"/>
                    <w:tr2bl w:val="nil"/>
                  </w:tcBorders>
                  <w:shd w:val="clear" w:color="auto" w:fill="auto"/>
                  <w:vAlign w:val="center"/>
                </w:tcPr>
                <w:p w14:paraId="7C212DA3">
                  <w:pPr>
                    <w:pStyle w:val="30"/>
                    <w:widowControl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w:t>
                  </w:r>
                </w:p>
              </w:tc>
              <w:tc>
                <w:tcPr>
                  <w:tcW w:w="2040" w:type="dxa"/>
                  <w:tcBorders>
                    <w:tl2br w:val="nil"/>
                    <w:tr2bl w:val="nil"/>
                  </w:tcBorders>
                  <w:shd w:val="clear" w:color="auto" w:fill="auto"/>
                  <w:vAlign w:val="center"/>
                </w:tcPr>
                <w:p w14:paraId="58B2419C">
                  <w:pPr>
                    <w:pStyle w:val="30"/>
                    <w:widowControl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天然气</w:t>
                  </w:r>
                </w:p>
              </w:tc>
              <w:tc>
                <w:tcPr>
                  <w:tcW w:w="2282" w:type="dxa"/>
                  <w:tcBorders>
                    <w:tl2br w:val="nil"/>
                    <w:tr2bl w:val="nil"/>
                  </w:tcBorders>
                  <w:shd w:val="clear" w:color="auto" w:fill="auto"/>
                  <w:vAlign w:val="center"/>
                </w:tcPr>
                <w:p w14:paraId="6BD28DDA">
                  <w:pPr>
                    <w:pStyle w:val="30"/>
                    <w:widowControl w:val="0"/>
                    <w:spacing w:before="0" w:beforeAutospacing="0" w:after="0" w:afterAutospacing="0" w:line="240" w:lineRule="auto"/>
                    <w:jc w:val="center"/>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lang w:val="en-US" w:eastAsia="zh-CN"/>
                    </w:rPr>
                    <w:t>万m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/a</w:t>
                  </w:r>
                </w:p>
              </w:tc>
              <w:tc>
                <w:tcPr>
                  <w:tcW w:w="2821" w:type="dxa"/>
                  <w:tcBorders>
                    <w:tl2br w:val="nil"/>
                    <w:tr2bl w:val="nil"/>
                  </w:tcBorders>
                  <w:shd w:val="clear" w:color="auto" w:fill="auto"/>
                  <w:vAlign w:val="center"/>
                </w:tcPr>
                <w:p w14:paraId="7099D467">
                  <w:pPr>
                    <w:widowControl/>
                    <w:spacing w:line="240" w:lineRule="auto"/>
                    <w:jc w:val="center"/>
                    <w:textAlignment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5</w:t>
                  </w:r>
                </w:p>
              </w:tc>
            </w:tr>
          </w:tbl>
          <w:p w14:paraId="44876925">
            <w:pPr>
              <w:pStyle w:val="3"/>
              <w:bidi w:val="0"/>
              <w:ind w:left="0" w:leftChars="0" w:firstLine="0" w:firstLineChars="0"/>
              <w:rPr>
                <w:rFonts w:hint="eastAsia"/>
                <w:color w:val="auto"/>
                <w:highlight w:val="none"/>
              </w:rPr>
            </w:pPr>
            <w:r>
              <w:rPr>
                <w:rFonts w:hint="eastAsia"/>
                <w:color w:val="auto"/>
                <w:highlight w:val="none"/>
                <w:lang w:val="en-US" w:eastAsia="zh-CN"/>
              </w:rPr>
              <w:t>水平衡及物料平衡</w:t>
            </w:r>
          </w:p>
          <w:p w14:paraId="384B84A7">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水平衡</w:t>
            </w:r>
          </w:p>
          <w:p w14:paraId="7E20AF02">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color w:val="auto"/>
                <w:highlight w:val="none"/>
              </w:rPr>
            </w:pPr>
            <w:r>
              <w:rPr>
                <w:rFonts w:ascii="Times New Roman" w:hAnsi="Times New Roman" w:eastAsia="宋体" w:cs="宋体"/>
                <w:color w:val="auto"/>
                <w:kern w:val="0"/>
                <w:sz w:val="24"/>
                <w:szCs w:val="20"/>
                <w:lang w:val="zh-CN" w:eastAsia="zh-CN" w:bidi="ar-SA"/>
              </w:rPr>
              <w:t>（1）</w:t>
            </w:r>
            <w:r>
              <w:rPr>
                <w:rFonts w:hint="eastAsia"/>
                <w:color w:val="auto"/>
                <w:highlight w:val="none"/>
              </w:rPr>
              <w:t>生产用水</w:t>
            </w:r>
          </w:p>
          <w:p w14:paraId="01515AB0">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default" w:eastAsia="宋体"/>
                <w:color w:val="auto"/>
                <w:highlight w:val="none"/>
                <w:lang w:val="en-US" w:eastAsia="zh-CN"/>
              </w:rPr>
            </w:pPr>
            <w:r>
              <w:rPr>
                <w:color w:val="auto"/>
                <w:highlight w:val="none"/>
              </w:rPr>
              <w:t>项目</w:t>
            </w:r>
            <w:r>
              <w:rPr>
                <w:rFonts w:hint="eastAsia"/>
                <w:color w:val="auto"/>
                <w:highlight w:val="none"/>
              </w:rPr>
              <w:t>生产用水</w:t>
            </w:r>
            <w:r>
              <w:rPr>
                <w:rFonts w:hint="eastAsia"/>
                <w:color w:val="auto"/>
                <w:highlight w:val="none"/>
                <w:lang w:val="en-US" w:eastAsia="zh-CN"/>
              </w:rPr>
              <w:t>主要</w:t>
            </w:r>
            <w:r>
              <w:rPr>
                <w:rFonts w:hint="eastAsia"/>
                <w:color w:val="auto"/>
                <w:highlight w:val="none"/>
              </w:rPr>
              <w:t>为</w:t>
            </w:r>
            <w:r>
              <w:rPr>
                <w:rFonts w:hint="eastAsia"/>
                <w:color w:val="auto"/>
                <w:highlight w:val="none"/>
                <w:lang w:val="en-US" w:eastAsia="zh-CN"/>
              </w:rPr>
              <w:t>纯</w:t>
            </w:r>
            <w:r>
              <w:rPr>
                <w:rFonts w:hint="eastAsia"/>
                <w:color w:val="auto"/>
                <w:highlight w:val="none"/>
              </w:rPr>
              <w:t>水洗废水、脱脂废水、脱脂后水洗废水、硅烷后水洗废水、纯水制备尾水</w:t>
            </w:r>
            <w:r>
              <w:rPr>
                <w:rFonts w:hint="eastAsia"/>
                <w:color w:val="auto"/>
                <w:highlight w:val="none"/>
                <w:lang w:eastAsia="zh-CN"/>
              </w:rPr>
              <w:t>、</w:t>
            </w:r>
            <w:r>
              <w:rPr>
                <w:rFonts w:hint="eastAsia"/>
                <w:color w:val="auto"/>
                <w:highlight w:val="none"/>
                <w:lang w:val="en-US" w:eastAsia="zh-CN"/>
              </w:rPr>
              <w:t>水帘喷漆废水等。</w:t>
            </w:r>
          </w:p>
          <w:p w14:paraId="7E276AF1">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①脱脂废水W</w:t>
            </w:r>
            <w:r>
              <w:rPr>
                <w:rFonts w:hint="eastAsia"/>
                <w:color w:val="auto"/>
                <w:highlight w:val="none"/>
                <w:lang w:val="en-US" w:eastAsia="zh-CN"/>
              </w:rPr>
              <w:t>1</w:t>
            </w:r>
          </w:p>
          <w:p w14:paraId="43A48BA7">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项目脱脂槽液循环使用，定期更换（约6个月更换一次（33.9m</w:t>
            </w:r>
            <w:r>
              <w:rPr>
                <w:rFonts w:hint="eastAsia"/>
                <w:color w:val="auto"/>
                <w:highlight w:val="none"/>
                <w:vertAlign w:val="superscript"/>
              </w:rPr>
              <w:t>3</w:t>
            </w:r>
            <w:r>
              <w:rPr>
                <w:rFonts w:hint="eastAsia"/>
                <w:color w:val="auto"/>
                <w:highlight w:val="none"/>
              </w:rPr>
              <w:t>/次）），产生脱脂废水W</w:t>
            </w:r>
            <w:r>
              <w:rPr>
                <w:rFonts w:hint="eastAsia"/>
                <w:color w:val="auto"/>
                <w:highlight w:val="none"/>
                <w:lang w:val="en-US" w:eastAsia="zh-CN"/>
              </w:rPr>
              <w:t>1</w:t>
            </w:r>
            <w:r>
              <w:rPr>
                <w:rFonts w:hint="eastAsia"/>
                <w:color w:val="auto"/>
                <w:highlight w:val="none"/>
              </w:rPr>
              <w:t>，产生量为57m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0.19</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、SS、石油类、LAS。</w:t>
            </w:r>
          </w:p>
          <w:p w14:paraId="0223088E">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②脱脂后水洗废水W</w:t>
            </w:r>
            <w:r>
              <w:rPr>
                <w:rFonts w:hint="eastAsia"/>
                <w:color w:val="auto"/>
                <w:highlight w:val="none"/>
                <w:lang w:val="en-US" w:eastAsia="zh-CN"/>
              </w:rPr>
              <w:t>2</w:t>
            </w:r>
            <w:r>
              <w:rPr>
                <w:rFonts w:hint="eastAsia"/>
                <w:color w:val="auto"/>
                <w:highlight w:val="none"/>
              </w:rPr>
              <w:t>、W</w:t>
            </w:r>
            <w:r>
              <w:rPr>
                <w:rFonts w:hint="eastAsia"/>
                <w:color w:val="auto"/>
                <w:highlight w:val="none"/>
                <w:lang w:val="en-US" w:eastAsia="zh-CN"/>
              </w:rPr>
              <w:t>3</w:t>
            </w:r>
          </w:p>
          <w:p w14:paraId="3825E17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项目脱脂后需要进行水洗，包括2道水洗，每个水洗槽每周需要排水一次（2m</w:t>
            </w:r>
            <w:r>
              <w:rPr>
                <w:rFonts w:hint="eastAsia"/>
                <w:color w:val="auto"/>
                <w:highlight w:val="none"/>
                <w:vertAlign w:val="superscript"/>
              </w:rPr>
              <w:t>3</w:t>
            </w:r>
            <w:r>
              <w:rPr>
                <w:rFonts w:hint="eastAsia"/>
                <w:color w:val="auto"/>
                <w:highlight w:val="none"/>
              </w:rPr>
              <w:t>/次）。经核算，脱脂后水洗废水产生量为171m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0.57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、SS、石油类、LAS。</w:t>
            </w:r>
          </w:p>
          <w:p w14:paraId="6CD216DA">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③硅烷后水洗废水W</w:t>
            </w:r>
            <w:r>
              <w:rPr>
                <w:rFonts w:hint="eastAsia"/>
                <w:color w:val="auto"/>
                <w:highlight w:val="none"/>
                <w:lang w:val="en-US" w:eastAsia="zh-CN"/>
              </w:rPr>
              <w:t>4</w:t>
            </w:r>
            <w:r>
              <w:rPr>
                <w:rFonts w:hint="eastAsia"/>
                <w:color w:val="auto"/>
                <w:highlight w:val="none"/>
              </w:rPr>
              <w:t>、W</w:t>
            </w:r>
            <w:r>
              <w:rPr>
                <w:rFonts w:hint="eastAsia"/>
                <w:color w:val="auto"/>
                <w:highlight w:val="none"/>
                <w:lang w:val="en-US" w:eastAsia="zh-CN"/>
              </w:rPr>
              <w:t>5</w:t>
            </w:r>
          </w:p>
          <w:p w14:paraId="676C7FE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项目硅烷后需要进行水洗，包括1道水洗，1道纯水洗，每个水洗槽每周需要排水一次（2m</w:t>
            </w:r>
            <w:r>
              <w:rPr>
                <w:rFonts w:hint="eastAsia"/>
                <w:color w:val="auto"/>
                <w:highlight w:val="none"/>
                <w:vertAlign w:val="superscript"/>
              </w:rPr>
              <w:t>3</w:t>
            </w:r>
            <w:r>
              <w:rPr>
                <w:rFonts w:hint="eastAsia"/>
                <w:color w:val="auto"/>
                <w:highlight w:val="none"/>
              </w:rPr>
              <w:t>/次）。经核算，硅烷后水洗废水产生量为171m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0.57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-N、SS、TN。</w:t>
            </w:r>
          </w:p>
          <w:p w14:paraId="4FF6D1D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④</w:t>
            </w:r>
            <w:r>
              <w:rPr>
                <w:rFonts w:hint="eastAsia"/>
                <w:color w:val="auto"/>
                <w:highlight w:val="none"/>
                <w:lang w:val="en-US" w:eastAsia="zh-CN"/>
              </w:rPr>
              <w:t>纯水洗2</w:t>
            </w:r>
            <w:r>
              <w:rPr>
                <w:rFonts w:hint="eastAsia"/>
                <w:color w:val="auto"/>
                <w:highlight w:val="none"/>
              </w:rPr>
              <w:t>废水W</w:t>
            </w:r>
            <w:r>
              <w:rPr>
                <w:rFonts w:hint="eastAsia"/>
                <w:color w:val="auto"/>
                <w:highlight w:val="none"/>
                <w:lang w:val="en-US" w:eastAsia="zh-CN"/>
              </w:rPr>
              <w:t>6</w:t>
            </w:r>
          </w:p>
          <w:p w14:paraId="27333C0D">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项目水洗槽清洗水循环使用，定期更换（约1周更换一次（2.565m</w:t>
            </w:r>
            <w:r>
              <w:rPr>
                <w:rFonts w:hint="eastAsia"/>
                <w:color w:val="auto"/>
                <w:highlight w:val="none"/>
                <w:vertAlign w:val="superscript"/>
              </w:rPr>
              <w:t>3</w:t>
            </w:r>
            <w:r>
              <w:rPr>
                <w:rFonts w:hint="eastAsia"/>
                <w:color w:val="auto"/>
                <w:highlight w:val="none"/>
              </w:rPr>
              <w:t>/次）），产生</w:t>
            </w:r>
            <w:r>
              <w:rPr>
                <w:rFonts w:hint="eastAsia"/>
                <w:color w:val="auto"/>
                <w:highlight w:val="none"/>
                <w:lang w:val="en-US" w:eastAsia="zh-CN"/>
              </w:rPr>
              <w:t>纯</w:t>
            </w:r>
            <w:r>
              <w:rPr>
                <w:rFonts w:hint="eastAsia"/>
                <w:color w:val="auto"/>
                <w:highlight w:val="none"/>
              </w:rPr>
              <w:t>水洗废水W</w:t>
            </w:r>
            <w:r>
              <w:rPr>
                <w:rFonts w:hint="eastAsia"/>
                <w:color w:val="auto"/>
                <w:highlight w:val="none"/>
                <w:lang w:val="en-US" w:eastAsia="zh-CN"/>
              </w:rPr>
              <w:t>6</w:t>
            </w:r>
            <w:r>
              <w:rPr>
                <w:rFonts w:hint="eastAsia"/>
                <w:color w:val="auto"/>
                <w:highlight w:val="none"/>
              </w:rPr>
              <w:t>，产生量为111m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0.37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w:t>
            </w:r>
          </w:p>
          <w:p w14:paraId="63FE9F0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⑤纯水制备尾水W7</w:t>
            </w:r>
          </w:p>
          <w:p w14:paraId="73766BF2">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本项目纯水制备过程会有纯水制备尾水产生。根据项目设计方案，项目纯水用量为30m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0.1</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，纯水制备率约40%，则纯水制备尾水的产生量为18m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0.06</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，主要污染物为pH、CODcr、SS。纯水制备尾水回用于硅烷后水洗3工序。</w:t>
            </w:r>
          </w:p>
          <w:p w14:paraId="4A9A7DCA">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val="en-US" w:eastAsia="zh-CN"/>
              </w:rPr>
            </w:pPr>
            <w:r>
              <w:rPr>
                <w:rFonts w:hint="eastAsia"/>
                <w:color w:val="auto"/>
                <w:highlight w:val="none"/>
              </w:rPr>
              <w:t>⑥喷淋塔补充用水</w:t>
            </w:r>
          </w:p>
          <w:p w14:paraId="76138ECD">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本项目废气处理设施配套设置</w:t>
            </w:r>
            <w:r>
              <w:rPr>
                <w:rFonts w:hint="eastAsia"/>
                <w:color w:val="auto"/>
                <w:highlight w:val="none"/>
                <w:lang w:val="en-US" w:eastAsia="zh-CN"/>
              </w:rPr>
              <w:t>2</w:t>
            </w:r>
            <w:r>
              <w:rPr>
                <w:rFonts w:hint="eastAsia"/>
                <w:color w:val="auto"/>
                <w:highlight w:val="none"/>
              </w:rPr>
              <w:t>套喷淋塔，喷淋塔储水量约为</w:t>
            </w:r>
            <w:r>
              <w:rPr>
                <w:rFonts w:hint="eastAsia"/>
                <w:color w:val="auto"/>
                <w:highlight w:val="none"/>
                <w:lang w:val="en-US" w:eastAsia="zh-CN"/>
              </w:rPr>
              <w:t>0.5t</w:t>
            </w:r>
            <w:r>
              <w:rPr>
                <w:rFonts w:hint="eastAsia"/>
                <w:color w:val="auto"/>
                <w:highlight w:val="none"/>
              </w:rPr>
              <w:t>，根据经验估算，预计每天补充用水量按储水量的10%计，则项目喷淋塔补充新鲜水量为</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/a</w:t>
            </w:r>
            <w:r>
              <w:rPr>
                <w:rFonts w:hint="eastAsia"/>
                <w:color w:val="auto"/>
                <w:highlight w:val="none"/>
                <w:lang w:eastAsia="zh-CN"/>
              </w:rPr>
              <w:t>（</w:t>
            </w:r>
            <w:r>
              <w:rPr>
                <w:rFonts w:hint="eastAsia"/>
                <w:color w:val="auto"/>
                <w:highlight w:val="none"/>
                <w:lang w:val="en-US" w:eastAsia="zh-CN"/>
              </w:rPr>
              <w:t>0.1</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。喷淋塔喷淋水定期排入废水处理设施处理后循环使用不外排。</w:t>
            </w:r>
          </w:p>
          <w:p w14:paraId="022C39DA">
            <w:pPr>
              <w:pStyle w:val="46"/>
              <w:ind w:firstLine="480"/>
              <w:rPr>
                <w:rFonts w:hint="eastAsia"/>
                <w:color w:val="000000" w:themeColor="text1"/>
                <w:highlight w:val="none"/>
                <w14:textFill>
                  <w14:solidFill>
                    <w14:schemeClr w14:val="tx1"/>
                  </w14:solidFill>
                </w14:textFill>
              </w:rPr>
            </w:pPr>
            <w:r>
              <w:rPr>
                <w:rFonts w:hint="eastAsia" w:ascii="Times New Roman" w:hAnsi="Times New Roman" w:eastAsia="宋体" w:cs="宋体"/>
                <w:color w:val="auto"/>
                <w:highlight w:val="none"/>
              </w:rPr>
              <w:t>⑦</w:t>
            </w:r>
            <w:r>
              <w:rPr>
                <w:rFonts w:hint="eastAsia"/>
                <w:color w:val="000000" w:themeColor="text1"/>
                <w:highlight w:val="none"/>
                <w14:textFill>
                  <w14:solidFill>
                    <w14:schemeClr w14:val="tx1"/>
                  </w14:solidFill>
                </w14:textFill>
              </w:rPr>
              <w:t>调漆用水</w:t>
            </w:r>
          </w:p>
          <w:p w14:paraId="0FC1EE64">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根据建设单位提供的资料，本项目</w:t>
            </w:r>
            <w:r>
              <w:rPr>
                <w:rFonts w:hint="eastAsia"/>
                <w:color w:val="000000" w:themeColor="text1"/>
                <w:highlight w:val="none"/>
                <w:lang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采用水进行调漆，</w:t>
            </w:r>
            <w:r>
              <w:rPr>
                <w:rFonts w:hint="eastAsia"/>
                <w:color w:val="000000" w:themeColor="text1"/>
                <w:highlight w:val="none"/>
                <w:lang w:val="en-US" w:eastAsia="zh-CN"/>
                <w14:textFill>
                  <w14:solidFill>
                    <w14:schemeClr w14:val="tx1"/>
                  </w14:solidFill>
                </w14:textFill>
              </w:rPr>
              <w:t>水</w:t>
            </w:r>
            <w:r>
              <w:rPr>
                <w:rFonts w:hint="eastAsia" w:cs="宋体"/>
                <w:color w:val="auto"/>
                <w:kern w:val="0"/>
                <w:sz w:val="24"/>
                <w:szCs w:val="20"/>
                <w:highlight w:val="none"/>
                <w:lang w:val="en-US" w:eastAsia="zh-CN" w:bidi="ar-SA"/>
              </w:rPr>
              <w:t>性环氧涂料和水的调和过程中，水加入的量为6%～8%，即</w:t>
            </w:r>
            <w:r>
              <w:rPr>
                <w:rFonts w:hint="eastAsia"/>
                <w:color w:val="000000" w:themeColor="text1"/>
                <w:highlight w:val="none"/>
                <w14:textFill>
                  <w14:solidFill>
                    <w14:schemeClr w14:val="tx1"/>
                  </w14:solidFill>
                </w14:textFill>
              </w:rPr>
              <w:t>本项目所用</w:t>
            </w:r>
            <w:r>
              <w:rPr>
                <w:rFonts w:hint="eastAsia"/>
                <w:color w:val="000000" w:themeColor="text1"/>
                <w:highlight w:val="none"/>
                <w:lang w:val="en-US"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和水需按1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左右进行调漆后使用，其中</w:t>
            </w:r>
            <w:r>
              <w:rPr>
                <w:rFonts w:hint="eastAsia"/>
                <w:color w:val="000000" w:themeColor="text1"/>
                <w:highlight w:val="none"/>
                <w:lang w:val="en-US"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用量为</w:t>
            </w:r>
            <w:r>
              <w:rPr>
                <w:rFonts w:hint="eastAsia"/>
                <w:color w:val="000000" w:themeColor="text1"/>
                <w:highlight w:val="none"/>
                <w:lang w:val="en-US" w:eastAsia="zh-CN"/>
                <w14:textFill>
                  <w14:solidFill>
                    <w14:schemeClr w14:val="tx1"/>
                  </w14:solidFill>
                </w14:textFill>
              </w:rPr>
              <w:t>8</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/a</w:t>
            </w:r>
            <w:r>
              <w:rPr>
                <w:rFonts w:hint="eastAsia"/>
                <w:color w:val="000000" w:themeColor="text1"/>
                <w:highlight w:val="none"/>
                <w14:textFill>
                  <w14:solidFill>
                    <w14:schemeClr w14:val="tx1"/>
                  </w14:solidFill>
                </w14:textFill>
              </w:rPr>
              <w:t>，预计年耗调漆用水量为</w:t>
            </w:r>
            <w:r>
              <w:rPr>
                <w:rFonts w:hint="eastAsia"/>
                <w:color w:val="000000" w:themeColor="text1"/>
                <w:highlight w:val="none"/>
                <w:lang w:val="en-US" w:eastAsia="zh-CN"/>
                <w14:textFill>
                  <w14:solidFill>
                    <w14:schemeClr w14:val="tx1"/>
                  </w14:solidFill>
                </w14:textFill>
              </w:rPr>
              <w:t>0.8</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/a</w:t>
            </w:r>
            <w:r>
              <w:rPr>
                <w:rFonts w:hint="eastAsia"/>
                <w:color w:val="000000" w:themeColor="text1"/>
                <w:highlight w:val="none"/>
                <w:lang w:val="en-US" w:eastAsia="zh-CN"/>
                <w14:textFill>
                  <w14:solidFill>
                    <w14:schemeClr w14:val="tx1"/>
                  </w14:solidFill>
                </w14:textFill>
              </w:rPr>
              <w:t>（0.0027</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w:t>
            </w:r>
          </w:p>
          <w:p w14:paraId="5350FDE1">
            <w:pPr>
              <w:pStyle w:val="46"/>
              <w:ind w:firstLine="480"/>
              <w:rPr>
                <w:rFonts w:hint="eastAsia"/>
                <w:color w:val="000000" w:themeColor="text1"/>
                <w:highlight w:val="none"/>
                <w14:textFill>
                  <w14:solidFill>
                    <w14:schemeClr w14:val="tx1"/>
                  </w14:solidFill>
                </w14:textFill>
              </w:rPr>
            </w:pPr>
            <w:r>
              <w:rPr>
                <w:rFonts w:hint="eastAsia" w:ascii="Times New Roman" w:hAnsi="Times New Roman" w:eastAsia="宋体" w:cs="宋体"/>
                <w:color w:val="auto"/>
                <w:highlight w:val="none"/>
              </w:rPr>
              <w:t>⑧</w:t>
            </w:r>
            <w:r>
              <w:rPr>
                <w:rFonts w:hint="eastAsia"/>
                <w:color w:val="000000" w:themeColor="text1"/>
                <w:highlight w:val="none"/>
                <w14:textFill>
                  <w14:solidFill>
                    <w14:schemeClr w14:val="tx1"/>
                  </w14:solidFill>
                </w14:textFill>
              </w:rPr>
              <w:t>水帘喷漆台补充水</w:t>
            </w:r>
          </w:p>
          <w:p w14:paraId="6118733E">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根据业主提供的资料，项目设置</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个水帘喷漆台，项目水帘喷漆台水池有效容积为2m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，每个水帘喷漆台水池最大储水量按1.8m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计。则最大储水量为</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；由于废水循环使用过程中会不断损耗水量，每天补充用水量按储水量的</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%计，则项目每天平均需补充新鲜用水量</w:t>
            </w:r>
            <w:r>
              <w:rPr>
                <w:rFonts w:hint="eastAsia"/>
                <w:color w:val="000000" w:themeColor="text1"/>
                <w:highlight w:val="none"/>
                <w:lang w:val="en-US" w:eastAsia="zh-CN"/>
                <w14:textFill>
                  <w14:solidFill>
                    <w14:schemeClr w14:val="tx1"/>
                  </w14:solidFill>
                </w14:textFill>
              </w:rPr>
              <w:t>0.45</w:t>
            </w:r>
            <w:r>
              <w:rPr>
                <w:rFonts w:hint="eastAsia"/>
                <w:color w:val="auto"/>
                <w:highlight w:val="none"/>
              </w:rPr>
              <w:t>m</w:t>
            </w:r>
            <w:r>
              <w:rPr>
                <w:rFonts w:hint="eastAsia"/>
                <w:color w:val="auto"/>
                <w:highlight w:val="none"/>
                <w:vertAlign w:val="superscript"/>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135</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/a)</w:t>
            </w:r>
            <w:r>
              <w:rPr>
                <w:rFonts w:hint="eastAsia"/>
                <w:color w:val="000000" w:themeColor="text1"/>
                <w:highlight w:val="none"/>
                <w14:textFill>
                  <w14:solidFill>
                    <w14:schemeClr w14:val="tx1"/>
                  </w14:solidFill>
                </w14:textFill>
              </w:rPr>
              <w:t>。</w:t>
            </w:r>
          </w:p>
          <w:p w14:paraId="6043E3B1">
            <w:pPr>
              <w:pStyle w:val="46"/>
              <w:ind w:firstLine="48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⑨</w:t>
            </w:r>
            <w:r>
              <w:rPr>
                <w:rFonts w:hint="eastAsia" w:ascii="Times New Roman" w:hAnsi="Times New Roman" w:eastAsia="宋体" w:cs="宋体"/>
                <w:color w:val="auto"/>
                <w:highlight w:val="none"/>
                <w:lang w:val="en-US" w:eastAsia="zh-CN"/>
              </w:rPr>
              <w:t>水帘喷漆废水</w:t>
            </w:r>
            <w:r>
              <w:rPr>
                <w:rFonts w:hint="eastAsia"/>
                <w:color w:val="auto"/>
                <w:highlight w:val="none"/>
              </w:rPr>
              <w:t>W</w:t>
            </w:r>
            <w:r>
              <w:rPr>
                <w:rFonts w:hint="eastAsia"/>
                <w:color w:val="auto"/>
                <w:highlight w:val="none"/>
                <w:lang w:val="en-US" w:eastAsia="zh-CN"/>
              </w:rPr>
              <w:t>9</w:t>
            </w:r>
          </w:p>
          <w:p w14:paraId="58506B3F">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由于水帘喷漆台用水对水质要求不高，项目水帘喷漆台用水循环使用10天后排入自建废水处理系统后排放</w:t>
            </w:r>
            <w:r>
              <w:rPr>
                <w:rFonts w:hint="eastAsia"/>
                <w:color w:val="000000" w:themeColor="text1"/>
                <w:highlight w:val="none"/>
                <w:lang w:val="en-US" w:eastAsia="zh-CN"/>
                <w14:textFill>
                  <w14:solidFill>
                    <w14:schemeClr w14:val="tx1"/>
                  </w14:solidFill>
                </w14:textFill>
              </w:rPr>
              <w:t>至厂区污水管网，废水纳入福清市第二污水处理厂处理</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则</w:t>
            </w:r>
            <w:r>
              <w:rPr>
                <w:rFonts w:hint="eastAsia"/>
                <w:color w:val="000000" w:themeColor="text1"/>
                <w:highlight w:val="none"/>
                <w14:textFill>
                  <w14:solidFill>
                    <w14:schemeClr w14:val="tx1"/>
                  </w14:solidFill>
                </w14:textFill>
              </w:rPr>
              <w:t>废水</w:t>
            </w:r>
            <w:r>
              <w:rPr>
                <w:rFonts w:hint="eastAsia"/>
                <w:color w:val="000000" w:themeColor="text1"/>
                <w:highlight w:val="none"/>
                <w:lang w:val="en-US" w:eastAsia="zh-CN"/>
                <w14:textFill>
                  <w14:solidFill>
                    <w14:schemeClr w14:val="tx1"/>
                  </w14:solidFill>
                </w14:textFill>
              </w:rPr>
              <w:t>排放次数为</w:t>
            </w:r>
            <w:r>
              <w:rPr>
                <w:rFonts w:hint="eastAsia"/>
                <w:color w:val="000000" w:themeColor="text1"/>
                <w:highlight w:val="none"/>
                <w14:textFill>
                  <w14:solidFill>
                    <w14:schemeClr w14:val="tx1"/>
                  </w14:solidFill>
                </w14:textFill>
              </w:rPr>
              <w:t>30次/a，则</w:t>
            </w:r>
            <w:r>
              <w:rPr>
                <w:rFonts w:hint="eastAsia"/>
                <w:color w:val="000000" w:themeColor="text1"/>
                <w:highlight w:val="none"/>
                <w:lang w:val="en-US" w:eastAsia="zh-CN"/>
                <w14:textFill>
                  <w14:solidFill>
                    <w14:schemeClr w14:val="tx1"/>
                  </w14:solidFill>
                </w14:textFill>
              </w:rPr>
              <w:t>排放</w:t>
            </w:r>
            <w:r>
              <w:rPr>
                <w:rFonts w:hint="eastAsia"/>
                <w:color w:val="000000" w:themeColor="text1"/>
                <w:highlight w:val="none"/>
                <w14:textFill>
                  <w14:solidFill>
                    <w14:schemeClr w14:val="tx1"/>
                  </w14:solidFill>
                </w14:textFill>
              </w:rPr>
              <w:t>水量为</w:t>
            </w:r>
            <w:r>
              <w:rPr>
                <w:rFonts w:hint="eastAsia"/>
                <w:color w:val="000000" w:themeColor="text1"/>
                <w:highlight w:val="none"/>
                <w:lang w:val="en-US" w:eastAsia="zh-CN"/>
                <w14:textFill>
                  <w14:solidFill>
                    <w14:schemeClr w14:val="tx1"/>
                  </w14:solidFill>
                </w14:textFill>
              </w:rPr>
              <w:t>270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（0.9</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w:t>
            </w:r>
          </w:p>
          <w:p w14:paraId="06A71CE1">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生活用水W</w:t>
            </w:r>
            <w:r>
              <w:rPr>
                <w:rFonts w:hint="eastAsia"/>
                <w:color w:val="auto"/>
                <w:highlight w:val="none"/>
                <w:lang w:val="en-US" w:eastAsia="zh-CN"/>
              </w:rPr>
              <w:t>8</w:t>
            </w:r>
          </w:p>
          <w:p w14:paraId="1FA2D4A4">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职工生活用水由工业园区市政给水管网直接供给，</w:t>
            </w:r>
            <w:r>
              <w:rPr>
                <w:color w:val="auto"/>
                <w:highlight w:val="none"/>
              </w:rPr>
              <w:t>根据《</w:t>
            </w:r>
            <w:r>
              <w:rPr>
                <w:rFonts w:hint="eastAsia"/>
                <w:color w:val="auto"/>
                <w:highlight w:val="none"/>
              </w:rPr>
              <w:t>建筑给水排水设计标准</w:t>
            </w:r>
            <w:r>
              <w:rPr>
                <w:color w:val="auto"/>
                <w:highlight w:val="none"/>
              </w:rPr>
              <w:t>》</w:t>
            </w:r>
            <w:r>
              <w:rPr>
                <w:rFonts w:hint="eastAsia"/>
                <w:color w:val="auto"/>
                <w:highlight w:val="none"/>
                <w:lang w:eastAsia="zh-CN"/>
              </w:rPr>
              <w:t>（</w:t>
            </w:r>
            <w:r>
              <w:rPr>
                <w:rFonts w:hint="eastAsia"/>
                <w:color w:val="auto"/>
                <w:highlight w:val="none"/>
              </w:rPr>
              <w:t>GB50015</w:t>
            </w:r>
            <w:r>
              <w:rPr>
                <w:color w:val="auto"/>
                <w:highlight w:val="none"/>
              </w:rPr>
              <w:t>-</w:t>
            </w:r>
            <w:r>
              <w:rPr>
                <w:rFonts w:hint="eastAsia"/>
                <w:color w:val="auto"/>
                <w:highlight w:val="none"/>
              </w:rPr>
              <w:t>2019</w:t>
            </w:r>
            <w:r>
              <w:rPr>
                <w:rFonts w:hint="eastAsia"/>
                <w:color w:val="auto"/>
                <w:highlight w:val="none"/>
                <w:lang w:eastAsia="zh-CN"/>
              </w:rPr>
              <w:t>）</w:t>
            </w:r>
            <w:r>
              <w:rPr>
                <w:color w:val="auto"/>
                <w:highlight w:val="none"/>
              </w:rPr>
              <w:t>，</w:t>
            </w:r>
            <w:r>
              <w:rPr>
                <w:rFonts w:hint="eastAsia"/>
                <w:color w:val="auto"/>
                <w:highlight w:val="none"/>
              </w:rPr>
              <w:t>不住厂职工生活用水量按照50L/d</w:t>
            </w:r>
            <w:r>
              <w:rPr>
                <w:rFonts w:hint="eastAsia"/>
                <w:color w:val="auto"/>
                <w:highlight w:val="none"/>
                <w:lang w:val="en-US" w:eastAsia="zh-CN"/>
              </w:rPr>
              <w:t>·</w:t>
            </w:r>
            <w:r>
              <w:rPr>
                <w:rFonts w:hint="eastAsia"/>
                <w:color w:val="auto"/>
                <w:highlight w:val="none"/>
              </w:rPr>
              <w:t>人计，</w:t>
            </w:r>
            <w:r>
              <w:rPr>
                <w:color w:val="auto"/>
                <w:highlight w:val="none"/>
              </w:rPr>
              <w:t>年工作3</w:t>
            </w:r>
            <w:r>
              <w:rPr>
                <w:rFonts w:hint="eastAsia"/>
                <w:color w:val="auto"/>
                <w:highlight w:val="none"/>
                <w:lang w:val="en-US" w:eastAsia="zh-CN"/>
              </w:rPr>
              <w:t>0</w:t>
            </w:r>
            <w:r>
              <w:rPr>
                <w:color w:val="auto"/>
                <w:highlight w:val="none"/>
              </w:rPr>
              <w:t>0天</w:t>
            </w:r>
            <w:r>
              <w:rPr>
                <w:rFonts w:hint="eastAsia"/>
                <w:color w:val="auto"/>
                <w:highlight w:val="none"/>
              </w:rPr>
              <w:t>，本项目职工定员</w:t>
            </w:r>
            <w:r>
              <w:rPr>
                <w:rFonts w:hint="eastAsia"/>
                <w:color w:val="auto"/>
                <w:highlight w:val="none"/>
                <w:lang w:val="en-US" w:eastAsia="zh-CN"/>
              </w:rPr>
              <w:t>30</w:t>
            </w:r>
            <w:r>
              <w:rPr>
                <w:rFonts w:hint="eastAsia"/>
                <w:color w:val="auto"/>
                <w:highlight w:val="none"/>
              </w:rPr>
              <w:t>人（均不住厂），则生活用水量为</w:t>
            </w:r>
            <w:r>
              <w:rPr>
                <w:rFonts w:hint="eastAsia"/>
                <w:color w:val="auto"/>
                <w:highlight w:val="none"/>
                <w:lang w:val="en-US" w:eastAsia="zh-CN"/>
              </w:rPr>
              <w:t>1.5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450</w:t>
            </w:r>
            <w:r>
              <w:rPr>
                <w:rFonts w:hint="eastAsia"/>
                <w:color w:val="auto"/>
                <w:highlight w:val="none"/>
              </w:rPr>
              <w:t>m</w:t>
            </w:r>
            <w:r>
              <w:rPr>
                <w:rFonts w:hint="eastAsia"/>
                <w:color w:val="auto"/>
                <w:highlight w:val="none"/>
                <w:vertAlign w:val="superscript"/>
              </w:rPr>
              <w:t>3</w:t>
            </w:r>
            <w:r>
              <w:rPr>
                <w:rFonts w:hint="eastAsia"/>
                <w:color w:val="auto"/>
                <w:highlight w:val="none"/>
              </w:rPr>
              <w:t>/a），产污系数按0.8计，则生活污水产生量约为</w:t>
            </w:r>
            <w:r>
              <w:rPr>
                <w:rFonts w:hint="eastAsia"/>
                <w:color w:val="auto"/>
                <w:highlight w:val="none"/>
                <w:lang w:val="en-US" w:eastAsia="zh-CN"/>
              </w:rPr>
              <w:t>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360</w:t>
            </w:r>
            <w:r>
              <w:rPr>
                <w:rFonts w:hint="eastAsia"/>
                <w:color w:val="auto"/>
                <w:highlight w:val="none"/>
              </w:rPr>
              <w:t>m</w:t>
            </w:r>
            <w:r>
              <w:rPr>
                <w:rFonts w:hint="eastAsia"/>
                <w:color w:val="auto"/>
                <w:highlight w:val="none"/>
                <w:vertAlign w:val="superscript"/>
              </w:rPr>
              <w:t>3</w:t>
            </w:r>
            <w:r>
              <w:rPr>
                <w:rFonts w:hint="eastAsia"/>
                <w:color w:val="auto"/>
                <w:highlight w:val="none"/>
              </w:rPr>
              <w:t>/a）。</w:t>
            </w:r>
          </w:p>
          <w:p w14:paraId="214C6948">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（3）项目排水</w:t>
            </w:r>
          </w:p>
          <w:p w14:paraId="3D5AF334">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color w:val="auto"/>
                <w:highlight w:val="none"/>
              </w:rPr>
              <w:t>本项目所在厂区雨污分流，已建立完善的雨、污水管道。厂区雨水经雨水管道纳入市政雨水管网。本项目</w:t>
            </w:r>
            <w:r>
              <w:rPr>
                <w:rFonts w:hint="eastAsia"/>
                <w:color w:val="auto"/>
                <w:highlight w:val="none"/>
                <w:lang w:val="en-US" w:eastAsia="zh-CN"/>
              </w:rPr>
              <w:t>纯</w:t>
            </w:r>
            <w:r>
              <w:rPr>
                <w:color w:val="auto"/>
                <w:highlight w:val="none"/>
              </w:rPr>
              <w:t>水洗废水、脱脂废水、脱脂后水洗废水、硅烷后水洗废水</w:t>
            </w:r>
            <w:r>
              <w:rPr>
                <w:rFonts w:hint="eastAsia"/>
                <w:color w:val="auto"/>
                <w:highlight w:val="none"/>
                <w:lang w:eastAsia="zh-CN"/>
              </w:rPr>
              <w:t>、</w:t>
            </w:r>
            <w:r>
              <w:rPr>
                <w:rFonts w:hint="eastAsia"/>
                <w:color w:val="auto"/>
                <w:highlight w:val="none"/>
                <w:lang w:val="en-US" w:eastAsia="zh-CN"/>
              </w:rPr>
              <w:t>水帘喷漆废水</w:t>
            </w:r>
            <w:r>
              <w:rPr>
                <w:color w:val="auto"/>
                <w:highlight w:val="none"/>
              </w:rPr>
              <w:t>经收集后进入废水处理设施净化处理后，出水进入厂区污水管道，再纳入</w:t>
            </w:r>
            <w:r>
              <w:rPr>
                <w:rFonts w:hint="eastAsia"/>
                <w:color w:val="auto"/>
                <w:highlight w:val="none"/>
                <w:lang w:val="en-US" w:eastAsia="zh-CN"/>
              </w:rPr>
              <w:t>厂</w:t>
            </w:r>
            <w:r>
              <w:rPr>
                <w:color w:val="auto"/>
                <w:highlight w:val="none"/>
              </w:rPr>
              <w:t>区污水管网；生活污水单独进入厂区污水管道，再纳入</w:t>
            </w:r>
            <w:r>
              <w:rPr>
                <w:rFonts w:hint="eastAsia"/>
                <w:color w:val="auto"/>
                <w:highlight w:val="none"/>
                <w:lang w:val="en-US" w:eastAsia="zh-CN"/>
              </w:rPr>
              <w:t>厂</w:t>
            </w:r>
            <w:r>
              <w:rPr>
                <w:color w:val="auto"/>
                <w:highlight w:val="none"/>
              </w:rPr>
              <w:t>区污水管网；项目废水最终全部纳入</w:t>
            </w:r>
            <w:r>
              <w:rPr>
                <w:rFonts w:hint="eastAsia"/>
                <w:color w:val="auto"/>
                <w:highlight w:val="none"/>
                <w:lang w:eastAsia="zh-CN"/>
              </w:rPr>
              <w:t>福清市第二污水处理厂</w:t>
            </w:r>
            <w:r>
              <w:rPr>
                <w:color w:val="auto"/>
                <w:highlight w:val="none"/>
              </w:rPr>
              <w:t>集中处理。</w:t>
            </w:r>
            <w:r>
              <w:rPr>
                <w:color w:val="auto"/>
                <w:spacing w:val="-2"/>
                <w:sz w:val="24"/>
                <w:szCs w:val="24"/>
              </w:rPr>
              <w:t>项目排水情况见下表</w:t>
            </w:r>
            <w:r>
              <w:rPr>
                <w:rFonts w:hint="eastAsia"/>
                <w:color w:val="auto"/>
                <w:spacing w:val="-2"/>
                <w:sz w:val="24"/>
                <w:szCs w:val="24"/>
                <w:lang w:val="en-US" w:eastAsia="zh-CN"/>
              </w:rPr>
              <w:t>2.6-1</w:t>
            </w:r>
            <w:r>
              <w:rPr>
                <w:color w:val="auto"/>
                <w:spacing w:val="-2"/>
                <w:sz w:val="24"/>
                <w:szCs w:val="24"/>
              </w:rPr>
              <w:t>。</w:t>
            </w:r>
            <w:r>
              <w:rPr>
                <w:rFonts w:hint="eastAsia"/>
                <w:color w:val="auto"/>
                <w:highlight w:val="none"/>
              </w:rPr>
              <w:t>具体情况见</w:t>
            </w:r>
            <w:r>
              <w:rPr>
                <w:color w:val="auto"/>
                <w:highlight w:val="none"/>
              </w:rPr>
              <w:t>平衡图见</w:t>
            </w:r>
            <w:r>
              <w:rPr>
                <w:rFonts w:hint="eastAsia"/>
                <w:color w:val="auto"/>
                <w:highlight w:val="none"/>
              </w:rPr>
              <w:fldChar w:fldCharType="begin"/>
            </w:r>
            <w:r>
              <w:rPr>
                <w:rFonts w:hint="eastAsia"/>
                <w:color w:val="auto"/>
                <w:highlight w:val="none"/>
              </w:rPr>
              <w:instrText xml:space="preserve"> REF _Ref27012 \n \h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REF _Ref22741 \n \h </w:instrText>
            </w:r>
            <w:r>
              <w:rPr>
                <w:rFonts w:hint="eastAsia"/>
                <w:color w:val="auto"/>
                <w:highlight w:val="none"/>
              </w:rPr>
              <w:fldChar w:fldCharType="separate"/>
            </w:r>
            <w:r>
              <w:rPr>
                <w:rFonts w:hint="eastAsia"/>
                <w:color w:val="auto"/>
                <w:highlight w:val="none"/>
              </w:rPr>
              <w:t>图</w:t>
            </w:r>
            <w:r>
              <w:rPr>
                <w:rFonts w:hint="eastAsia"/>
                <w:color w:val="auto"/>
                <w:highlight w:val="none"/>
                <w:lang w:val="en-US" w:eastAsia="zh-CN"/>
              </w:rPr>
              <w:t>2.6-</w:t>
            </w:r>
            <w:r>
              <w:rPr>
                <w:rFonts w:hint="eastAsia"/>
                <w:color w:val="auto"/>
                <w:highlight w:val="none"/>
              </w:rPr>
              <w:t>1</w:t>
            </w:r>
            <w:r>
              <w:rPr>
                <w:rFonts w:hint="eastAsia"/>
                <w:color w:val="auto"/>
                <w:highlight w:val="none"/>
              </w:rPr>
              <w:fldChar w:fldCharType="end"/>
            </w:r>
            <w:r>
              <w:rPr>
                <w:color w:val="auto"/>
                <w:highlight w:val="none"/>
              </w:rPr>
              <w:t>。</w:t>
            </w:r>
            <w:r>
              <w:rPr>
                <w:rFonts w:hint="eastAsia"/>
                <w:color w:val="auto"/>
                <w:highlight w:val="none"/>
              </w:rPr>
              <w:fldChar w:fldCharType="end"/>
            </w:r>
          </w:p>
          <w:p w14:paraId="273AFCC1">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项目用水、排水情况表</w:t>
            </w:r>
          </w:p>
          <w:tbl>
            <w:tblPr>
              <w:tblStyle w:val="86"/>
              <w:tblW w:w="86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45"/>
              <w:gridCol w:w="1121"/>
              <w:gridCol w:w="888"/>
              <w:gridCol w:w="1538"/>
              <w:gridCol w:w="1128"/>
              <w:gridCol w:w="1130"/>
              <w:gridCol w:w="1190"/>
            </w:tblGrid>
            <w:tr w14:paraId="77DC2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645" w:type="dxa"/>
                  <w:vMerge w:val="restart"/>
                  <w:vAlign w:val="center"/>
                </w:tcPr>
                <w:p w14:paraId="0E961CB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用水单元</w:t>
                  </w:r>
                </w:p>
              </w:tc>
              <w:tc>
                <w:tcPr>
                  <w:tcW w:w="3547" w:type="dxa"/>
                  <w:gridSpan w:val="3"/>
                  <w:vAlign w:val="center"/>
                </w:tcPr>
                <w:p w14:paraId="3A02AFDB">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4"/>
                      <w:sz w:val="21"/>
                    </w:rPr>
                    <w:t>用水量（</w:t>
                  </w:r>
                  <w:r>
                    <w:rPr>
                      <w:rFonts w:ascii="Times New Roman" w:hAnsi="Times New Roman" w:eastAsia="宋体" w:cs="Times New Roman"/>
                      <w:b/>
                      <w:bCs/>
                      <w:color w:val="auto"/>
                      <w:spacing w:val="4"/>
                      <w:sz w:val="21"/>
                    </w:rPr>
                    <w:t>m</w:t>
                  </w:r>
                  <w:r>
                    <w:rPr>
                      <w:rFonts w:hint="eastAsia" w:ascii="Times New Roman" w:hAnsi="Times New Roman" w:cs="Times New Roman"/>
                      <w:b/>
                      <w:bCs/>
                      <w:color w:val="auto"/>
                      <w:spacing w:val="4"/>
                      <w:position w:val="6"/>
                      <w:sz w:val="21"/>
                      <w:szCs w:val="13"/>
                      <w:lang w:val="en-US" w:eastAsia="zh-CN"/>
                    </w:rPr>
                    <w:t>3</w:t>
                  </w:r>
                  <w:r>
                    <w:rPr>
                      <w:rFonts w:ascii="Times New Roman" w:hAnsi="Times New Roman" w:eastAsia="宋体" w:cs="Times New Roman"/>
                      <w:b/>
                      <w:bCs/>
                      <w:color w:val="auto"/>
                      <w:spacing w:val="4"/>
                      <w:sz w:val="21"/>
                    </w:rPr>
                    <w:t>/d</w:t>
                  </w:r>
                  <w:r>
                    <w:rPr>
                      <w:rFonts w:ascii="Times New Roman" w:hAnsi="Times New Roman" w:eastAsia="宋体"/>
                      <w:b/>
                      <w:bCs/>
                      <w:color w:val="auto"/>
                      <w:spacing w:val="4"/>
                      <w:sz w:val="21"/>
                    </w:rPr>
                    <w:t>）</w:t>
                  </w:r>
                </w:p>
              </w:tc>
              <w:tc>
                <w:tcPr>
                  <w:tcW w:w="3448" w:type="dxa"/>
                  <w:gridSpan w:val="3"/>
                  <w:vAlign w:val="center"/>
                </w:tcPr>
                <w:p w14:paraId="2EF0755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4"/>
                      <w:sz w:val="21"/>
                    </w:rPr>
                    <w:t>排放量（</w:t>
                  </w:r>
                  <w:r>
                    <w:rPr>
                      <w:rFonts w:ascii="Times New Roman" w:hAnsi="Times New Roman" w:eastAsia="宋体" w:cs="Times New Roman"/>
                      <w:b/>
                      <w:bCs/>
                      <w:color w:val="auto"/>
                      <w:spacing w:val="4"/>
                      <w:sz w:val="21"/>
                    </w:rPr>
                    <w:t>m</w:t>
                  </w:r>
                  <w:r>
                    <w:rPr>
                      <w:rFonts w:ascii="Times New Roman" w:hAnsi="Times New Roman" w:eastAsia="宋体" w:cs="Times New Roman"/>
                      <w:b/>
                      <w:bCs/>
                      <w:color w:val="auto"/>
                      <w:spacing w:val="4"/>
                      <w:position w:val="6"/>
                      <w:sz w:val="21"/>
                      <w:szCs w:val="13"/>
                    </w:rPr>
                    <w:t>3</w:t>
                  </w:r>
                  <w:r>
                    <w:rPr>
                      <w:rFonts w:ascii="Times New Roman" w:hAnsi="Times New Roman" w:eastAsia="宋体" w:cs="Times New Roman"/>
                      <w:b/>
                      <w:bCs/>
                      <w:color w:val="auto"/>
                      <w:spacing w:val="4"/>
                      <w:sz w:val="21"/>
                    </w:rPr>
                    <w:t>/d</w:t>
                  </w:r>
                  <w:r>
                    <w:rPr>
                      <w:rFonts w:ascii="Times New Roman" w:hAnsi="Times New Roman" w:eastAsia="宋体"/>
                      <w:b/>
                      <w:bCs/>
                      <w:color w:val="auto"/>
                      <w:spacing w:val="4"/>
                      <w:sz w:val="21"/>
                    </w:rPr>
                    <w:t>）</w:t>
                  </w:r>
                </w:p>
              </w:tc>
            </w:tr>
            <w:tr w14:paraId="12F507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1645" w:type="dxa"/>
                  <w:vMerge w:val="continue"/>
                  <w:tcBorders>
                    <w:bottom w:val="single" w:color="000000" w:sz="12" w:space="0"/>
                  </w:tcBorders>
                  <w:vAlign w:val="center"/>
                </w:tcPr>
                <w:p w14:paraId="375265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p>
              </w:tc>
              <w:tc>
                <w:tcPr>
                  <w:tcW w:w="1121" w:type="dxa"/>
                  <w:tcBorders>
                    <w:bottom w:val="single" w:color="000000" w:sz="12" w:space="0"/>
                  </w:tcBorders>
                  <w:vAlign w:val="center"/>
                </w:tcPr>
                <w:p w14:paraId="7235E3A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5"/>
                      <w:sz w:val="21"/>
                    </w:rPr>
                    <w:t>新鲜水</w:t>
                  </w:r>
                </w:p>
              </w:tc>
              <w:tc>
                <w:tcPr>
                  <w:tcW w:w="888" w:type="dxa"/>
                  <w:tcBorders>
                    <w:bottom w:val="single" w:color="000000" w:sz="12" w:space="0"/>
                  </w:tcBorders>
                  <w:vAlign w:val="center"/>
                </w:tcPr>
                <w:p w14:paraId="031CFD3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2"/>
                      <w:sz w:val="21"/>
                    </w:rPr>
                    <w:t>纯水</w:t>
                  </w:r>
                </w:p>
              </w:tc>
              <w:tc>
                <w:tcPr>
                  <w:tcW w:w="1538" w:type="dxa"/>
                  <w:tcBorders>
                    <w:bottom w:val="single" w:color="000000" w:sz="12" w:space="0"/>
                  </w:tcBorders>
                  <w:vAlign w:val="center"/>
                </w:tcPr>
                <w:p w14:paraId="5D4A360C">
                  <w:pPr>
                    <w:pStyle w:val="115"/>
                    <w:keepNext w:val="0"/>
                    <w:keepLines w:val="0"/>
                    <w:pageBreakBefore w:val="0"/>
                    <w:widowControl w:val="0"/>
                    <w:kinsoku/>
                    <w:wordWrap/>
                    <w:overflowPunct/>
                    <w:topLinePunct w:val="0"/>
                    <w:autoSpaceDE/>
                    <w:autoSpaceDN/>
                    <w:bidi w:val="0"/>
                    <w:adjustRightInd/>
                    <w:snapToGrid/>
                    <w:spacing w:line="240" w:lineRule="auto"/>
                    <w:ind w:left="0" w:right="117" w:hanging="206"/>
                    <w:jc w:val="right"/>
                    <w:textAlignment w:val="auto"/>
                    <w:rPr>
                      <w:rFonts w:ascii="Times New Roman" w:hAnsi="Times New Roman" w:eastAsia="宋体"/>
                      <w:color w:val="auto"/>
                      <w:sz w:val="21"/>
                    </w:rPr>
                  </w:pPr>
                  <w:r>
                    <w:rPr>
                      <w:rFonts w:ascii="Times New Roman" w:hAnsi="Times New Roman" w:eastAsia="宋体"/>
                      <w:b/>
                      <w:bCs/>
                      <w:color w:val="auto"/>
                      <w:spacing w:val="5"/>
                      <w:sz w:val="21"/>
                    </w:rPr>
                    <w:t>纯水制备</w:t>
                  </w:r>
                  <w:r>
                    <w:rPr>
                      <w:rFonts w:ascii="Times New Roman" w:hAnsi="Times New Roman" w:eastAsia="宋体"/>
                      <w:b/>
                      <w:bCs/>
                      <w:color w:val="auto"/>
                      <w:spacing w:val="3"/>
                      <w:sz w:val="21"/>
                    </w:rPr>
                    <w:t>尾水</w:t>
                  </w:r>
                </w:p>
              </w:tc>
              <w:tc>
                <w:tcPr>
                  <w:tcW w:w="1128" w:type="dxa"/>
                  <w:tcBorders>
                    <w:bottom w:val="single" w:color="000000" w:sz="12" w:space="0"/>
                  </w:tcBorders>
                  <w:vAlign w:val="center"/>
                </w:tcPr>
                <w:p w14:paraId="0E5675D1">
                  <w:pPr>
                    <w:pStyle w:val="115"/>
                    <w:keepNext w:val="0"/>
                    <w:keepLines w:val="0"/>
                    <w:pageBreakBefore w:val="0"/>
                    <w:widowControl w:val="0"/>
                    <w:kinsoku/>
                    <w:wordWrap/>
                    <w:overflowPunct/>
                    <w:topLinePunct w:val="0"/>
                    <w:autoSpaceDE/>
                    <w:autoSpaceDN/>
                    <w:bidi w:val="0"/>
                    <w:adjustRightInd/>
                    <w:snapToGrid/>
                    <w:spacing w:line="240" w:lineRule="auto"/>
                    <w:ind w:left="0" w:right="155" w:hanging="207"/>
                    <w:jc w:val="right"/>
                    <w:textAlignment w:val="auto"/>
                    <w:rPr>
                      <w:rFonts w:ascii="Times New Roman" w:hAnsi="Times New Roman" w:eastAsia="宋体"/>
                      <w:color w:val="auto"/>
                      <w:sz w:val="21"/>
                    </w:rPr>
                  </w:pPr>
                  <w:r>
                    <w:rPr>
                      <w:rFonts w:ascii="Times New Roman" w:hAnsi="Times New Roman" w:eastAsia="宋体"/>
                      <w:b/>
                      <w:bCs/>
                      <w:color w:val="auto"/>
                      <w:spacing w:val="5"/>
                      <w:sz w:val="21"/>
                    </w:rPr>
                    <w:t>纳管排</w:t>
                  </w:r>
                  <w:r>
                    <w:rPr>
                      <w:rFonts w:ascii="Times New Roman" w:hAnsi="Times New Roman" w:eastAsia="宋体"/>
                      <w:b/>
                      <w:bCs/>
                      <w:color w:val="auto"/>
                      <w:spacing w:val="-2"/>
                      <w:sz w:val="21"/>
                    </w:rPr>
                    <w:t>放</w:t>
                  </w:r>
                </w:p>
              </w:tc>
              <w:tc>
                <w:tcPr>
                  <w:tcW w:w="1130" w:type="dxa"/>
                  <w:tcBorders>
                    <w:bottom w:val="single" w:color="000000" w:sz="12" w:space="0"/>
                  </w:tcBorders>
                  <w:vAlign w:val="center"/>
                </w:tcPr>
                <w:p w14:paraId="746747B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7"/>
                      <w:sz w:val="21"/>
                    </w:rPr>
                    <w:t>回用</w:t>
                  </w:r>
                </w:p>
              </w:tc>
              <w:tc>
                <w:tcPr>
                  <w:tcW w:w="1190" w:type="dxa"/>
                  <w:tcBorders>
                    <w:bottom w:val="single" w:color="000000" w:sz="12" w:space="0"/>
                  </w:tcBorders>
                  <w:vAlign w:val="center"/>
                </w:tcPr>
                <w:p w14:paraId="5CF89C4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3"/>
                      <w:sz w:val="21"/>
                    </w:rPr>
                    <w:t>损耗</w:t>
                  </w:r>
                </w:p>
              </w:tc>
            </w:tr>
            <w:tr w14:paraId="2D960B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645" w:type="dxa"/>
                  <w:tcBorders>
                    <w:top w:val="single" w:color="000000" w:sz="12" w:space="0"/>
                    <w:tl2br w:val="nil"/>
                    <w:tr2bl w:val="nil"/>
                  </w:tcBorders>
                  <w:vAlign w:val="center"/>
                </w:tcPr>
                <w:p w14:paraId="258CF8B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2"/>
                      <w:sz w:val="21"/>
                    </w:rPr>
                    <w:t>电泳线</w:t>
                  </w:r>
                </w:p>
              </w:tc>
              <w:tc>
                <w:tcPr>
                  <w:tcW w:w="1121" w:type="dxa"/>
                  <w:tcBorders>
                    <w:top w:val="single" w:color="000000" w:sz="12" w:space="0"/>
                    <w:tl2br w:val="nil"/>
                    <w:tr2bl w:val="nil"/>
                  </w:tcBorders>
                  <w:vAlign w:val="center"/>
                </w:tcPr>
                <w:p w14:paraId="4D04A5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888" w:type="dxa"/>
                  <w:tcBorders>
                    <w:top w:val="single" w:color="000000" w:sz="12" w:space="0"/>
                    <w:tl2br w:val="nil"/>
                    <w:tr2bl w:val="nil"/>
                  </w:tcBorders>
                  <w:vAlign w:val="center"/>
                </w:tcPr>
                <w:p w14:paraId="53711C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538" w:type="dxa"/>
                  <w:tcBorders>
                    <w:top w:val="single" w:color="000000" w:sz="12" w:space="0"/>
                    <w:tl2br w:val="nil"/>
                    <w:tr2bl w:val="nil"/>
                  </w:tcBorders>
                  <w:vAlign w:val="center"/>
                </w:tcPr>
                <w:p w14:paraId="6EB7C3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28" w:type="dxa"/>
                  <w:tcBorders>
                    <w:top w:val="single" w:color="000000" w:sz="12" w:space="0"/>
                    <w:tl2br w:val="nil"/>
                    <w:tr2bl w:val="nil"/>
                  </w:tcBorders>
                  <w:vAlign w:val="center"/>
                </w:tcPr>
                <w:p w14:paraId="238C15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30" w:type="dxa"/>
                  <w:tcBorders>
                    <w:top w:val="single" w:color="000000" w:sz="12" w:space="0"/>
                    <w:tl2br w:val="nil"/>
                    <w:tr2bl w:val="nil"/>
                  </w:tcBorders>
                  <w:vAlign w:val="center"/>
                </w:tcPr>
                <w:p w14:paraId="43B10B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90" w:type="dxa"/>
                  <w:tcBorders>
                    <w:top w:val="single" w:color="000000" w:sz="12" w:space="0"/>
                    <w:tl2br w:val="nil"/>
                    <w:tr2bl w:val="nil"/>
                  </w:tcBorders>
                  <w:vAlign w:val="center"/>
                </w:tcPr>
                <w:p w14:paraId="304DA6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r>
            <w:tr w14:paraId="5F8A53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645" w:type="dxa"/>
                  <w:tcBorders>
                    <w:tl2br w:val="nil"/>
                    <w:tr2bl w:val="nil"/>
                  </w:tcBorders>
                  <w:vAlign w:val="center"/>
                </w:tcPr>
                <w:p w14:paraId="685E90E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6"/>
                      <w:sz w:val="21"/>
                    </w:rPr>
                    <w:t>纯水制备</w:t>
                  </w:r>
                </w:p>
              </w:tc>
              <w:tc>
                <w:tcPr>
                  <w:tcW w:w="1121" w:type="dxa"/>
                  <w:tcBorders>
                    <w:tl2br w:val="nil"/>
                    <w:tr2bl w:val="nil"/>
                  </w:tcBorders>
                  <w:vAlign w:val="center"/>
                </w:tcPr>
                <w:p w14:paraId="26511A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888" w:type="dxa"/>
                  <w:tcBorders>
                    <w:tl2br w:val="nil"/>
                    <w:tr2bl w:val="nil"/>
                  </w:tcBorders>
                  <w:vAlign w:val="center"/>
                </w:tcPr>
                <w:p w14:paraId="3D53AE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538" w:type="dxa"/>
                  <w:tcBorders>
                    <w:tl2br w:val="nil"/>
                    <w:tr2bl w:val="nil"/>
                  </w:tcBorders>
                  <w:vAlign w:val="center"/>
                </w:tcPr>
                <w:p w14:paraId="3E0DFD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28" w:type="dxa"/>
                  <w:tcBorders>
                    <w:tl2br w:val="nil"/>
                    <w:tr2bl w:val="nil"/>
                  </w:tcBorders>
                  <w:vAlign w:val="center"/>
                </w:tcPr>
                <w:p w14:paraId="3C6E3F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30" w:type="dxa"/>
                  <w:tcBorders>
                    <w:tl2br w:val="nil"/>
                    <w:tr2bl w:val="nil"/>
                  </w:tcBorders>
                  <w:vAlign w:val="center"/>
                </w:tcPr>
                <w:p w14:paraId="00955A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90" w:type="dxa"/>
                  <w:tcBorders>
                    <w:tl2br w:val="nil"/>
                    <w:tr2bl w:val="nil"/>
                  </w:tcBorders>
                  <w:vAlign w:val="center"/>
                </w:tcPr>
                <w:p w14:paraId="3497A5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r>
            <w:tr w14:paraId="1D3D6A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645" w:type="dxa"/>
                  <w:tcBorders>
                    <w:tl2br w:val="nil"/>
                    <w:tr2bl w:val="nil"/>
                  </w:tcBorders>
                  <w:vAlign w:val="center"/>
                </w:tcPr>
                <w:p w14:paraId="79E451E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6"/>
                      <w:sz w:val="21"/>
                    </w:rPr>
                  </w:pPr>
                  <w:r>
                    <w:rPr>
                      <w:rFonts w:hint="eastAsia" w:ascii="Times New Roman" w:hAnsi="Times New Roman" w:eastAsia="宋体"/>
                      <w:color w:val="auto"/>
                      <w:spacing w:val="6"/>
                      <w:sz w:val="21"/>
                    </w:rPr>
                    <w:t>喷淋塔补充用水</w:t>
                  </w:r>
                </w:p>
              </w:tc>
              <w:tc>
                <w:tcPr>
                  <w:tcW w:w="1121" w:type="dxa"/>
                  <w:tcBorders>
                    <w:tl2br w:val="nil"/>
                    <w:tr2bl w:val="nil"/>
                  </w:tcBorders>
                  <w:vAlign w:val="center"/>
                </w:tcPr>
                <w:p w14:paraId="580D13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1"/>
                      <w:position w:val="1"/>
                      <w:sz w:val="21"/>
                      <w:szCs w:val="20"/>
                      <w:lang w:val="en-US" w:eastAsia="zh-CN"/>
                    </w:rPr>
                  </w:pPr>
                </w:p>
              </w:tc>
              <w:tc>
                <w:tcPr>
                  <w:tcW w:w="888" w:type="dxa"/>
                  <w:tcBorders>
                    <w:tl2br w:val="nil"/>
                    <w:tr2bl w:val="nil"/>
                  </w:tcBorders>
                  <w:vAlign w:val="center"/>
                </w:tcPr>
                <w:p w14:paraId="3EA089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1538" w:type="dxa"/>
                  <w:tcBorders>
                    <w:tl2br w:val="nil"/>
                    <w:tr2bl w:val="nil"/>
                  </w:tcBorders>
                  <w:vAlign w:val="center"/>
                </w:tcPr>
                <w:p w14:paraId="1DFF6F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1128" w:type="dxa"/>
                  <w:tcBorders>
                    <w:tl2br w:val="nil"/>
                    <w:tr2bl w:val="nil"/>
                  </w:tcBorders>
                  <w:vAlign w:val="center"/>
                </w:tcPr>
                <w:p w14:paraId="0A76B7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1130" w:type="dxa"/>
                  <w:tcBorders>
                    <w:tl2br w:val="nil"/>
                    <w:tr2bl w:val="nil"/>
                  </w:tcBorders>
                  <w:vAlign w:val="center"/>
                </w:tcPr>
                <w:p w14:paraId="13FAE8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1190" w:type="dxa"/>
                  <w:tcBorders>
                    <w:tl2br w:val="nil"/>
                    <w:tr2bl w:val="nil"/>
                  </w:tcBorders>
                  <w:vAlign w:val="center"/>
                </w:tcPr>
                <w:p w14:paraId="090A8D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r>
            <w:tr w14:paraId="3A0F4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645" w:type="dxa"/>
                  <w:tcBorders>
                    <w:tl2br w:val="nil"/>
                    <w:tr2bl w:val="nil"/>
                  </w:tcBorders>
                  <w:vAlign w:val="center"/>
                </w:tcPr>
                <w:p w14:paraId="088A8F1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6"/>
                      <w:sz w:val="21"/>
                    </w:rPr>
                    <w:t>员工生活办公</w:t>
                  </w:r>
                </w:p>
              </w:tc>
              <w:tc>
                <w:tcPr>
                  <w:tcW w:w="1121" w:type="dxa"/>
                  <w:tcBorders>
                    <w:tl2br w:val="nil"/>
                    <w:tr2bl w:val="nil"/>
                  </w:tcBorders>
                  <w:vAlign w:val="center"/>
                </w:tcPr>
                <w:p w14:paraId="4C897A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888" w:type="dxa"/>
                  <w:tcBorders>
                    <w:tl2br w:val="nil"/>
                    <w:tr2bl w:val="nil"/>
                  </w:tcBorders>
                  <w:vAlign w:val="center"/>
                </w:tcPr>
                <w:p w14:paraId="22E00B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538" w:type="dxa"/>
                  <w:tcBorders>
                    <w:tl2br w:val="nil"/>
                    <w:tr2bl w:val="nil"/>
                  </w:tcBorders>
                  <w:vAlign w:val="center"/>
                </w:tcPr>
                <w:p w14:paraId="351C59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28" w:type="dxa"/>
                  <w:tcBorders>
                    <w:tl2br w:val="nil"/>
                    <w:tr2bl w:val="nil"/>
                  </w:tcBorders>
                  <w:vAlign w:val="center"/>
                </w:tcPr>
                <w:p w14:paraId="3EEBD06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1130" w:type="dxa"/>
                  <w:tcBorders>
                    <w:tl2br w:val="nil"/>
                    <w:tr2bl w:val="nil"/>
                  </w:tcBorders>
                  <w:vAlign w:val="center"/>
                </w:tcPr>
                <w:p w14:paraId="3DD4BA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1190" w:type="dxa"/>
                  <w:tcBorders>
                    <w:tl2br w:val="nil"/>
                    <w:tr2bl w:val="nil"/>
                  </w:tcBorders>
                  <w:vAlign w:val="center"/>
                </w:tcPr>
                <w:p w14:paraId="4C21EB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r>
            <w:tr w14:paraId="64EB3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45" w:type="dxa"/>
                  <w:tcBorders>
                    <w:tl2br w:val="nil"/>
                    <w:tr2bl w:val="nil"/>
                  </w:tcBorders>
                  <w:vAlign w:val="center"/>
                </w:tcPr>
                <w:p w14:paraId="5A74A4A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喷漆线</w:t>
                  </w:r>
                </w:p>
              </w:tc>
              <w:tc>
                <w:tcPr>
                  <w:tcW w:w="1121" w:type="dxa"/>
                  <w:tcBorders>
                    <w:tl2br w:val="nil"/>
                    <w:tr2bl w:val="nil"/>
                  </w:tcBorders>
                  <w:vAlign w:val="center"/>
                </w:tcPr>
                <w:p w14:paraId="5C92D9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888" w:type="dxa"/>
                  <w:tcBorders>
                    <w:tl2br w:val="nil"/>
                    <w:tr2bl w:val="nil"/>
                  </w:tcBorders>
                  <w:vAlign w:val="center"/>
                </w:tcPr>
                <w:p w14:paraId="237B35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1538" w:type="dxa"/>
                  <w:tcBorders>
                    <w:tl2br w:val="nil"/>
                    <w:tr2bl w:val="nil"/>
                  </w:tcBorders>
                  <w:vAlign w:val="center"/>
                </w:tcPr>
                <w:p w14:paraId="4663FA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1128" w:type="dxa"/>
                  <w:tcBorders>
                    <w:tl2br w:val="nil"/>
                    <w:tr2bl w:val="nil"/>
                  </w:tcBorders>
                  <w:vAlign w:val="center"/>
                </w:tcPr>
                <w:p w14:paraId="0D8FEA5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1130" w:type="dxa"/>
                  <w:tcBorders>
                    <w:tl2br w:val="nil"/>
                    <w:tr2bl w:val="nil"/>
                  </w:tcBorders>
                  <w:vAlign w:val="center"/>
                </w:tcPr>
                <w:p w14:paraId="66A474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1190" w:type="dxa"/>
                  <w:tcBorders>
                    <w:tl2br w:val="nil"/>
                    <w:tr2bl w:val="nil"/>
                  </w:tcBorders>
                  <w:vAlign w:val="center"/>
                </w:tcPr>
                <w:p w14:paraId="700203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r>
            <w:tr w14:paraId="5781D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7" w:hRule="atLeast"/>
                <w:jc w:val="center"/>
              </w:trPr>
              <w:tc>
                <w:tcPr>
                  <w:tcW w:w="1645" w:type="dxa"/>
                  <w:tcBorders>
                    <w:tl2br w:val="nil"/>
                    <w:tr2bl w:val="nil"/>
                  </w:tcBorders>
                  <w:vAlign w:val="center"/>
                </w:tcPr>
                <w:p w14:paraId="7C7F927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4"/>
                      <w:sz w:val="21"/>
                    </w:rPr>
                    <w:t>合计</w:t>
                  </w:r>
                </w:p>
              </w:tc>
              <w:tc>
                <w:tcPr>
                  <w:tcW w:w="1121" w:type="dxa"/>
                  <w:tcBorders>
                    <w:tl2br w:val="nil"/>
                    <w:tr2bl w:val="nil"/>
                  </w:tcBorders>
                  <w:vAlign w:val="center"/>
                </w:tcPr>
                <w:p w14:paraId="424C87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888" w:type="dxa"/>
                  <w:tcBorders>
                    <w:tl2br w:val="nil"/>
                    <w:tr2bl w:val="nil"/>
                  </w:tcBorders>
                  <w:vAlign w:val="center"/>
                </w:tcPr>
                <w:p w14:paraId="53C8D0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1538" w:type="dxa"/>
                  <w:tcBorders>
                    <w:tl2br w:val="nil"/>
                    <w:tr2bl w:val="nil"/>
                  </w:tcBorders>
                  <w:vAlign w:val="center"/>
                </w:tcPr>
                <w:p w14:paraId="58B456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1128" w:type="dxa"/>
                  <w:tcBorders>
                    <w:tl2br w:val="nil"/>
                    <w:tr2bl w:val="nil"/>
                  </w:tcBorders>
                  <w:vAlign w:val="center"/>
                </w:tcPr>
                <w:p w14:paraId="5EB83D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1130" w:type="dxa"/>
                  <w:tcBorders>
                    <w:tl2br w:val="nil"/>
                    <w:tr2bl w:val="nil"/>
                  </w:tcBorders>
                  <w:vAlign w:val="center"/>
                </w:tcPr>
                <w:p w14:paraId="252B4A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1190" w:type="dxa"/>
                  <w:tcBorders>
                    <w:tl2br w:val="nil"/>
                    <w:tr2bl w:val="nil"/>
                  </w:tcBorders>
                  <w:vAlign w:val="center"/>
                </w:tcPr>
                <w:p w14:paraId="5C9D7C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r>
            <w:tr w14:paraId="74349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8640" w:type="dxa"/>
                  <w:gridSpan w:val="7"/>
                  <w:tcBorders>
                    <w:tl2br w:val="nil"/>
                    <w:tr2bl w:val="nil"/>
                  </w:tcBorders>
                  <w:vAlign w:val="center"/>
                </w:tcPr>
                <w:p w14:paraId="5FAE0243">
                  <w:pPr>
                    <w:pStyle w:val="115"/>
                    <w:spacing w:before="4" w:line="273" w:lineRule="exact"/>
                    <w:ind w:left="65"/>
                    <w:rPr>
                      <w:rFonts w:ascii="Times New Roman" w:hAnsi="Times New Roman" w:eastAsia="宋体"/>
                      <w:color w:val="auto"/>
                      <w:sz w:val="21"/>
                    </w:rPr>
                  </w:pPr>
                  <w:r>
                    <w:rPr>
                      <w:rFonts w:ascii="Times New Roman" w:hAnsi="Times New Roman" w:eastAsia="宋体"/>
                      <w:color w:val="auto"/>
                      <w:spacing w:val="11"/>
                      <w:position w:val="1"/>
                      <w:sz w:val="21"/>
                    </w:rPr>
                    <w:t>注：①纯水制备率取</w:t>
                  </w:r>
                  <w:r>
                    <w:rPr>
                      <w:rFonts w:ascii="Times New Roman" w:hAnsi="Times New Roman" w:eastAsia="宋体" w:cs="Times New Roman"/>
                      <w:color w:val="auto"/>
                      <w:spacing w:val="11"/>
                      <w:position w:val="1"/>
                      <w:sz w:val="21"/>
                    </w:rPr>
                    <w:t>40%</w:t>
                  </w:r>
                  <w:r>
                    <w:rPr>
                      <w:rFonts w:ascii="Times New Roman" w:hAnsi="Times New Roman" w:eastAsia="宋体"/>
                      <w:color w:val="auto"/>
                      <w:spacing w:val="11"/>
                      <w:position w:val="1"/>
                      <w:sz w:val="21"/>
                    </w:rPr>
                    <w:t>。</w:t>
                  </w:r>
                </w:p>
                <w:p w14:paraId="5A11C1BB">
                  <w:pPr>
                    <w:pStyle w:val="115"/>
                    <w:spacing w:line="266" w:lineRule="exact"/>
                    <w:ind w:left="483"/>
                    <w:rPr>
                      <w:rFonts w:ascii="Times New Roman" w:hAnsi="Times New Roman" w:eastAsia="宋体"/>
                      <w:color w:val="auto"/>
                      <w:sz w:val="21"/>
                    </w:rPr>
                  </w:pPr>
                  <w:r>
                    <w:rPr>
                      <w:rFonts w:ascii="Times New Roman" w:hAnsi="Times New Roman" w:eastAsia="宋体"/>
                      <w:color w:val="auto"/>
                      <w:spacing w:val="11"/>
                      <w:position w:val="1"/>
                      <w:sz w:val="21"/>
                    </w:rPr>
                    <w:t>②本项目生活用水产污系数取</w:t>
                  </w:r>
                  <w:r>
                    <w:rPr>
                      <w:rFonts w:ascii="Times New Roman" w:hAnsi="Times New Roman" w:eastAsia="宋体" w:cs="Times New Roman"/>
                      <w:color w:val="auto"/>
                      <w:spacing w:val="11"/>
                      <w:position w:val="1"/>
                      <w:sz w:val="21"/>
                    </w:rPr>
                    <w:t>0.8</w:t>
                  </w:r>
                  <w:r>
                    <w:rPr>
                      <w:rFonts w:ascii="Times New Roman" w:hAnsi="Times New Roman" w:eastAsia="宋体"/>
                      <w:color w:val="auto"/>
                      <w:spacing w:val="11"/>
                      <w:position w:val="1"/>
                      <w:sz w:val="21"/>
                    </w:rPr>
                    <w:t>。</w:t>
                  </w:r>
                </w:p>
              </w:tc>
            </w:tr>
          </w:tbl>
          <w:p w14:paraId="3DCFC0E1">
            <w:pPr>
              <w:rPr>
                <w:rFonts w:hint="eastAsia"/>
                <w:color w:val="auto"/>
              </w:rPr>
            </w:pPr>
          </w:p>
          <w:p w14:paraId="4F5E5AE9">
            <w:pPr>
              <w:pStyle w:val="46"/>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474970" cy="6374130"/>
                  <wp:effectExtent l="0" t="0" r="0" b="0"/>
                  <wp:docPr id="152" name="ECB019B1-382A-4266-B25C-5B523AA43C14-1" descr="C:/Users/Administrator/AppData/Local/Temp/wps.rNLwI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ECB019B1-382A-4266-B25C-5B523AA43C14-1" descr="C:/Users/Administrator/AppData/Local/Temp/wps.rNLwIrwps"/>
                          <pic:cNvPicPr>
                            <a:picLocks noChangeAspect="1"/>
                          </pic:cNvPicPr>
                        </pic:nvPicPr>
                        <pic:blipFill>
                          <a:blip r:embed="rId12"/>
                          <a:stretch>
                            <a:fillRect/>
                          </a:stretch>
                        </pic:blipFill>
                        <pic:spPr>
                          <a:xfrm>
                            <a:off x="0" y="0"/>
                            <a:ext cx="5474970" cy="6374130"/>
                          </a:xfrm>
                          <a:prstGeom prst="rect">
                            <a:avLst/>
                          </a:prstGeom>
                        </pic:spPr>
                      </pic:pic>
                    </a:graphicData>
                  </a:graphic>
                </wp:inline>
              </w:drawing>
            </w:r>
          </w:p>
          <w:p w14:paraId="7762C53C">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rFonts w:hint="eastAsia"/>
                <w:color w:val="auto"/>
                <w:highlight w:val="none"/>
                <w:lang w:val="en-US" w:eastAsia="zh-CN"/>
              </w:rPr>
            </w:pPr>
            <w:r>
              <w:rPr>
                <w:rFonts w:hint="eastAsia"/>
                <w:color w:val="auto"/>
                <w:highlight w:val="none"/>
                <w:lang w:val="en-US" w:eastAsia="zh-CN"/>
              </w:rPr>
              <w:t>项目水平衡 单位：m</w:t>
            </w:r>
            <w:r>
              <w:rPr>
                <w:rFonts w:hint="eastAsia"/>
                <w:color w:val="auto"/>
                <w:highlight w:val="none"/>
                <w:vertAlign w:val="superscript"/>
                <w:lang w:val="en-US" w:eastAsia="zh-CN"/>
              </w:rPr>
              <w:t>3</w:t>
            </w:r>
            <w:r>
              <w:rPr>
                <w:rFonts w:hint="eastAsia"/>
                <w:color w:val="auto"/>
                <w:highlight w:val="none"/>
                <w:lang w:val="en-US" w:eastAsia="zh-CN"/>
              </w:rPr>
              <w:t>/d</w:t>
            </w:r>
          </w:p>
          <w:p w14:paraId="0EC15DEA">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VOCs物料平衡</w:t>
            </w:r>
          </w:p>
          <w:p w14:paraId="0E03B10F">
            <w:pPr>
              <w:pStyle w:val="47"/>
              <w:rPr>
                <w:rFonts w:hint="eastAsia"/>
                <w:color w:val="auto"/>
                <w:highlight w:val="none"/>
                <w:lang w:val="en-US" w:eastAsia="zh-CN"/>
              </w:rPr>
            </w:pPr>
            <w:r>
              <w:rPr>
                <w:rFonts w:hint="eastAsia"/>
                <w:color w:val="auto"/>
                <w:highlight w:val="none"/>
                <w:lang w:val="en-US" w:eastAsia="zh-CN"/>
              </w:rPr>
              <w:t>（1）电泳线VOCs物料平衡：</w:t>
            </w:r>
          </w:p>
          <w:p w14:paraId="11D21C1B">
            <w:pPr>
              <w:pStyle w:val="47"/>
              <w:rPr>
                <w:rFonts w:hint="eastAsia"/>
                <w:color w:val="auto"/>
                <w:highlight w:val="none"/>
                <w:lang w:val="en-US" w:eastAsia="zh-CN"/>
              </w:rPr>
            </w:pPr>
            <w:r>
              <w:rPr>
                <w:rFonts w:hint="eastAsia"/>
                <w:color w:val="auto"/>
                <w:highlight w:val="none"/>
                <w:lang w:val="en-US" w:eastAsia="zh-CN"/>
              </w:rPr>
              <w:t>本项目配套设有1条电泳线，使用的电泳涂料为水性涂料，根据其MSDS资料，成分主要包括固份、水分、挥发份。具体见下表。</w:t>
            </w:r>
          </w:p>
          <w:p w14:paraId="6DC89566">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电泳涂料成分分析（单位：t/a）</w:t>
            </w:r>
          </w:p>
          <w:tbl>
            <w:tblPr>
              <w:tblStyle w:val="86"/>
              <w:tblW w:w="86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7"/>
              <w:gridCol w:w="1300"/>
              <w:gridCol w:w="1702"/>
              <w:gridCol w:w="1913"/>
              <w:gridCol w:w="1908"/>
            </w:tblGrid>
            <w:tr w14:paraId="6DF90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vMerge w:val="restart"/>
                  <w:vAlign w:val="center"/>
                </w:tcPr>
                <w:p w14:paraId="57B4BDD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1300" w:type="dxa"/>
                  <w:vMerge w:val="restart"/>
                  <w:vAlign w:val="center"/>
                </w:tcPr>
                <w:p w14:paraId="79EECE0A">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p>
              </w:tc>
              <w:tc>
                <w:tcPr>
                  <w:tcW w:w="5523" w:type="dxa"/>
                  <w:gridSpan w:val="3"/>
                  <w:vAlign w:val="center"/>
                </w:tcPr>
                <w:p w14:paraId="51513C5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43798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vMerge w:val="continue"/>
                  <w:tcBorders>
                    <w:bottom w:val="single" w:color="000000" w:sz="12" w:space="0"/>
                  </w:tcBorders>
                  <w:vAlign w:val="center"/>
                </w:tcPr>
                <w:p w14:paraId="18603BA3">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300" w:type="dxa"/>
                  <w:vMerge w:val="continue"/>
                  <w:tcBorders>
                    <w:bottom w:val="single" w:color="000000" w:sz="12" w:space="0"/>
                  </w:tcBorders>
                  <w:vAlign w:val="center"/>
                </w:tcPr>
                <w:p w14:paraId="758435E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702" w:type="dxa"/>
                  <w:tcBorders>
                    <w:bottom w:val="single" w:color="000000" w:sz="12" w:space="0"/>
                  </w:tcBorders>
                  <w:vAlign w:val="center"/>
                </w:tcPr>
                <w:p w14:paraId="5558BF0A">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固份</w:t>
                  </w:r>
                </w:p>
              </w:tc>
              <w:tc>
                <w:tcPr>
                  <w:tcW w:w="1913" w:type="dxa"/>
                  <w:tcBorders>
                    <w:bottom w:val="single" w:color="000000" w:sz="12" w:space="0"/>
                  </w:tcBorders>
                  <w:vAlign w:val="center"/>
                </w:tcPr>
                <w:p w14:paraId="5B1D7B7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水分</w:t>
                  </w:r>
                </w:p>
              </w:tc>
              <w:tc>
                <w:tcPr>
                  <w:tcW w:w="1908" w:type="dxa"/>
                  <w:tcBorders>
                    <w:bottom w:val="single" w:color="000000" w:sz="12" w:space="0"/>
                  </w:tcBorders>
                  <w:vAlign w:val="center"/>
                </w:tcPr>
                <w:p w14:paraId="2AFCF04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挥发份</w:t>
                  </w:r>
                </w:p>
              </w:tc>
            </w:tr>
            <w:tr w14:paraId="6B371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tcBorders>
                    <w:top w:val="single" w:color="000000" w:sz="12" w:space="0"/>
                    <w:tl2br w:val="nil"/>
                    <w:tr2bl w:val="nil"/>
                  </w:tcBorders>
                  <w:vAlign w:val="center"/>
                </w:tcPr>
                <w:p w14:paraId="7384D5B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乳液</w:t>
                  </w:r>
                </w:p>
              </w:tc>
              <w:tc>
                <w:tcPr>
                  <w:tcW w:w="1300" w:type="dxa"/>
                  <w:tcBorders>
                    <w:top w:val="single" w:color="000000" w:sz="12" w:space="0"/>
                    <w:tl2br w:val="nil"/>
                    <w:tr2bl w:val="nil"/>
                  </w:tcBorders>
                  <w:vAlign w:val="center"/>
                </w:tcPr>
                <w:p w14:paraId="70CF83A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13.5</w:t>
                  </w:r>
                </w:p>
              </w:tc>
              <w:tc>
                <w:tcPr>
                  <w:tcW w:w="1702" w:type="dxa"/>
                  <w:tcBorders>
                    <w:top w:val="single" w:color="000000" w:sz="12" w:space="0"/>
                    <w:tl2br w:val="nil"/>
                    <w:tr2bl w:val="nil"/>
                  </w:tcBorders>
                  <w:vAlign w:val="center"/>
                </w:tcPr>
                <w:p w14:paraId="267BF51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6.75</w:t>
                  </w:r>
                </w:p>
              </w:tc>
              <w:tc>
                <w:tcPr>
                  <w:tcW w:w="1913" w:type="dxa"/>
                  <w:tcBorders>
                    <w:top w:val="single" w:color="000000" w:sz="12" w:space="0"/>
                    <w:tl2br w:val="nil"/>
                    <w:tr2bl w:val="nil"/>
                  </w:tcBorders>
                  <w:vAlign w:val="center"/>
                </w:tcPr>
                <w:p w14:paraId="33A52F9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6.129</w:t>
                  </w:r>
                </w:p>
              </w:tc>
              <w:tc>
                <w:tcPr>
                  <w:tcW w:w="1908" w:type="dxa"/>
                  <w:tcBorders>
                    <w:top w:val="single" w:color="000000" w:sz="12" w:space="0"/>
                    <w:tl2br w:val="nil"/>
                    <w:tr2bl w:val="nil"/>
                  </w:tcBorders>
                  <w:vAlign w:val="center"/>
                </w:tcPr>
                <w:p w14:paraId="555DD28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0.621</w:t>
                  </w:r>
                </w:p>
              </w:tc>
            </w:tr>
            <w:tr w14:paraId="79EF9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tcBorders>
                    <w:tl2br w:val="nil"/>
                    <w:tr2bl w:val="nil"/>
                  </w:tcBorders>
                  <w:vAlign w:val="center"/>
                </w:tcPr>
                <w:p w14:paraId="10C4A099">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黑浆</w:t>
                  </w:r>
                </w:p>
              </w:tc>
              <w:tc>
                <w:tcPr>
                  <w:tcW w:w="1300" w:type="dxa"/>
                  <w:tcBorders>
                    <w:tl2br w:val="nil"/>
                    <w:tr2bl w:val="nil"/>
                  </w:tcBorders>
                  <w:vAlign w:val="center"/>
                </w:tcPr>
                <w:p w14:paraId="10AED54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2.1</w:t>
                  </w:r>
                </w:p>
              </w:tc>
              <w:tc>
                <w:tcPr>
                  <w:tcW w:w="1702" w:type="dxa"/>
                  <w:tcBorders>
                    <w:tl2br w:val="nil"/>
                    <w:tr2bl w:val="nil"/>
                  </w:tcBorders>
                  <w:vAlign w:val="center"/>
                </w:tcPr>
                <w:p w14:paraId="0ED9B75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1.113</w:t>
                  </w:r>
                </w:p>
              </w:tc>
              <w:tc>
                <w:tcPr>
                  <w:tcW w:w="1913" w:type="dxa"/>
                  <w:tcBorders>
                    <w:tl2br w:val="nil"/>
                    <w:tr2bl w:val="nil"/>
                  </w:tcBorders>
                  <w:vAlign w:val="center"/>
                </w:tcPr>
                <w:p w14:paraId="7476B04F">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0.798</w:t>
                  </w:r>
                </w:p>
              </w:tc>
              <w:tc>
                <w:tcPr>
                  <w:tcW w:w="1908" w:type="dxa"/>
                  <w:tcBorders>
                    <w:tl2br w:val="nil"/>
                    <w:tr2bl w:val="nil"/>
                  </w:tcBorders>
                  <w:vAlign w:val="center"/>
                </w:tcPr>
                <w:p w14:paraId="65929F1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0.189</w:t>
                  </w:r>
                </w:p>
              </w:tc>
            </w:tr>
            <w:tr w14:paraId="56F95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17" w:type="dxa"/>
                  <w:tcBorders>
                    <w:tl2br w:val="nil"/>
                    <w:tr2bl w:val="nil"/>
                  </w:tcBorders>
                  <w:vAlign w:val="center"/>
                </w:tcPr>
                <w:p w14:paraId="5C3A72E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助剂</w:t>
                  </w:r>
                </w:p>
              </w:tc>
              <w:tc>
                <w:tcPr>
                  <w:tcW w:w="1300" w:type="dxa"/>
                  <w:tcBorders>
                    <w:tl2br w:val="nil"/>
                    <w:tr2bl w:val="nil"/>
                  </w:tcBorders>
                  <w:vAlign w:val="center"/>
                </w:tcPr>
                <w:p w14:paraId="21FFED1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0.18</w:t>
                  </w:r>
                </w:p>
              </w:tc>
              <w:tc>
                <w:tcPr>
                  <w:tcW w:w="1702" w:type="dxa"/>
                  <w:tcBorders>
                    <w:tl2br w:val="nil"/>
                    <w:tr2bl w:val="nil"/>
                  </w:tcBorders>
                  <w:vAlign w:val="center"/>
                </w:tcPr>
                <w:p w14:paraId="57440A5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w:t>
                  </w:r>
                </w:p>
              </w:tc>
              <w:tc>
                <w:tcPr>
                  <w:tcW w:w="1913" w:type="dxa"/>
                  <w:tcBorders>
                    <w:tl2br w:val="nil"/>
                    <w:tr2bl w:val="nil"/>
                  </w:tcBorders>
                  <w:vAlign w:val="center"/>
                </w:tcPr>
                <w:p w14:paraId="223C67D4">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0.0846</w:t>
                  </w:r>
                </w:p>
              </w:tc>
              <w:tc>
                <w:tcPr>
                  <w:tcW w:w="1908" w:type="dxa"/>
                  <w:tcBorders>
                    <w:tl2br w:val="nil"/>
                    <w:tr2bl w:val="nil"/>
                  </w:tcBorders>
                  <w:vAlign w:val="center"/>
                </w:tcPr>
                <w:p w14:paraId="4C80018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0.0954</w:t>
                  </w:r>
                </w:p>
              </w:tc>
            </w:tr>
            <w:tr w14:paraId="09535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tcBorders>
                    <w:tl2br w:val="nil"/>
                    <w:tr2bl w:val="nil"/>
                  </w:tcBorders>
                  <w:vAlign w:val="center"/>
                </w:tcPr>
                <w:p w14:paraId="0448BC2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中和剂</w:t>
                  </w:r>
                </w:p>
              </w:tc>
              <w:tc>
                <w:tcPr>
                  <w:tcW w:w="1300" w:type="dxa"/>
                  <w:tcBorders>
                    <w:tl2br w:val="nil"/>
                    <w:tr2bl w:val="nil"/>
                  </w:tcBorders>
                  <w:vAlign w:val="center"/>
                </w:tcPr>
                <w:p w14:paraId="52DCA82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0.12</w:t>
                  </w:r>
                </w:p>
              </w:tc>
              <w:tc>
                <w:tcPr>
                  <w:tcW w:w="1702" w:type="dxa"/>
                  <w:tcBorders>
                    <w:tl2br w:val="nil"/>
                    <w:tr2bl w:val="nil"/>
                  </w:tcBorders>
                  <w:vAlign w:val="center"/>
                </w:tcPr>
                <w:p w14:paraId="4CC5D47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w:t>
                  </w:r>
                </w:p>
              </w:tc>
              <w:tc>
                <w:tcPr>
                  <w:tcW w:w="1913" w:type="dxa"/>
                  <w:tcBorders>
                    <w:tl2br w:val="nil"/>
                    <w:tr2bl w:val="nil"/>
                  </w:tcBorders>
                  <w:vAlign w:val="center"/>
                </w:tcPr>
                <w:p w14:paraId="482CD6C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0.084</w:t>
                  </w:r>
                </w:p>
              </w:tc>
              <w:tc>
                <w:tcPr>
                  <w:tcW w:w="1908" w:type="dxa"/>
                  <w:tcBorders>
                    <w:tl2br w:val="nil"/>
                    <w:tr2bl w:val="nil"/>
                  </w:tcBorders>
                  <w:vAlign w:val="center"/>
                </w:tcPr>
                <w:p w14:paraId="07584DE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0.036</w:t>
                  </w:r>
                </w:p>
              </w:tc>
            </w:tr>
            <w:tr w14:paraId="3BB2F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tcBorders>
                    <w:tl2br w:val="nil"/>
                    <w:tr2bl w:val="nil"/>
                  </w:tcBorders>
                  <w:vAlign w:val="center"/>
                </w:tcPr>
                <w:p w14:paraId="5364A39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合计</w:t>
                  </w:r>
                </w:p>
              </w:tc>
              <w:tc>
                <w:tcPr>
                  <w:tcW w:w="1300" w:type="dxa"/>
                  <w:tcBorders>
                    <w:tl2br w:val="nil"/>
                    <w:tr2bl w:val="nil"/>
                  </w:tcBorders>
                  <w:vAlign w:val="center"/>
                </w:tcPr>
                <w:p w14:paraId="5FF0DD7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15.9</w:t>
                  </w:r>
                </w:p>
              </w:tc>
              <w:tc>
                <w:tcPr>
                  <w:tcW w:w="1702" w:type="dxa"/>
                  <w:tcBorders>
                    <w:tl2br w:val="nil"/>
                    <w:tr2bl w:val="nil"/>
                  </w:tcBorders>
                  <w:vAlign w:val="center"/>
                </w:tcPr>
                <w:p w14:paraId="2930FA1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7.863</w:t>
                  </w:r>
                </w:p>
              </w:tc>
              <w:tc>
                <w:tcPr>
                  <w:tcW w:w="1913" w:type="dxa"/>
                  <w:tcBorders>
                    <w:tl2br w:val="nil"/>
                    <w:tr2bl w:val="nil"/>
                  </w:tcBorders>
                  <w:vAlign w:val="center"/>
                </w:tcPr>
                <w:p w14:paraId="2B1B290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7.0956</w:t>
                  </w:r>
                </w:p>
              </w:tc>
              <w:tc>
                <w:tcPr>
                  <w:tcW w:w="1908" w:type="dxa"/>
                  <w:tcBorders>
                    <w:tl2br w:val="nil"/>
                    <w:tr2bl w:val="nil"/>
                  </w:tcBorders>
                  <w:vAlign w:val="center"/>
                </w:tcPr>
                <w:p w14:paraId="7B5DB1E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0.9414</w:t>
                  </w:r>
                </w:p>
              </w:tc>
            </w:tr>
          </w:tbl>
          <w:p w14:paraId="6FC7165D">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电泳槽液不更换且电泳后的工件经UF0喷淋、UF1喷淋、UF2浸洗后，带出液基本全部回用于电泳槽。电泳涂料中固份全部进入产品（涂层），在电泳及烘干固化过程中，水分全部蒸发损耗（水蒸气），挥发分全部挥发进入废气。根据电泳涂料成分分析，废气污染因子包括非甲烷总烃。</w:t>
            </w:r>
          </w:p>
          <w:p w14:paraId="76864C25">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根据《污染源源强核算技术指南汽车制造（HJ 1097-2020）》附录E，电泳过程中电泳涂料中挥发性有机物的挥发比例为：电泳35%、烘干65%。</w:t>
            </w:r>
          </w:p>
          <w:p w14:paraId="7C174BF6">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本项目电泳废气和烘干废气收集后，经二级活性炭装置净化处理后排</w:t>
            </w:r>
            <w:r>
              <w:rPr>
                <w:color w:val="auto"/>
                <w:sz w:val="24"/>
                <w:szCs w:val="24"/>
              </w:rPr>
              <w:t>气筒排放。</w:t>
            </w:r>
          </w:p>
          <w:p w14:paraId="2E02373D">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项目电泳线为相对封闭的结构，内部呈微负压状态，电泳废气、固化废气均可有效收集，捕集效率取90%，</w:t>
            </w:r>
            <w:r>
              <w:rPr>
                <w:rFonts w:hint="eastAsia"/>
                <w:color w:val="auto"/>
                <w:sz w:val="24"/>
                <w:szCs w:val="24"/>
                <w:lang w:val="en-US" w:eastAsia="zh-CN"/>
              </w:rPr>
              <w:t>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0F4B385A">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本项目电泳涂料VOCs物料平衡表如下图所示。</w:t>
            </w:r>
          </w:p>
          <w:p w14:paraId="630D9E5E">
            <w:pPr>
              <w:pStyle w:val="4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4228465" cy="5577205"/>
                  <wp:effectExtent l="0" t="0" r="0" b="0"/>
                  <wp:docPr id="15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CB019B1-382A-4266-B25C-5B523AA43C14-2" descr="wps"/>
                          <pic:cNvPicPr>
                            <a:picLocks noChangeAspect="1"/>
                          </pic:cNvPicPr>
                        </pic:nvPicPr>
                        <pic:blipFill>
                          <a:blip r:embed="rId13"/>
                          <a:stretch>
                            <a:fillRect/>
                          </a:stretch>
                        </pic:blipFill>
                        <pic:spPr>
                          <a:xfrm>
                            <a:off x="0" y="0"/>
                            <a:ext cx="4228465" cy="5577205"/>
                          </a:xfrm>
                          <a:prstGeom prst="rect">
                            <a:avLst/>
                          </a:prstGeom>
                        </pic:spPr>
                      </pic:pic>
                    </a:graphicData>
                  </a:graphic>
                </wp:inline>
              </w:drawing>
            </w:r>
          </w:p>
          <w:p w14:paraId="67413736">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auto"/>
                <w:highlight w:val="none"/>
              </w:rPr>
            </w:pPr>
            <w:r>
              <w:rPr>
                <w:rFonts w:hint="eastAsia" w:cs="Times New Roman"/>
                <w:b/>
                <w:bCs/>
                <w:color w:val="auto"/>
                <w:kern w:val="2"/>
                <w:sz w:val="24"/>
                <w:szCs w:val="21"/>
                <w:highlight w:val="none"/>
                <w:lang w:val="en-US" w:eastAsia="zh-CN" w:bidi="ar-SA"/>
              </w:rPr>
              <w:t>电泳涂料</w:t>
            </w:r>
            <w:r>
              <w:rPr>
                <w:rFonts w:hint="eastAsia" w:ascii="Times New Roman" w:hAnsi="Times New Roman" w:eastAsia="宋体" w:cs="Times New Roman"/>
                <w:b/>
                <w:bCs/>
                <w:color w:val="auto"/>
                <w:kern w:val="2"/>
                <w:sz w:val="24"/>
                <w:szCs w:val="21"/>
                <w:highlight w:val="none"/>
                <w:lang w:val="en-US" w:eastAsia="zh-CN" w:bidi="ar-SA"/>
              </w:rPr>
              <w:t>VOCs物料平衡图</w:t>
            </w:r>
          </w:p>
          <w:p w14:paraId="56335874">
            <w:pPr>
              <w:pStyle w:val="47"/>
              <w:rPr>
                <w:rFonts w:hint="eastAsia"/>
                <w:color w:val="auto"/>
                <w:highlight w:val="none"/>
                <w:lang w:val="en-US" w:eastAsia="zh-CN"/>
              </w:rPr>
            </w:pPr>
            <w:r>
              <w:rPr>
                <w:rFonts w:hint="eastAsia"/>
                <w:color w:val="auto"/>
                <w:highlight w:val="none"/>
                <w:lang w:val="en-US" w:eastAsia="zh-CN"/>
              </w:rPr>
              <w:t>（2）喷粉线VOCs物料平衡：</w:t>
            </w:r>
          </w:p>
          <w:p w14:paraId="1961E64B">
            <w:pPr>
              <w:pStyle w:val="47"/>
              <w:rPr>
                <w:rFonts w:hint="eastAsia"/>
                <w:color w:val="auto"/>
                <w:highlight w:val="none"/>
                <w:lang w:val="en-US" w:eastAsia="zh-CN"/>
              </w:rPr>
            </w:pPr>
            <w:r>
              <w:rPr>
                <w:rFonts w:hint="eastAsia"/>
                <w:color w:val="auto"/>
                <w:highlight w:val="none"/>
                <w:lang w:val="en-US" w:eastAsia="zh-CN"/>
              </w:rPr>
              <w:t>本项目配套设有1条喷粉线，使用的粉末涂料为涂料，根据其MSDS资料和检测报告，粉末涂料成分主要包括固份、挥发分。具体见下表。</w:t>
            </w:r>
          </w:p>
          <w:p w14:paraId="729E9D0A">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粉末涂料成分分析（单位：t/a）</w:t>
            </w:r>
          </w:p>
          <w:tbl>
            <w:tblPr>
              <w:tblStyle w:val="86"/>
              <w:tblW w:w="86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1769"/>
              <w:gridCol w:w="4716"/>
            </w:tblGrid>
            <w:tr w14:paraId="2C0CE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155" w:type="dxa"/>
                  <w:vMerge w:val="restart"/>
                  <w:vAlign w:val="center"/>
                </w:tcPr>
                <w:p w14:paraId="6F93993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1769" w:type="dxa"/>
                  <w:vMerge w:val="restart"/>
                  <w:vAlign w:val="center"/>
                </w:tcPr>
                <w:p w14:paraId="3B4AF629">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r>
                    <w:rPr>
                      <w:rFonts w:hint="eastAsia"/>
                      <w:color w:val="auto"/>
                      <w:sz w:val="21"/>
                      <w:highlight w:val="none"/>
                      <w:lang w:val="en-US" w:eastAsia="zh-CN"/>
                    </w:rPr>
                    <w:t>t/a</w:t>
                  </w:r>
                </w:p>
              </w:tc>
              <w:tc>
                <w:tcPr>
                  <w:tcW w:w="4716" w:type="dxa"/>
                  <w:vAlign w:val="center"/>
                </w:tcPr>
                <w:p w14:paraId="7A085EE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1FA5A0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155" w:type="dxa"/>
                  <w:vMerge w:val="continue"/>
                  <w:tcBorders>
                    <w:bottom w:val="single" w:color="000000" w:sz="12" w:space="0"/>
                  </w:tcBorders>
                  <w:vAlign w:val="center"/>
                </w:tcPr>
                <w:p w14:paraId="5185D64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769" w:type="dxa"/>
                  <w:vMerge w:val="continue"/>
                  <w:tcBorders>
                    <w:bottom w:val="single" w:color="000000" w:sz="12" w:space="0"/>
                  </w:tcBorders>
                  <w:vAlign w:val="center"/>
                </w:tcPr>
                <w:p w14:paraId="1F210200">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4716" w:type="dxa"/>
                  <w:tcBorders>
                    <w:bottom w:val="single" w:color="000000" w:sz="12" w:space="0"/>
                  </w:tcBorders>
                  <w:vAlign w:val="center"/>
                </w:tcPr>
                <w:p w14:paraId="743E8E93">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挥发分（含量6g/L，相对密度1.4~1.6（水=1）</w:t>
                  </w:r>
                </w:p>
              </w:tc>
            </w:tr>
            <w:tr w14:paraId="407A9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155" w:type="dxa"/>
                  <w:tcBorders>
                    <w:top w:val="single" w:color="000000" w:sz="12" w:space="0"/>
                    <w:bottom w:val="single" w:color="000000" w:sz="6" w:space="0"/>
                  </w:tcBorders>
                  <w:vAlign w:val="center"/>
                </w:tcPr>
                <w:p w14:paraId="4CE3A12A">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粉末涂料</w:t>
                  </w:r>
                </w:p>
              </w:tc>
              <w:tc>
                <w:tcPr>
                  <w:tcW w:w="1769" w:type="dxa"/>
                  <w:tcBorders>
                    <w:top w:val="single" w:color="000000" w:sz="12" w:space="0"/>
                    <w:bottom w:val="single" w:color="000000" w:sz="6" w:space="0"/>
                  </w:tcBorders>
                  <w:vAlign w:val="center"/>
                </w:tcPr>
                <w:p w14:paraId="44B79AA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5</w:t>
                  </w:r>
                </w:p>
              </w:tc>
              <w:tc>
                <w:tcPr>
                  <w:tcW w:w="4716" w:type="dxa"/>
                  <w:tcBorders>
                    <w:top w:val="single" w:color="000000" w:sz="12" w:space="0"/>
                    <w:bottom w:val="single" w:color="000000" w:sz="6" w:space="0"/>
                  </w:tcBorders>
                  <w:vAlign w:val="center"/>
                </w:tcPr>
                <w:p w14:paraId="4E5404E9">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0.02</w:t>
                  </w:r>
                </w:p>
              </w:tc>
            </w:tr>
            <w:tr w14:paraId="08C94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8640" w:type="dxa"/>
                  <w:gridSpan w:val="3"/>
                  <w:tcBorders>
                    <w:top w:val="single" w:color="000000" w:sz="6" w:space="0"/>
                    <w:tl2br w:val="nil"/>
                    <w:tr2bl w:val="nil"/>
                  </w:tcBorders>
                  <w:vAlign w:val="center"/>
                </w:tcPr>
                <w:p w14:paraId="48E168D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注：粉末涂料密度取1.5进行核算</w:t>
                  </w:r>
                </w:p>
              </w:tc>
            </w:tr>
          </w:tbl>
          <w:p w14:paraId="56E4178D">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粉末涂料中固份全部进入产品（涂层），在喷粉及烘干固化过程中，挥发分全部挥发进入废气。根据粉末涂料成分分析，废气污染因子包括非甲烷总烃、颗粒物。</w:t>
            </w:r>
          </w:p>
          <w:p w14:paraId="0996E975">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本项目喷粉废气由滤芯除尘系统处理后引至15m排气筒排放（DA003)，滤芯除尘系统收集的粉末循环使用不外排；喷粉固化废气收集后，经喷淋塔+过滤棉+二级活性炭吸附净化处理后引至15m排</w:t>
            </w:r>
            <w:r>
              <w:rPr>
                <w:color w:val="auto"/>
                <w:sz w:val="24"/>
                <w:szCs w:val="24"/>
              </w:rPr>
              <w:t>气筒</w:t>
            </w:r>
            <w:r>
              <w:rPr>
                <w:rFonts w:hint="eastAsia"/>
                <w:color w:val="auto"/>
                <w:sz w:val="24"/>
                <w:szCs w:val="24"/>
                <w:lang w:eastAsia="zh-CN"/>
              </w:rPr>
              <w:t>（</w:t>
            </w:r>
            <w:r>
              <w:rPr>
                <w:rFonts w:hint="eastAsia"/>
                <w:color w:val="auto"/>
                <w:sz w:val="24"/>
                <w:szCs w:val="24"/>
                <w:lang w:val="en-US" w:eastAsia="zh-CN"/>
              </w:rPr>
              <w:t>DA004）</w:t>
            </w:r>
            <w:r>
              <w:rPr>
                <w:color w:val="auto"/>
                <w:sz w:val="24"/>
                <w:szCs w:val="24"/>
              </w:rPr>
              <w:t>排放。</w:t>
            </w:r>
          </w:p>
          <w:p w14:paraId="08251A7D">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w:t>
            </w:r>
            <w:r>
              <w:rPr>
                <w:rFonts w:hint="eastAsia"/>
                <w:color w:val="auto"/>
                <w:sz w:val="24"/>
                <w:szCs w:val="24"/>
                <w:lang w:val="en-US" w:eastAsia="zh-CN"/>
              </w:rPr>
              <w:t>喷粉</w:t>
            </w:r>
            <w:r>
              <w:rPr>
                <w:color w:val="auto"/>
                <w:sz w:val="24"/>
                <w:szCs w:val="24"/>
              </w:rPr>
              <w:t>线为相对封闭的结构，内部呈微负压状态，</w:t>
            </w:r>
            <w:r>
              <w:rPr>
                <w:rFonts w:hint="eastAsia"/>
                <w:color w:val="auto"/>
                <w:sz w:val="24"/>
                <w:szCs w:val="24"/>
                <w:lang w:val="en-US" w:eastAsia="zh-CN"/>
              </w:rPr>
              <w:t>喷粉</w:t>
            </w:r>
            <w:r>
              <w:rPr>
                <w:color w:val="auto"/>
                <w:sz w:val="24"/>
                <w:szCs w:val="24"/>
              </w:rPr>
              <w:t>废气、</w:t>
            </w:r>
            <w:r>
              <w:rPr>
                <w:rFonts w:hint="eastAsia"/>
                <w:color w:val="auto"/>
                <w:sz w:val="24"/>
                <w:szCs w:val="24"/>
                <w:lang w:val="en-US" w:eastAsia="zh-CN"/>
              </w:rPr>
              <w:t>喷粉</w:t>
            </w:r>
            <w:r>
              <w:rPr>
                <w:color w:val="auto"/>
                <w:sz w:val="24"/>
                <w:szCs w:val="24"/>
              </w:rPr>
              <w:t>固化废气均可有效收集，捕集效率取90%，</w:t>
            </w:r>
            <w:r>
              <w:rPr>
                <w:rFonts w:hint="eastAsia"/>
                <w:color w:val="auto"/>
                <w:sz w:val="24"/>
                <w:szCs w:val="24"/>
                <w:lang w:val="en-US" w:eastAsia="zh-CN"/>
              </w:rPr>
              <w:t>滤芯除尘系统对喷粉废气中颗粒物的去除率取90%，喷淋塔+过滤棉+二级活性炭吸附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684161ED">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本项目粉末涂料VOCs物料平衡表如下图所示。</w:t>
            </w:r>
          </w:p>
          <w:p w14:paraId="023333D7">
            <w:pPr>
              <w:pStyle w:val="47"/>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3072130" cy="3834130"/>
                  <wp:effectExtent l="0" t="0" r="0" b="0"/>
                  <wp:docPr id="150" name="ECB019B1-382A-4266-B25C-5B523AA43C14-3" descr="C:/Users/Administrator/AppData/Local/Temp/wps.JiubA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3" descr="C:/Users/Administrator/AppData/Local/Temp/wps.JiubAGwps"/>
                          <pic:cNvPicPr>
                            <a:picLocks noChangeAspect="1"/>
                          </pic:cNvPicPr>
                        </pic:nvPicPr>
                        <pic:blipFill>
                          <a:blip r:embed="rId14"/>
                          <a:stretch>
                            <a:fillRect/>
                          </a:stretch>
                        </pic:blipFill>
                        <pic:spPr>
                          <a:xfrm>
                            <a:off x="0" y="0"/>
                            <a:ext cx="3072130" cy="3834130"/>
                          </a:xfrm>
                          <a:prstGeom prst="rect">
                            <a:avLst/>
                          </a:prstGeom>
                        </pic:spPr>
                      </pic:pic>
                    </a:graphicData>
                  </a:graphic>
                </wp:inline>
              </w:drawing>
            </w:r>
          </w:p>
          <w:p w14:paraId="50ADBE88">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auto"/>
                <w:highlight w:val="none"/>
              </w:rPr>
            </w:pPr>
            <w:r>
              <w:rPr>
                <w:rFonts w:hint="eastAsia" w:cs="Times New Roman"/>
                <w:b/>
                <w:bCs/>
                <w:color w:val="auto"/>
                <w:kern w:val="2"/>
                <w:sz w:val="24"/>
                <w:szCs w:val="21"/>
                <w:highlight w:val="none"/>
                <w:lang w:val="en-US" w:eastAsia="zh-CN" w:bidi="ar-SA"/>
              </w:rPr>
              <w:t>电泳涂料</w:t>
            </w:r>
            <w:r>
              <w:rPr>
                <w:rFonts w:hint="eastAsia" w:ascii="Times New Roman" w:hAnsi="Times New Roman" w:eastAsia="宋体" w:cs="Times New Roman"/>
                <w:b/>
                <w:bCs/>
                <w:color w:val="auto"/>
                <w:kern w:val="2"/>
                <w:sz w:val="24"/>
                <w:szCs w:val="21"/>
                <w:highlight w:val="none"/>
                <w:lang w:val="en-US" w:eastAsia="zh-CN" w:bidi="ar-SA"/>
              </w:rPr>
              <w:t>VOCs物料平衡图</w:t>
            </w:r>
          </w:p>
          <w:p w14:paraId="3C547120">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（3）喷漆线VOCs物料平衡：</w:t>
            </w:r>
          </w:p>
          <w:p w14:paraId="7BDE7D51">
            <w:pPr>
              <w:pStyle w:val="47"/>
              <w:rPr>
                <w:rFonts w:hint="eastAsia"/>
                <w:color w:val="auto"/>
                <w:highlight w:val="none"/>
                <w:lang w:val="en-US" w:eastAsia="zh-CN"/>
              </w:rPr>
            </w:pPr>
            <w:r>
              <w:rPr>
                <w:rFonts w:hint="eastAsia"/>
                <w:color w:val="auto"/>
                <w:highlight w:val="none"/>
                <w:lang w:val="en-US" w:eastAsia="zh-CN"/>
              </w:rPr>
              <w:t>本项目配套设有1条喷漆线，使用的喷漆涂料为水性涂料，根据其MSDS资料，成分主要包括固份、水分、挥发分。具体见下表。</w:t>
            </w:r>
          </w:p>
          <w:p w14:paraId="2AD6B2F6">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cs="Times New Roman"/>
                <w:color w:val="auto"/>
                <w:highlight w:val="none"/>
                <w:lang w:val="en-US" w:eastAsia="zh-CN"/>
              </w:rPr>
              <w:t>喷漆</w:t>
            </w:r>
            <w:r>
              <w:rPr>
                <w:rFonts w:hint="eastAsia" w:ascii="Times New Roman" w:hAnsi="Times New Roman" w:eastAsia="宋体" w:cs="Times New Roman"/>
                <w:color w:val="auto"/>
                <w:highlight w:val="none"/>
                <w:lang w:val="en-US" w:eastAsia="zh-CN"/>
              </w:rPr>
              <w:t>涂料成分分析（单位：t/a）</w:t>
            </w:r>
          </w:p>
          <w:tbl>
            <w:tblPr>
              <w:tblStyle w:val="86"/>
              <w:tblW w:w="86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7"/>
              <w:gridCol w:w="1300"/>
              <w:gridCol w:w="1702"/>
              <w:gridCol w:w="1913"/>
              <w:gridCol w:w="1908"/>
            </w:tblGrid>
            <w:tr w14:paraId="34CF1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vMerge w:val="restart"/>
                  <w:vAlign w:val="center"/>
                </w:tcPr>
                <w:p w14:paraId="4E132CF0">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1300" w:type="dxa"/>
                  <w:vMerge w:val="restart"/>
                  <w:vAlign w:val="center"/>
                </w:tcPr>
                <w:p w14:paraId="52E5AC9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p>
              </w:tc>
              <w:tc>
                <w:tcPr>
                  <w:tcW w:w="5523" w:type="dxa"/>
                  <w:gridSpan w:val="3"/>
                  <w:vAlign w:val="center"/>
                </w:tcPr>
                <w:p w14:paraId="31A75DB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4EC9E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vMerge w:val="continue"/>
                  <w:tcBorders>
                    <w:bottom w:val="single" w:color="000000" w:sz="12" w:space="0"/>
                  </w:tcBorders>
                  <w:vAlign w:val="center"/>
                </w:tcPr>
                <w:p w14:paraId="4CB0204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300" w:type="dxa"/>
                  <w:vMerge w:val="continue"/>
                  <w:tcBorders>
                    <w:bottom w:val="single" w:color="000000" w:sz="12" w:space="0"/>
                  </w:tcBorders>
                  <w:vAlign w:val="center"/>
                </w:tcPr>
                <w:p w14:paraId="5A6FA06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702" w:type="dxa"/>
                  <w:tcBorders>
                    <w:bottom w:val="single" w:color="000000" w:sz="12" w:space="0"/>
                  </w:tcBorders>
                  <w:vAlign w:val="center"/>
                </w:tcPr>
                <w:p w14:paraId="0FF217F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固份45%</w:t>
                  </w:r>
                </w:p>
              </w:tc>
              <w:tc>
                <w:tcPr>
                  <w:tcW w:w="1913" w:type="dxa"/>
                  <w:tcBorders>
                    <w:bottom w:val="single" w:color="000000" w:sz="12" w:space="0"/>
                  </w:tcBorders>
                  <w:vAlign w:val="center"/>
                </w:tcPr>
                <w:p w14:paraId="41C2417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水分33%</w:t>
                  </w:r>
                </w:p>
              </w:tc>
              <w:tc>
                <w:tcPr>
                  <w:tcW w:w="1908" w:type="dxa"/>
                  <w:tcBorders>
                    <w:bottom w:val="single" w:color="000000" w:sz="12" w:space="0"/>
                  </w:tcBorders>
                  <w:vAlign w:val="center"/>
                </w:tcPr>
                <w:p w14:paraId="5987D41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挥发份22%</w:t>
                  </w:r>
                </w:p>
              </w:tc>
            </w:tr>
            <w:tr w14:paraId="6104F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817" w:type="dxa"/>
                  <w:tcBorders>
                    <w:top w:val="single" w:color="000000" w:sz="12" w:space="0"/>
                    <w:tl2br w:val="nil"/>
                    <w:tr2bl w:val="nil"/>
                  </w:tcBorders>
                  <w:vAlign w:val="center"/>
                </w:tcPr>
                <w:p w14:paraId="272F93F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水性环氧酯涂料</w:t>
                  </w:r>
                </w:p>
              </w:tc>
              <w:tc>
                <w:tcPr>
                  <w:tcW w:w="1300" w:type="dxa"/>
                  <w:tcBorders>
                    <w:top w:val="single" w:color="000000" w:sz="12" w:space="0"/>
                    <w:tl2br w:val="nil"/>
                    <w:tr2bl w:val="nil"/>
                  </w:tcBorders>
                  <w:vAlign w:val="center"/>
                </w:tcPr>
                <w:p w14:paraId="38AE55A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8</w:t>
                  </w:r>
                </w:p>
              </w:tc>
              <w:tc>
                <w:tcPr>
                  <w:tcW w:w="1702" w:type="dxa"/>
                  <w:tcBorders>
                    <w:top w:val="single" w:color="000000" w:sz="12" w:space="0"/>
                    <w:tl2br w:val="nil"/>
                    <w:tr2bl w:val="nil"/>
                  </w:tcBorders>
                  <w:vAlign w:val="center"/>
                </w:tcPr>
                <w:p w14:paraId="15CAB27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3.6</w:t>
                  </w:r>
                </w:p>
              </w:tc>
              <w:tc>
                <w:tcPr>
                  <w:tcW w:w="1913" w:type="dxa"/>
                  <w:tcBorders>
                    <w:top w:val="single" w:color="000000" w:sz="12" w:space="0"/>
                    <w:tl2br w:val="nil"/>
                    <w:tr2bl w:val="nil"/>
                  </w:tcBorders>
                  <w:vAlign w:val="center"/>
                </w:tcPr>
                <w:p w14:paraId="4813DCDF">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2.64</w:t>
                  </w:r>
                </w:p>
              </w:tc>
              <w:tc>
                <w:tcPr>
                  <w:tcW w:w="1908" w:type="dxa"/>
                  <w:tcBorders>
                    <w:top w:val="single" w:color="000000" w:sz="12" w:space="0"/>
                    <w:tl2br w:val="nil"/>
                    <w:tr2bl w:val="nil"/>
                  </w:tcBorders>
                  <w:vAlign w:val="center"/>
                </w:tcPr>
                <w:p w14:paraId="2BA922B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1.76</w:t>
                  </w:r>
                </w:p>
              </w:tc>
            </w:tr>
          </w:tbl>
          <w:p w14:paraId="33CE745C">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水性环氧酯涂料中固份全部进入产品（涂层），在喷漆及烘干固化过程中，水分全部蒸发损耗（水蒸气），挥发分全部挥发进入废气。根据水性环氧酯涂料成分分析，废气污染因子包括非甲烷总烃、颗粒物。</w:t>
            </w:r>
          </w:p>
          <w:p w14:paraId="666733F6">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根据《污染源源强核算技术指南汽车制造（HJ 1097-2020）》附录E，喷漆过程中水性涂料中挥发性有机物的挥发比例为：喷涂80%、热流平15%、烘干5%。</w:t>
            </w:r>
          </w:p>
          <w:p w14:paraId="0ECB7191">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本项目喷漆废气和烘干废气收集后，经喷淋塔+过滤棉+二级活性炭吸附净化处理后引至15m排</w:t>
            </w:r>
            <w:r>
              <w:rPr>
                <w:color w:val="auto"/>
                <w:sz w:val="24"/>
                <w:szCs w:val="24"/>
              </w:rPr>
              <w:t>气筒</w:t>
            </w:r>
            <w:r>
              <w:rPr>
                <w:rFonts w:hint="eastAsia"/>
                <w:color w:val="auto"/>
                <w:sz w:val="24"/>
                <w:szCs w:val="24"/>
                <w:lang w:eastAsia="zh-CN"/>
              </w:rPr>
              <w:t>（</w:t>
            </w:r>
            <w:r>
              <w:rPr>
                <w:rFonts w:hint="eastAsia"/>
                <w:color w:val="auto"/>
                <w:sz w:val="24"/>
                <w:szCs w:val="24"/>
                <w:lang w:val="en-US" w:eastAsia="zh-CN"/>
              </w:rPr>
              <w:t>DA004）</w:t>
            </w:r>
            <w:r>
              <w:rPr>
                <w:color w:val="auto"/>
                <w:sz w:val="24"/>
                <w:szCs w:val="24"/>
              </w:rPr>
              <w:t>排放。</w:t>
            </w:r>
          </w:p>
          <w:p w14:paraId="4074484B">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w:t>
            </w:r>
            <w:r>
              <w:rPr>
                <w:rFonts w:hint="eastAsia"/>
                <w:color w:val="auto"/>
                <w:sz w:val="24"/>
                <w:szCs w:val="24"/>
                <w:lang w:val="en-US" w:eastAsia="zh-CN"/>
              </w:rPr>
              <w:t>喷漆</w:t>
            </w:r>
            <w:r>
              <w:rPr>
                <w:color w:val="auto"/>
                <w:sz w:val="24"/>
                <w:szCs w:val="24"/>
              </w:rPr>
              <w:t>线为相对封闭的结构，内部呈微负压状态，</w:t>
            </w:r>
            <w:r>
              <w:rPr>
                <w:rFonts w:hint="eastAsia"/>
                <w:color w:val="auto"/>
                <w:sz w:val="24"/>
                <w:szCs w:val="24"/>
                <w:lang w:val="en-US" w:eastAsia="zh-CN"/>
              </w:rPr>
              <w:t>喷漆</w:t>
            </w:r>
            <w:r>
              <w:rPr>
                <w:color w:val="auto"/>
                <w:sz w:val="24"/>
                <w:szCs w:val="24"/>
              </w:rPr>
              <w:t>废气、</w:t>
            </w:r>
            <w:r>
              <w:rPr>
                <w:rFonts w:hint="eastAsia"/>
                <w:color w:val="auto"/>
                <w:sz w:val="24"/>
                <w:szCs w:val="24"/>
                <w:lang w:val="en-US" w:eastAsia="zh-CN"/>
              </w:rPr>
              <w:t>喷漆</w:t>
            </w:r>
            <w:r>
              <w:rPr>
                <w:color w:val="auto"/>
                <w:sz w:val="24"/>
                <w:szCs w:val="24"/>
              </w:rPr>
              <w:t>固化废气均可有效收集，捕集效率取90%，</w:t>
            </w:r>
            <w:r>
              <w:rPr>
                <w:rFonts w:hint="eastAsia"/>
                <w:color w:val="auto"/>
                <w:sz w:val="24"/>
                <w:szCs w:val="24"/>
                <w:lang w:val="en-US" w:eastAsia="zh-CN"/>
              </w:rPr>
              <w:t>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7701BADC">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本项目水性环氧酯涂料VOCs物料平衡表如下图所示。</w:t>
            </w:r>
          </w:p>
          <w:p w14:paraId="3847CFEF">
            <w:pPr>
              <w:pStyle w:val="4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323840" cy="4311015"/>
                  <wp:effectExtent l="0" t="0" r="0" b="0"/>
                  <wp:docPr id="149" name="ECB019B1-382A-4266-B25C-5B523AA43C14-4" descr="C:/Users/Administrator/AppData/Local/Temp/wps.diXeI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CB019B1-382A-4266-B25C-5B523AA43C14-4" descr="C:/Users/Administrator/AppData/Local/Temp/wps.diXeIlwps"/>
                          <pic:cNvPicPr>
                            <a:picLocks noChangeAspect="1"/>
                          </pic:cNvPicPr>
                        </pic:nvPicPr>
                        <pic:blipFill>
                          <a:blip r:embed="rId15"/>
                          <a:stretch>
                            <a:fillRect/>
                          </a:stretch>
                        </pic:blipFill>
                        <pic:spPr>
                          <a:xfrm>
                            <a:off x="0" y="0"/>
                            <a:ext cx="5323840" cy="4311015"/>
                          </a:xfrm>
                          <a:prstGeom prst="rect">
                            <a:avLst/>
                          </a:prstGeom>
                        </pic:spPr>
                      </pic:pic>
                    </a:graphicData>
                  </a:graphic>
                </wp:inline>
              </w:drawing>
            </w:r>
          </w:p>
          <w:p w14:paraId="65E9E222">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pPr>
            <w:r>
              <w:rPr>
                <w:rFonts w:hint="eastAsia"/>
                <w:color w:val="auto"/>
                <w:highlight w:val="none"/>
                <w:lang w:val="en-US" w:eastAsia="zh-CN"/>
              </w:rPr>
              <w:t>水性环氧酯涂料</w:t>
            </w:r>
            <w:r>
              <w:rPr>
                <w:rFonts w:hint="eastAsia" w:ascii="Times New Roman" w:hAnsi="Times New Roman" w:eastAsia="宋体" w:cs="Times New Roman"/>
                <w:b/>
                <w:bCs/>
                <w:color w:val="auto"/>
                <w:kern w:val="2"/>
                <w:sz w:val="24"/>
                <w:szCs w:val="21"/>
                <w:highlight w:val="none"/>
                <w:lang w:val="en-US" w:eastAsia="zh-CN" w:bidi="ar-SA"/>
              </w:rPr>
              <w:t>VOCs物料平衡图</w:t>
            </w:r>
          </w:p>
        </w:tc>
      </w:tr>
    </w:tbl>
    <w:p w14:paraId="3FEAE0AD">
      <w:pPr>
        <w:pStyle w:val="30"/>
        <w:adjustRightInd w:val="0"/>
        <w:snapToGrid w:val="0"/>
        <w:spacing w:before="0" w:beforeAutospacing="0" w:after="0" w:afterAutospacing="0"/>
        <w:jc w:val="center"/>
        <w:rPr>
          <w:rFonts w:cs="宋体"/>
          <w:color w:val="auto"/>
          <w:sz w:val="21"/>
          <w:szCs w:val="21"/>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5"/>
        <w:tblW w:w="93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949"/>
      </w:tblGrid>
      <w:tr w14:paraId="2FC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4" w:hRule="atLeast"/>
        </w:trPr>
        <w:tc>
          <w:tcPr>
            <w:tcW w:w="429" w:type="dxa"/>
            <w:vAlign w:val="center"/>
          </w:tcPr>
          <w:p w14:paraId="0AB08AF1">
            <w:pPr>
              <w:pStyle w:val="30"/>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949" w:type="dxa"/>
          </w:tcPr>
          <w:p w14:paraId="197906EB">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auto"/>
                <w:highlight w:val="none"/>
              </w:rPr>
            </w:pPr>
            <w:r>
              <w:rPr>
                <w:rFonts w:hint="eastAsia"/>
                <w:color w:val="auto"/>
                <w:highlight w:val="none"/>
              </w:rPr>
              <w:t>主要工艺流程及产污环节</w:t>
            </w:r>
          </w:p>
          <w:p w14:paraId="493E1A33">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color w:val="auto"/>
                <w:highlight w:val="none"/>
              </w:rPr>
            </w:pPr>
            <w:r>
              <w:rPr>
                <w:rFonts w:hint="eastAsia"/>
                <w:color w:val="auto"/>
                <w:highlight w:val="none"/>
              </w:rPr>
              <w:t>生产工艺</w:t>
            </w:r>
          </w:p>
          <w:p w14:paraId="12D7A640">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zh-CN" w:eastAsia="zh-CN" w:bidi="ar-SA"/>
              </w:rPr>
              <w:t>本项目汽车座椅骨架生产工艺流程见图</w:t>
            </w:r>
            <w:r>
              <w:rPr>
                <w:rFonts w:hint="eastAsia" w:ascii="Times New Roman" w:hAnsi="Times New Roman" w:eastAsia="宋体" w:cs="宋体"/>
                <w:color w:val="auto"/>
                <w:kern w:val="0"/>
                <w:sz w:val="24"/>
                <w:szCs w:val="20"/>
                <w:highlight w:val="none"/>
                <w:lang w:val="en-US" w:eastAsia="zh-CN" w:bidi="ar-SA"/>
              </w:rPr>
              <w:t>2.7-1；</w:t>
            </w:r>
            <w:r>
              <w:rPr>
                <w:rFonts w:ascii="Times New Roman" w:hAnsi="Times New Roman" w:eastAsia="宋体" w:cs="宋体"/>
                <w:color w:val="auto"/>
                <w:kern w:val="0"/>
                <w:sz w:val="24"/>
                <w:szCs w:val="20"/>
                <w:highlight w:val="none"/>
                <w:lang w:val="zh-CN" w:eastAsia="zh-CN" w:bidi="ar-SA"/>
              </w:rPr>
              <w:t>项目配套电泳线工艺流程如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2.7-2</w:t>
            </w:r>
            <w:r>
              <w:rPr>
                <w:rFonts w:hint="eastAsia" w:ascii="Times New Roman" w:hAnsi="Times New Roman" w:cs="宋体"/>
                <w:color w:val="auto"/>
                <w:kern w:val="0"/>
                <w:sz w:val="24"/>
                <w:szCs w:val="20"/>
                <w:highlight w:val="none"/>
                <w:lang w:val="en-US" w:eastAsia="zh-CN" w:bidi="ar-SA"/>
              </w:rPr>
              <w:t>；</w:t>
            </w:r>
            <w:r>
              <w:rPr>
                <w:rFonts w:ascii="Times New Roman" w:hAnsi="Times New Roman" w:eastAsia="宋体" w:cs="宋体"/>
                <w:color w:val="auto"/>
                <w:kern w:val="0"/>
                <w:sz w:val="24"/>
                <w:szCs w:val="20"/>
                <w:highlight w:val="none"/>
                <w:lang w:val="zh-CN" w:eastAsia="zh-CN" w:bidi="ar-SA"/>
              </w:rPr>
              <w:t>项目配套</w:t>
            </w:r>
            <w:r>
              <w:rPr>
                <w:rFonts w:hint="eastAsia" w:ascii="Times New Roman" w:hAnsi="Times New Roman" w:eastAsia="宋体" w:cs="宋体"/>
                <w:color w:val="auto"/>
                <w:kern w:val="0"/>
                <w:sz w:val="24"/>
                <w:szCs w:val="20"/>
                <w:highlight w:val="none"/>
                <w:lang w:val="en-US" w:eastAsia="zh-CN" w:bidi="ar-SA"/>
              </w:rPr>
              <w:t>喷粉</w:t>
            </w:r>
            <w:r>
              <w:rPr>
                <w:rFonts w:ascii="Times New Roman" w:hAnsi="Times New Roman" w:eastAsia="宋体" w:cs="宋体"/>
                <w:color w:val="auto"/>
                <w:kern w:val="0"/>
                <w:sz w:val="24"/>
                <w:szCs w:val="20"/>
                <w:highlight w:val="none"/>
                <w:lang w:val="zh-CN" w:eastAsia="zh-CN" w:bidi="ar-SA"/>
              </w:rPr>
              <w:t>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2.7-3；</w:t>
            </w:r>
            <w:r>
              <w:rPr>
                <w:rFonts w:ascii="Times New Roman" w:hAnsi="Times New Roman" w:eastAsia="宋体" w:cs="宋体"/>
                <w:color w:val="auto"/>
                <w:kern w:val="0"/>
                <w:sz w:val="24"/>
                <w:szCs w:val="20"/>
                <w:highlight w:val="none"/>
                <w:lang w:val="zh-CN" w:eastAsia="zh-CN" w:bidi="ar-SA"/>
              </w:rPr>
              <w:t>项目配套</w:t>
            </w:r>
            <w:r>
              <w:rPr>
                <w:rFonts w:hint="eastAsia" w:ascii="Times New Roman" w:hAnsi="Times New Roman" w:eastAsia="宋体" w:cs="宋体"/>
                <w:color w:val="auto"/>
                <w:kern w:val="0"/>
                <w:sz w:val="24"/>
                <w:szCs w:val="20"/>
                <w:highlight w:val="none"/>
                <w:lang w:val="en-US" w:eastAsia="zh-CN" w:bidi="ar-SA"/>
              </w:rPr>
              <w:t>喷漆</w:t>
            </w:r>
            <w:r>
              <w:rPr>
                <w:rFonts w:ascii="Times New Roman" w:hAnsi="Times New Roman" w:eastAsia="宋体" w:cs="宋体"/>
                <w:color w:val="auto"/>
                <w:kern w:val="0"/>
                <w:sz w:val="24"/>
                <w:szCs w:val="20"/>
                <w:highlight w:val="none"/>
                <w:lang w:val="zh-CN" w:eastAsia="zh-CN" w:bidi="ar-SA"/>
              </w:rPr>
              <w:t>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2.7-4.</w:t>
            </w:r>
          </w:p>
          <w:p w14:paraId="6EDD38D6">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6F1E04E5">
            <w:pPr>
              <w:pStyle w:val="4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color w:val="auto"/>
                <w:highlight w:val="none"/>
              </w:rPr>
            </w:pPr>
            <w:r>
              <w:rPr>
                <w:rFonts w:hint="eastAsia"/>
                <w:color w:val="auto"/>
                <w:highlight w:val="none"/>
              </w:rPr>
              <w:t>汽车座椅骨架</w:t>
            </w:r>
            <w:r>
              <w:rPr>
                <w:rFonts w:hint="eastAsia"/>
                <w:color w:val="auto"/>
                <w:highlight w:val="none"/>
                <w:lang w:val="en-US" w:eastAsia="zh-CN"/>
              </w:rPr>
              <w:t>生产工艺流程图</w:t>
            </w:r>
          </w:p>
          <w:p w14:paraId="2CB8DA17">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004299F8">
            <w:pPr>
              <w:rPr>
                <w:rFonts w:hint="eastAsia" w:eastAsia="宋体"/>
                <w:color w:val="auto"/>
                <w:lang w:eastAsia="zh-CN"/>
              </w:rPr>
            </w:pPr>
          </w:p>
          <w:p w14:paraId="3303A71C">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项目配套电泳线工艺流程图</w:t>
            </w:r>
          </w:p>
          <w:p w14:paraId="3CED3D29">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155A576B">
            <w:pPr>
              <w:rPr>
                <w:rFonts w:hint="eastAsia" w:eastAsia="宋体"/>
                <w:lang w:eastAsia="zh-CN"/>
              </w:rPr>
            </w:pPr>
          </w:p>
          <w:p w14:paraId="6308B109">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w:t>
            </w:r>
            <w:r>
              <w:rPr>
                <w:rFonts w:hint="eastAsia"/>
                <w:b/>
                <w:bCs/>
                <w:color w:val="auto"/>
                <w:spacing w:val="-3"/>
                <w:sz w:val="24"/>
                <w:szCs w:val="24"/>
                <w:highlight w:val="none"/>
                <w:lang w:val="en-US" w:eastAsia="zh-CN"/>
              </w:rPr>
              <w:t>喷粉</w:t>
            </w:r>
            <w:r>
              <w:rPr>
                <w:b/>
                <w:bCs/>
                <w:color w:val="auto"/>
                <w:spacing w:val="-3"/>
                <w:sz w:val="24"/>
                <w:szCs w:val="24"/>
                <w:highlight w:val="none"/>
              </w:rPr>
              <w:t>线工艺流程图</w:t>
            </w:r>
          </w:p>
          <w:p w14:paraId="5A76A916">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08149ECA">
            <w:pPr>
              <w:rPr>
                <w:rFonts w:hint="eastAsia" w:eastAsia="宋体"/>
                <w:lang w:eastAsia="zh-CN"/>
              </w:rPr>
            </w:pPr>
          </w:p>
          <w:p w14:paraId="75C1815B">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w:t>
            </w:r>
            <w:r>
              <w:rPr>
                <w:rFonts w:hint="eastAsia"/>
                <w:b/>
                <w:bCs/>
                <w:color w:val="auto"/>
                <w:spacing w:val="-3"/>
                <w:sz w:val="24"/>
                <w:szCs w:val="24"/>
                <w:highlight w:val="none"/>
                <w:lang w:val="en-US" w:eastAsia="zh-CN"/>
              </w:rPr>
              <w:t>喷漆</w:t>
            </w:r>
            <w:r>
              <w:rPr>
                <w:b/>
                <w:bCs/>
                <w:color w:val="auto"/>
                <w:spacing w:val="-3"/>
                <w:sz w:val="24"/>
                <w:szCs w:val="24"/>
                <w:highlight w:val="none"/>
              </w:rPr>
              <w:t>线工艺流程图</w:t>
            </w:r>
          </w:p>
          <w:p w14:paraId="6E69B524">
            <w:pPr>
              <w:rPr>
                <w:rFonts w:hint="eastAsia" w:eastAsia="宋体"/>
                <w:lang w:eastAsia="zh-CN"/>
              </w:rPr>
            </w:pPr>
          </w:p>
        </w:tc>
      </w:tr>
      <w:tr w14:paraId="6F34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4" w:hRule="atLeast"/>
        </w:trPr>
        <w:tc>
          <w:tcPr>
            <w:tcW w:w="429" w:type="dxa"/>
            <w:vAlign w:val="top"/>
          </w:tcPr>
          <w:p w14:paraId="6F0BE116">
            <w:pPr>
              <w:pStyle w:val="30"/>
              <w:adjustRightInd w:val="0"/>
              <w:snapToGrid w:val="0"/>
              <w:spacing w:before="0" w:beforeAutospacing="0" w:after="0" w:afterAutospacing="0"/>
              <w:ind w:left="0" w:leftChars="0" w:right="0" w:rightChars="0"/>
              <w:jc w:val="center"/>
              <w:rPr>
                <w:rFonts w:hint="eastAsia" w:cs="宋体"/>
                <w:color w:val="auto"/>
                <w:sz w:val="21"/>
                <w:szCs w:val="21"/>
                <w:highlight w:val="none"/>
              </w:rPr>
            </w:pPr>
            <w:r>
              <w:rPr>
                <w:rFonts w:hint="eastAsia" w:cs="宋体"/>
                <w:color w:val="auto"/>
                <w:sz w:val="21"/>
                <w:szCs w:val="21"/>
                <w:highlight w:val="none"/>
              </w:rPr>
              <w:t>工艺流程和产排污环节</w:t>
            </w:r>
          </w:p>
        </w:tc>
        <w:tc>
          <w:tcPr>
            <w:tcW w:w="8949" w:type="dxa"/>
            <w:vAlign w:val="top"/>
          </w:tcPr>
          <w:p w14:paraId="2662A78E">
            <w:pPr>
              <w:pStyle w:val="5"/>
              <w:keepNext/>
              <w:keepLines/>
              <w:pageBreakBefore w:val="0"/>
              <w:widowControl w:val="0"/>
              <w:numPr>
                <w:ilvl w:val="3"/>
                <w:numId w:val="9"/>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color w:val="auto"/>
                <w:highlight w:val="none"/>
                <w:lang w:val="en-US" w:eastAsia="zh-CN"/>
              </w:rPr>
            </w:pPr>
            <w:r>
              <w:rPr>
                <w:rFonts w:hint="eastAsia"/>
                <w:color w:val="auto"/>
                <w:highlight w:val="none"/>
                <w:lang w:val="en-US" w:eastAsia="zh-CN"/>
              </w:rPr>
              <w:t>生产</w:t>
            </w:r>
            <w:r>
              <w:rPr>
                <w:rFonts w:hint="default"/>
                <w:color w:val="auto"/>
                <w:highlight w:val="none"/>
                <w:lang w:val="en-US" w:eastAsia="zh-CN"/>
              </w:rPr>
              <w:t>工艺</w:t>
            </w:r>
            <w:r>
              <w:rPr>
                <w:rFonts w:hint="eastAsia"/>
                <w:color w:val="auto"/>
                <w:highlight w:val="none"/>
                <w:lang w:val="en-US" w:eastAsia="zh-CN"/>
              </w:rPr>
              <w:t>流程</w:t>
            </w:r>
          </w:p>
          <w:p w14:paraId="03D3C9EA">
            <w:pPr>
              <w:pStyle w:val="46"/>
              <w:ind w:firstLine="480"/>
              <w:rPr>
                <w:rFonts w:hint="default" w:ascii="Times New Roman" w:hAnsi="Times New Roman" w:eastAsia="宋体"/>
                <w:color w:val="auto"/>
                <w:sz w:val="24"/>
                <w:highlight w:val="none"/>
                <w:lang w:val="en-US" w:eastAsia="zh-CN"/>
              </w:rPr>
            </w:pPr>
            <w:r>
              <w:rPr>
                <w:rFonts w:hint="eastAsia"/>
                <w:color w:val="auto"/>
                <w:highlight w:val="none"/>
                <w:lang w:val="en-US" w:eastAsia="zh-CN"/>
              </w:rPr>
              <w:t>1.</w:t>
            </w:r>
            <w:r>
              <w:rPr>
                <w:rFonts w:hint="eastAsia"/>
                <w:color w:val="auto"/>
                <w:highlight w:val="none"/>
              </w:rPr>
              <w:t>本项目汽车座椅骨架生产工艺流程</w:t>
            </w:r>
          </w:p>
          <w:p w14:paraId="21CDE01A">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6941D444">
            <w:pPr>
              <w:pStyle w:val="46"/>
              <w:ind w:firstLine="480"/>
              <w:rPr>
                <w:rFonts w:hint="default" w:eastAsia="宋体" w:cs="宋体"/>
                <w:color w:val="auto"/>
                <w:kern w:val="0"/>
                <w:sz w:val="24"/>
                <w:szCs w:val="20"/>
                <w:highlight w:val="none"/>
                <w:lang w:val="en-US" w:eastAsia="zh-CN" w:bidi="ar-SA"/>
              </w:rPr>
            </w:pPr>
          </w:p>
          <w:p w14:paraId="18ED182E">
            <w:pPr>
              <w:pStyle w:val="5"/>
              <w:numPr>
                <w:ilvl w:val="3"/>
                <w:numId w:val="9"/>
              </w:numPr>
              <w:tabs>
                <w:tab w:val="left" w:pos="0"/>
              </w:tabs>
              <w:bidi w:val="0"/>
              <w:ind w:left="864" w:leftChars="0" w:hanging="864" w:firstLineChars="0"/>
              <w:rPr>
                <w:rFonts w:hint="eastAsia"/>
                <w:color w:val="auto"/>
                <w:highlight w:val="none"/>
                <w:lang w:val="en-US" w:eastAsia="zh-CN"/>
              </w:rPr>
            </w:pPr>
            <w:r>
              <w:rPr>
                <w:rFonts w:hint="eastAsia"/>
                <w:color w:val="auto"/>
                <w:highlight w:val="none"/>
                <w:lang w:val="en-US" w:eastAsia="zh-CN"/>
              </w:rPr>
              <w:t>生产工艺主要产污环节</w:t>
            </w:r>
          </w:p>
          <w:p w14:paraId="398D743D">
            <w:pPr>
              <w:pStyle w:val="46"/>
              <w:ind w:firstLine="480"/>
              <w:rPr>
                <w:rFonts w:hint="eastAsia"/>
                <w:color w:val="auto"/>
              </w:rPr>
            </w:pPr>
            <w:r>
              <w:rPr>
                <w:rFonts w:hint="eastAsia"/>
                <w:color w:val="auto"/>
              </w:rPr>
              <w:t>主要</w:t>
            </w:r>
            <w:r>
              <w:rPr>
                <w:rFonts w:hint="eastAsia"/>
                <w:color w:val="auto"/>
                <w:highlight w:val="none"/>
                <w:vertAlign w:val="baseline"/>
                <w:lang w:val="en-US" w:eastAsia="zh-CN"/>
              </w:rPr>
              <w:t>产污环节</w:t>
            </w:r>
            <w:r>
              <w:rPr>
                <w:rFonts w:hint="eastAsia"/>
                <w:color w:val="auto"/>
              </w:rPr>
              <w:t>见下表。</w:t>
            </w:r>
          </w:p>
          <w:p w14:paraId="321F6DC6">
            <w:pPr>
              <w:pStyle w:val="44"/>
              <w:keepNext/>
              <w:keepLines/>
              <w:pageBreakBefore w:val="0"/>
              <w:widowControl w:val="0"/>
              <w:numPr>
                <w:ilvl w:val="7"/>
                <w:numId w:val="10"/>
              </w:numPr>
              <w:tabs>
                <w:tab w:val="left" w:pos="0"/>
              </w:tabs>
              <w:kinsoku/>
              <w:wordWrap/>
              <w:overflowPunct/>
              <w:topLinePunct w:val="0"/>
              <w:autoSpaceDE/>
              <w:autoSpaceDN/>
              <w:bidi w:val="0"/>
              <w:adjustRightInd/>
              <w:snapToGrid/>
              <w:spacing w:before="157" w:beforeLines="50" w:after="0"/>
              <w:ind w:left="630" w:leftChars="0" w:firstLineChars="0"/>
              <w:textAlignment w:val="auto"/>
              <w:rPr>
                <w:color w:val="auto"/>
                <w:highlight w:val="none"/>
              </w:rPr>
            </w:pPr>
            <w:r>
              <w:rPr>
                <w:color w:val="auto"/>
                <w:highlight w:val="none"/>
              </w:rPr>
              <w:t>主要污染工序一览表</w:t>
            </w:r>
          </w:p>
          <w:tbl>
            <w:tblPr>
              <w:tblStyle w:val="34"/>
              <w:tblW w:w="873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89"/>
              <w:gridCol w:w="444"/>
              <w:gridCol w:w="2052"/>
              <w:gridCol w:w="2360"/>
              <w:gridCol w:w="441"/>
              <w:gridCol w:w="3047"/>
            </w:tblGrid>
            <w:tr w14:paraId="2FE14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07" w:hRule="atLeast"/>
                <w:tblHeader/>
              </w:trPr>
              <w:tc>
                <w:tcPr>
                  <w:tcW w:w="389" w:type="dxa"/>
                  <w:tcBorders>
                    <w:bottom w:val="single" w:color="000000" w:sz="12" w:space="0"/>
                  </w:tcBorders>
                  <w:vAlign w:val="center"/>
                </w:tcPr>
                <w:p w14:paraId="66906899">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8"/>
                      <w:sz w:val="21"/>
                    </w:rPr>
                    <w:t>序号</w:t>
                  </w:r>
                </w:p>
              </w:tc>
              <w:tc>
                <w:tcPr>
                  <w:tcW w:w="444" w:type="dxa"/>
                  <w:tcBorders>
                    <w:bottom w:val="single" w:color="000000" w:sz="12" w:space="0"/>
                  </w:tcBorders>
                  <w:vAlign w:val="center"/>
                </w:tcPr>
                <w:p w14:paraId="032715A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8"/>
                      <w:sz w:val="21"/>
                    </w:rPr>
                    <w:t>类别</w:t>
                  </w:r>
                </w:p>
              </w:tc>
              <w:tc>
                <w:tcPr>
                  <w:tcW w:w="2052" w:type="dxa"/>
                  <w:tcBorders>
                    <w:bottom w:val="single" w:color="000000" w:sz="12" w:space="0"/>
                  </w:tcBorders>
                  <w:vAlign w:val="center"/>
                </w:tcPr>
                <w:p w14:paraId="7FA19F48">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产污工序</w:t>
                  </w:r>
                </w:p>
              </w:tc>
              <w:tc>
                <w:tcPr>
                  <w:tcW w:w="2360" w:type="dxa"/>
                  <w:tcBorders>
                    <w:bottom w:val="single" w:color="000000" w:sz="12" w:space="0"/>
                  </w:tcBorders>
                  <w:vAlign w:val="center"/>
                </w:tcPr>
                <w:p w14:paraId="4DAD57B1">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污染物名称</w:t>
                  </w:r>
                </w:p>
              </w:tc>
              <w:tc>
                <w:tcPr>
                  <w:tcW w:w="441" w:type="dxa"/>
                  <w:tcBorders>
                    <w:bottom w:val="single" w:color="000000" w:sz="12" w:space="0"/>
                  </w:tcBorders>
                  <w:vAlign w:val="center"/>
                </w:tcPr>
                <w:p w14:paraId="6408AB02">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代号</w:t>
                  </w:r>
                </w:p>
              </w:tc>
              <w:tc>
                <w:tcPr>
                  <w:tcW w:w="3047" w:type="dxa"/>
                  <w:tcBorders>
                    <w:bottom w:val="single" w:color="000000" w:sz="12" w:space="0"/>
                  </w:tcBorders>
                  <w:vAlign w:val="center"/>
                </w:tcPr>
                <w:p w14:paraId="63F769A8">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主要成分</w:t>
                  </w:r>
                </w:p>
              </w:tc>
            </w:tr>
            <w:tr w14:paraId="18648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389" w:type="dxa"/>
                  <w:vMerge w:val="restart"/>
                  <w:tcBorders>
                    <w:top w:val="single" w:color="000000" w:sz="12" w:space="0"/>
                    <w:tl2br w:val="nil"/>
                    <w:tr2bl w:val="nil"/>
                  </w:tcBorders>
                  <w:vAlign w:val="center"/>
                </w:tcPr>
                <w:p w14:paraId="78D7A96D">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6708EC3">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F2565DF">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1CEA2AD">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61C4B80">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1</w:t>
                  </w:r>
                </w:p>
              </w:tc>
              <w:tc>
                <w:tcPr>
                  <w:tcW w:w="444" w:type="dxa"/>
                  <w:vMerge w:val="restart"/>
                  <w:tcBorders>
                    <w:top w:val="single" w:color="000000" w:sz="12" w:space="0"/>
                    <w:tl2br w:val="nil"/>
                    <w:tr2bl w:val="nil"/>
                  </w:tcBorders>
                  <w:vAlign w:val="center"/>
                </w:tcPr>
                <w:p w14:paraId="346F250B">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5D6D615">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r>
                    <w:rPr>
                      <w:rFonts w:ascii="Times New Roman" w:hAnsi="Times New Roman" w:eastAsia="宋体"/>
                      <w:color w:val="auto"/>
                      <w:spacing w:val="-8"/>
                      <w:sz w:val="21"/>
                    </w:rPr>
                    <w:t>废气</w:t>
                  </w:r>
                </w:p>
                <w:p w14:paraId="5D86CF4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2052" w:type="dxa"/>
                  <w:tcBorders>
                    <w:top w:val="single" w:color="000000" w:sz="12" w:space="0"/>
                    <w:tl2br w:val="nil"/>
                    <w:tr2bl w:val="nil"/>
                  </w:tcBorders>
                  <w:shd w:val="clear" w:color="auto" w:fill="auto"/>
                  <w:vAlign w:val="center"/>
                </w:tcPr>
                <w:p w14:paraId="48CD81A1">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4"/>
                      <w:sz w:val="21"/>
                    </w:rPr>
                    <w:t>焊接</w:t>
                  </w:r>
                </w:p>
              </w:tc>
              <w:tc>
                <w:tcPr>
                  <w:tcW w:w="2360" w:type="dxa"/>
                  <w:tcBorders>
                    <w:top w:val="single" w:color="000000" w:sz="12" w:space="0"/>
                    <w:tl2br w:val="nil"/>
                    <w:tr2bl w:val="nil"/>
                  </w:tcBorders>
                  <w:shd w:val="clear" w:color="auto" w:fill="auto"/>
                  <w:vAlign w:val="center"/>
                </w:tcPr>
                <w:p w14:paraId="370AEB12">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焊接废气</w:t>
                  </w:r>
                </w:p>
              </w:tc>
              <w:tc>
                <w:tcPr>
                  <w:tcW w:w="441" w:type="dxa"/>
                  <w:tcBorders>
                    <w:top w:val="single" w:color="000000" w:sz="12" w:space="0"/>
                    <w:tl2br w:val="nil"/>
                    <w:tr2bl w:val="nil"/>
                  </w:tcBorders>
                  <w:shd w:val="clear" w:color="auto" w:fill="auto"/>
                  <w:vAlign w:val="center"/>
                </w:tcPr>
                <w:p w14:paraId="15DDDB82">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1"/>
                      <w:position w:val="1"/>
                      <w:sz w:val="21"/>
                      <w:szCs w:val="20"/>
                    </w:rPr>
                    <w:t>G1</w:t>
                  </w:r>
                </w:p>
              </w:tc>
              <w:tc>
                <w:tcPr>
                  <w:tcW w:w="3047" w:type="dxa"/>
                  <w:tcBorders>
                    <w:top w:val="single" w:color="000000" w:sz="12" w:space="0"/>
                    <w:tl2br w:val="nil"/>
                    <w:tr2bl w:val="nil"/>
                  </w:tcBorders>
                  <w:shd w:val="clear" w:color="auto" w:fill="auto"/>
                  <w:vAlign w:val="center"/>
                </w:tcPr>
                <w:p w14:paraId="0FB9DCFB">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颗粒物</w:t>
                  </w:r>
                </w:p>
              </w:tc>
            </w:tr>
            <w:tr w14:paraId="386CE3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172FA7D7">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29A6A39">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restart"/>
                  <w:tcBorders>
                    <w:tl2br w:val="nil"/>
                    <w:tr2bl w:val="nil"/>
                  </w:tcBorders>
                  <w:shd w:val="clear" w:color="auto" w:fill="auto"/>
                  <w:vAlign w:val="center"/>
                </w:tcPr>
                <w:p w14:paraId="6EB78D5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r>
                    <w:rPr>
                      <w:rFonts w:ascii="Times New Roman" w:hAnsi="Times New Roman" w:eastAsia="宋体"/>
                      <w:color w:val="auto"/>
                      <w:spacing w:val="-8"/>
                      <w:sz w:val="21"/>
                    </w:rPr>
                    <w:t>电泳</w:t>
                  </w:r>
                </w:p>
                <w:p w14:paraId="3619A21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both"/>
                    <w:textAlignment w:val="auto"/>
                    <w:rPr>
                      <w:rFonts w:ascii="Times New Roman" w:hAnsi="Times New Roman" w:eastAsia="宋体"/>
                      <w:color w:val="auto"/>
                      <w:spacing w:val="-4"/>
                      <w:sz w:val="21"/>
                    </w:rPr>
                  </w:pPr>
                </w:p>
              </w:tc>
              <w:tc>
                <w:tcPr>
                  <w:tcW w:w="2360" w:type="dxa"/>
                  <w:tcBorders>
                    <w:tl2br w:val="nil"/>
                    <w:tr2bl w:val="nil"/>
                  </w:tcBorders>
                  <w:shd w:val="clear" w:color="auto" w:fill="auto"/>
                  <w:vAlign w:val="center"/>
                </w:tcPr>
                <w:p w14:paraId="0318B47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1"/>
                      <w:sz w:val="21"/>
                    </w:rPr>
                    <w:t>电泳废气</w:t>
                  </w:r>
                </w:p>
              </w:tc>
              <w:tc>
                <w:tcPr>
                  <w:tcW w:w="441" w:type="dxa"/>
                  <w:tcBorders>
                    <w:tl2br w:val="nil"/>
                    <w:tr2bl w:val="nil"/>
                  </w:tcBorders>
                  <w:shd w:val="clear" w:color="auto" w:fill="auto"/>
                  <w:vAlign w:val="center"/>
                </w:tcPr>
                <w:p w14:paraId="51B4704B">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
                      <w:position w:val="1"/>
                      <w:sz w:val="21"/>
                      <w:szCs w:val="20"/>
                    </w:rPr>
                    <w:t>G2</w:t>
                  </w:r>
                </w:p>
              </w:tc>
              <w:tc>
                <w:tcPr>
                  <w:tcW w:w="3047" w:type="dxa"/>
                  <w:tcBorders>
                    <w:tl2br w:val="nil"/>
                    <w:tr2bl w:val="nil"/>
                  </w:tcBorders>
                  <w:shd w:val="clear" w:color="auto" w:fill="auto"/>
                  <w:vAlign w:val="center"/>
                </w:tcPr>
                <w:p w14:paraId="41B65C9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position w:val="1"/>
                      <w:sz w:val="21"/>
                      <w:lang w:val="en-US" w:eastAsia="zh-CN"/>
                    </w:rPr>
                    <w:t>非甲烷总烃</w:t>
                  </w:r>
                </w:p>
              </w:tc>
            </w:tr>
            <w:tr w14:paraId="1207C9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4FB17330">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24E07B9C">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shd w:val="clear" w:color="auto" w:fill="auto"/>
                  <w:vAlign w:val="center"/>
                </w:tcPr>
                <w:p w14:paraId="5EDC848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p>
              </w:tc>
              <w:tc>
                <w:tcPr>
                  <w:tcW w:w="2360" w:type="dxa"/>
                  <w:tcBorders>
                    <w:tl2br w:val="nil"/>
                    <w:tr2bl w:val="nil"/>
                  </w:tcBorders>
                  <w:shd w:val="clear" w:color="auto" w:fill="auto"/>
                  <w:vAlign w:val="center"/>
                </w:tcPr>
                <w:p w14:paraId="759DE4FB">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2"/>
                      <w:sz w:val="21"/>
                    </w:rPr>
                    <w:t>固化废气</w:t>
                  </w:r>
                </w:p>
              </w:tc>
              <w:tc>
                <w:tcPr>
                  <w:tcW w:w="441" w:type="dxa"/>
                  <w:tcBorders>
                    <w:tl2br w:val="nil"/>
                    <w:tr2bl w:val="nil"/>
                  </w:tcBorders>
                  <w:shd w:val="clear" w:color="auto" w:fill="auto"/>
                  <w:vAlign w:val="center"/>
                </w:tcPr>
                <w:p w14:paraId="3D2AE61F">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
                      <w:position w:val="1"/>
                      <w:sz w:val="21"/>
                      <w:szCs w:val="20"/>
                    </w:rPr>
                    <w:t>G3</w:t>
                  </w:r>
                </w:p>
              </w:tc>
              <w:tc>
                <w:tcPr>
                  <w:tcW w:w="3047" w:type="dxa"/>
                  <w:tcBorders>
                    <w:tl2br w:val="nil"/>
                    <w:tr2bl w:val="nil"/>
                  </w:tcBorders>
                  <w:shd w:val="clear" w:color="auto" w:fill="auto"/>
                  <w:vAlign w:val="center"/>
                </w:tcPr>
                <w:p w14:paraId="123C7FF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hint="eastAsia" w:cs="Times New Roman"/>
                      <w:color w:val="auto"/>
                      <w:spacing w:val="7"/>
                      <w:sz w:val="21"/>
                      <w:szCs w:val="20"/>
                      <w:lang w:eastAsia="zh-CN"/>
                    </w:rPr>
                    <w:t>非甲烷总烃</w:t>
                  </w:r>
                </w:p>
              </w:tc>
            </w:tr>
            <w:tr w14:paraId="313E16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242ABBEE">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471CA7EA">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vAlign w:val="center"/>
                </w:tcPr>
                <w:p w14:paraId="56C1BB1A">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p>
              </w:tc>
              <w:tc>
                <w:tcPr>
                  <w:tcW w:w="2360" w:type="dxa"/>
                  <w:tcBorders>
                    <w:tl2br w:val="nil"/>
                    <w:tr2bl w:val="nil"/>
                  </w:tcBorders>
                  <w:shd w:val="clear" w:color="auto" w:fill="auto"/>
                  <w:vAlign w:val="center"/>
                </w:tcPr>
                <w:p w14:paraId="20B9338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color w:val="auto"/>
                      <w:spacing w:val="4"/>
                      <w:sz w:val="21"/>
                      <w:lang w:val="en-US" w:eastAsia="zh-CN"/>
                    </w:rPr>
                    <w:t>电泳</w:t>
                  </w:r>
                  <w:r>
                    <w:rPr>
                      <w:rFonts w:hint="default" w:ascii="Times New Roman" w:hAnsi="Times New Roman" w:eastAsia="宋体"/>
                      <w:color w:val="auto"/>
                      <w:spacing w:val="4"/>
                      <w:sz w:val="21"/>
                      <w:lang w:val="en-US" w:eastAsia="zh-CN"/>
                    </w:rPr>
                    <w:t>天然气烘干炉</w:t>
                  </w:r>
                  <w:r>
                    <w:rPr>
                      <w:rFonts w:hint="eastAsia" w:ascii="Times New Roman" w:hAnsi="Times New Roman"/>
                      <w:color w:val="auto"/>
                      <w:spacing w:val="4"/>
                      <w:sz w:val="21"/>
                      <w:lang w:val="en-US" w:eastAsia="zh-CN"/>
                    </w:rPr>
                    <w:t>燃烧</w:t>
                  </w:r>
                  <w:r>
                    <w:rPr>
                      <w:rFonts w:ascii="Times New Roman" w:hAnsi="Times New Roman" w:eastAsia="宋体"/>
                      <w:color w:val="auto"/>
                      <w:spacing w:val="5"/>
                      <w:sz w:val="21"/>
                    </w:rPr>
                    <w:t>废气</w:t>
                  </w:r>
                </w:p>
              </w:tc>
              <w:tc>
                <w:tcPr>
                  <w:tcW w:w="441" w:type="dxa"/>
                  <w:tcBorders>
                    <w:tl2br w:val="nil"/>
                    <w:tr2bl w:val="nil"/>
                  </w:tcBorders>
                  <w:shd w:val="clear" w:color="auto" w:fill="auto"/>
                  <w:vAlign w:val="center"/>
                </w:tcPr>
                <w:p w14:paraId="11D0E439">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
                      <w:position w:val="2"/>
                      <w:sz w:val="21"/>
                      <w:szCs w:val="20"/>
                    </w:rPr>
                    <w:t>G4</w:t>
                  </w:r>
                </w:p>
              </w:tc>
              <w:tc>
                <w:tcPr>
                  <w:tcW w:w="3047" w:type="dxa"/>
                  <w:tcBorders>
                    <w:tl2br w:val="nil"/>
                    <w:tr2bl w:val="nil"/>
                  </w:tcBorders>
                  <w:shd w:val="clear" w:color="auto" w:fill="auto"/>
                  <w:vAlign w:val="center"/>
                </w:tcPr>
                <w:p w14:paraId="47305FBE">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Times New Roman"/>
                      <w:color w:val="auto"/>
                      <w:position w:val="1"/>
                      <w:sz w:val="21"/>
                    </w:rPr>
                    <w:t>SO</w:t>
                  </w:r>
                  <w:r>
                    <w:rPr>
                      <w:rFonts w:ascii="Times New Roman" w:hAnsi="Times New Roman" w:eastAsia="宋体" w:cs="Times New Roman"/>
                      <w:color w:val="auto"/>
                      <w:spacing w:val="2"/>
                      <w:sz w:val="21"/>
                      <w:szCs w:val="13"/>
                      <w:vertAlign w:val="subscript"/>
                    </w:rPr>
                    <w:t>2</w:t>
                  </w:r>
                  <w:r>
                    <w:rPr>
                      <w:rFonts w:ascii="Times New Roman" w:hAnsi="Times New Roman" w:eastAsia="宋体"/>
                      <w:color w:val="auto"/>
                      <w:spacing w:val="2"/>
                      <w:position w:val="1"/>
                      <w:sz w:val="21"/>
                    </w:rPr>
                    <w:t>、</w:t>
                  </w:r>
                  <w:r>
                    <w:rPr>
                      <w:rFonts w:ascii="Times New Roman" w:hAnsi="Times New Roman" w:eastAsia="宋体" w:cs="Times New Roman"/>
                      <w:color w:val="auto"/>
                      <w:position w:val="1"/>
                      <w:sz w:val="21"/>
                    </w:rPr>
                    <w:t>NOx</w:t>
                  </w:r>
                  <w:r>
                    <w:rPr>
                      <w:rFonts w:ascii="Times New Roman" w:hAnsi="Times New Roman" w:eastAsia="宋体"/>
                      <w:color w:val="auto"/>
                      <w:spacing w:val="2"/>
                      <w:position w:val="1"/>
                      <w:sz w:val="21"/>
                    </w:rPr>
                    <w:t>、烟尘</w:t>
                  </w:r>
                </w:p>
              </w:tc>
            </w:tr>
            <w:tr w14:paraId="20162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5C86B1EF">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5D9E09D">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restart"/>
                  <w:tcBorders>
                    <w:tl2br w:val="nil"/>
                    <w:tr2bl w:val="nil"/>
                  </w:tcBorders>
                  <w:vAlign w:val="center"/>
                </w:tcPr>
                <w:p w14:paraId="7A6F989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喷粉</w:t>
                  </w:r>
                </w:p>
              </w:tc>
              <w:tc>
                <w:tcPr>
                  <w:tcW w:w="2360" w:type="dxa"/>
                  <w:tcBorders>
                    <w:tl2br w:val="nil"/>
                    <w:tr2bl w:val="nil"/>
                  </w:tcBorders>
                  <w:shd w:val="clear" w:color="auto" w:fill="auto"/>
                  <w:vAlign w:val="center"/>
                </w:tcPr>
                <w:p w14:paraId="7C8A237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喷粉废气</w:t>
                  </w:r>
                </w:p>
              </w:tc>
              <w:tc>
                <w:tcPr>
                  <w:tcW w:w="441" w:type="dxa"/>
                  <w:tcBorders>
                    <w:tl2br w:val="nil"/>
                    <w:tr2bl w:val="nil"/>
                  </w:tcBorders>
                  <w:shd w:val="clear" w:color="auto" w:fill="auto"/>
                  <w:vAlign w:val="center"/>
                </w:tcPr>
                <w:p w14:paraId="5B8AAA7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G5</w:t>
                  </w:r>
                </w:p>
              </w:tc>
              <w:tc>
                <w:tcPr>
                  <w:tcW w:w="3047" w:type="dxa"/>
                  <w:tcBorders>
                    <w:tl2br w:val="nil"/>
                    <w:tr2bl w:val="nil"/>
                  </w:tcBorders>
                  <w:shd w:val="clear" w:color="auto" w:fill="auto"/>
                  <w:vAlign w:val="center"/>
                </w:tcPr>
                <w:p w14:paraId="4AE3848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position w:val="1"/>
                      <w:sz w:val="21"/>
                      <w:lang w:val="en-US" w:eastAsia="zh-CN"/>
                    </w:rPr>
                  </w:pPr>
                  <w:r>
                    <w:rPr>
                      <w:rFonts w:hint="eastAsia" w:ascii="Times New Roman" w:hAnsi="Times New Roman" w:cs="Times New Roman"/>
                      <w:color w:val="auto"/>
                      <w:position w:val="1"/>
                      <w:sz w:val="21"/>
                      <w:lang w:val="en-US" w:eastAsia="zh-CN"/>
                    </w:rPr>
                    <w:t>颗粒物</w:t>
                  </w:r>
                </w:p>
              </w:tc>
            </w:tr>
            <w:tr w14:paraId="6FAADD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3DDB07D3">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4B7F6860">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vAlign w:val="center"/>
                </w:tcPr>
                <w:p w14:paraId="00B5F4BD">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olor w:val="auto"/>
                      <w:spacing w:val="-4"/>
                      <w:sz w:val="21"/>
                      <w:lang w:val="en-US" w:eastAsia="zh-CN"/>
                    </w:rPr>
                  </w:pPr>
                </w:p>
              </w:tc>
              <w:tc>
                <w:tcPr>
                  <w:tcW w:w="2360" w:type="dxa"/>
                  <w:tcBorders>
                    <w:tl2br w:val="nil"/>
                    <w:tr2bl w:val="nil"/>
                  </w:tcBorders>
                  <w:shd w:val="clear" w:color="auto" w:fill="auto"/>
                  <w:vAlign w:val="center"/>
                </w:tcPr>
                <w:p w14:paraId="713DA513">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喷粉固化废气</w:t>
                  </w:r>
                </w:p>
              </w:tc>
              <w:tc>
                <w:tcPr>
                  <w:tcW w:w="441" w:type="dxa"/>
                  <w:tcBorders>
                    <w:tl2br w:val="nil"/>
                    <w:tr2bl w:val="nil"/>
                  </w:tcBorders>
                  <w:shd w:val="clear" w:color="auto" w:fill="auto"/>
                  <w:vAlign w:val="center"/>
                </w:tcPr>
                <w:p w14:paraId="26C8CA27">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G6</w:t>
                  </w:r>
                </w:p>
              </w:tc>
              <w:tc>
                <w:tcPr>
                  <w:tcW w:w="3047" w:type="dxa"/>
                  <w:tcBorders>
                    <w:tl2br w:val="nil"/>
                    <w:tr2bl w:val="nil"/>
                  </w:tcBorders>
                  <w:shd w:val="clear" w:color="auto" w:fill="auto"/>
                  <w:vAlign w:val="center"/>
                </w:tcPr>
                <w:p w14:paraId="06FAC1F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w:t>
                  </w:r>
                </w:p>
              </w:tc>
            </w:tr>
            <w:tr w14:paraId="4E52E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6ADF9EA3">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80869D4">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tcBorders>
                    <w:tl2br w:val="nil"/>
                    <w:tr2bl w:val="nil"/>
                  </w:tcBorders>
                  <w:vAlign w:val="center"/>
                </w:tcPr>
                <w:p w14:paraId="6B64FEA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喷粉、喷漆天然气烘干炉燃烧</w:t>
                  </w:r>
                </w:p>
              </w:tc>
              <w:tc>
                <w:tcPr>
                  <w:tcW w:w="2360" w:type="dxa"/>
                  <w:tcBorders>
                    <w:tl2br w:val="nil"/>
                    <w:tr2bl w:val="nil"/>
                  </w:tcBorders>
                  <w:shd w:val="clear" w:color="auto" w:fill="auto"/>
                  <w:vAlign w:val="center"/>
                </w:tcPr>
                <w:p w14:paraId="6B63DE2E">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喷粉、喷漆天然气烘干炉燃烧</w:t>
                  </w:r>
                  <w:r>
                    <w:rPr>
                      <w:rFonts w:hint="eastAsia" w:ascii="Times New Roman" w:hAnsi="Times New Roman"/>
                      <w:color w:val="auto"/>
                      <w:spacing w:val="4"/>
                      <w:sz w:val="21"/>
                      <w:lang w:val="en-US" w:eastAsia="zh-CN"/>
                    </w:rPr>
                    <w:t>废气</w:t>
                  </w:r>
                </w:p>
              </w:tc>
              <w:tc>
                <w:tcPr>
                  <w:tcW w:w="441" w:type="dxa"/>
                  <w:tcBorders>
                    <w:tl2br w:val="nil"/>
                    <w:tr2bl w:val="nil"/>
                  </w:tcBorders>
                  <w:shd w:val="clear" w:color="auto" w:fill="auto"/>
                  <w:vAlign w:val="center"/>
                </w:tcPr>
                <w:p w14:paraId="5B66A5DD">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G7</w:t>
                  </w:r>
                </w:p>
              </w:tc>
              <w:tc>
                <w:tcPr>
                  <w:tcW w:w="3047" w:type="dxa"/>
                  <w:tcBorders>
                    <w:tl2br w:val="nil"/>
                    <w:tr2bl w:val="nil"/>
                  </w:tcBorders>
                  <w:shd w:val="clear" w:color="auto" w:fill="auto"/>
                  <w:vAlign w:val="center"/>
                </w:tcPr>
                <w:p w14:paraId="071B6CB1">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ascii="Times New Roman" w:hAnsi="Times New Roman" w:eastAsia="宋体" w:cs="Times New Roman"/>
                      <w:color w:val="auto"/>
                      <w:position w:val="1"/>
                      <w:sz w:val="21"/>
                    </w:rPr>
                    <w:t>SO</w:t>
                  </w:r>
                  <w:r>
                    <w:rPr>
                      <w:rFonts w:ascii="Times New Roman" w:hAnsi="Times New Roman" w:eastAsia="宋体" w:cs="Times New Roman"/>
                      <w:color w:val="auto"/>
                      <w:spacing w:val="2"/>
                      <w:sz w:val="21"/>
                      <w:szCs w:val="13"/>
                      <w:vertAlign w:val="subscript"/>
                    </w:rPr>
                    <w:t>2</w:t>
                  </w:r>
                  <w:r>
                    <w:rPr>
                      <w:rFonts w:ascii="Times New Roman" w:hAnsi="Times New Roman" w:eastAsia="宋体"/>
                      <w:color w:val="auto"/>
                      <w:spacing w:val="2"/>
                      <w:position w:val="1"/>
                      <w:sz w:val="21"/>
                    </w:rPr>
                    <w:t>、</w:t>
                  </w:r>
                  <w:r>
                    <w:rPr>
                      <w:rFonts w:ascii="Times New Roman" w:hAnsi="Times New Roman" w:eastAsia="宋体" w:cs="Times New Roman"/>
                      <w:color w:val="auto"/>
                      <w:position w:val="1"/>
                      <w:sz w:val="21"/>
                    </w:rPr>
                    <w:t>NOx</w:t>
                  </w:r>
                  <w:r>
                    <w:rPr>
                      <w:rFonts w:ascii="Times New Roman" w:hAnsi="Times New Roman" w:eastAsia="宋体"/>
                      <w:color w:val="auto"/>
                      <w:spacing w:val="2"/>
                      <w:position w:val="1"/>
                      <w:sz w:val="21"/>
                    </w:rPr>
                    <w:t>、烟尘</w:t>
                  </w:r>
                </w:p>
              </w:tc>
            </w:tr>
            <w:tr w14:paraId="731017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48736CEC">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09BB0B4D">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restart"/>
                  <w:tcBorders>
                    <w:tl2br w:val="nil"/>
                    <w:tr2bl w:val="nil"/>
                  </w:tcBorders>
                  <w:vAlign w:val="center"/>
                </w:tcPr>
                <w:p w14:paraId="5C035DF1">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喷漆</w:t>
                  </w:r>
                </w:p>
              </w:tc>
              <w:tc>
                <w:tcPr>
                  <w:tcW w:w="2360" w:type="dxa"/>
                  <w:tcBorders>
                    <w:tl2br w:val="nil"/>
                    <w:tr2bl w:val="nil"/>
                  </w:tcBorders>
                  <w:shd w:val="clear" w:color="auto" w:fill="auto"/>
                  <w:vAlign w:val="center"/>
                </w:tcPr>
                <w:p w14:paraId="50DF78A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olor w:val="auto"/>
                      <w:spacing w:val="-4"/>
                      <w:sz w:val="21"/>
                      <w:lang w:val="en-US" w:eastAsia="zh-CN"/>
                    </w:rPr>
                    <w:t>调漆</w:t>
                  </w:r>
                  <w:r>
                    <w:rPr>
                      <w:rFonts w:hint="eastAsia" w:ascii="Times New Roman" w:hAnsi="Times New Roman"/>
                      <w:color w:val="auto"/>
                      <w:spacing w:val="4"/>
                      <w:sz w:val="21"/>
                      <w:lang w:val="en-US" w:eastAsia="zh-CN"/>
                    </w:rPr>
                    <w:t>废气</w:t>
                  </w:r>
                </w:p>
              </w:tc>
              <w:tc>
                <w:tcPr>
                  <w:tcW w:w="441" w:type="dxa"/>
                  <w:tcBorders>
                    <w:tl2br w:val="nil"/>
                    <w:tr2bl w:val="nil"/>
                  </w:tcBorders>
                  <w:shd w:val="clear" w:color="auto" w:fill="auto"/>
                  <w:vAlign w:val="center"/>
                </w:tcPr>
                <w:p w14:paraId="6E9FA985">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G8</w:t>
                  </w:r>
                </w:p>
              </w:tc>
              <w:tc>
                <w:tcPr>
                  <w:tcW w:w="3047" w:type="dxa"/>
                  <w:tcBorders>
                    <w:tl2br w:val="nil"/>
                    <w:tr2bl w:val="nil"/>
                  </w:tcBorders>
                  <w:shd w:val="clear" w:color="auto" w:fill="auto"/>
                  <w:vAlign w:val="center"/>
                </w:tcPr>
                <w:p w14:paraId="74677B3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position w:val="1"/>
                      <w:sz w:val="21"/>
                    </w:rPr>
                  </w:pPr>
                  <w:r>
                    <w:rPr>
                      <w:rFonts w:hint="eastAsia" w:ascii="Times New Roman" w:hAnsi="Times New Roman" w:cs="Times New Roman"/>
                      <w:color w:val="auto"/>
                      <w:position w:val="1"/>
                      <w:sz w:val="21"/>
                      <w:lang w:val="en-US" w:eastAsia="zh-CN"/>
                    </w:rPr>
                    <w:t>非甲烷总烃</w:t>
                  </w:r>
                </w:p>
              </w:tc>
            </w:tr>
            <w:tr w14:paraId="4B983F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5309D02E">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7451B54C">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vAlign w:val="center"/>
                </w:tcPr>
                <w:p w14:paraId="30CC25FA">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4"/>
                      <w:sz w:val="21"/>
                      <w:lang w:val="en-US" w:eastAsia="zh-CN"/>
                    </w:rPr>
                  </w:pPr>
                </w:p>
              </w:tc>
              <w:tc>
                <w:tcPr>
                  <w:tcW w:w="2360" w:type="dxa"/>
                  <w:tcBorders>
                    <w:tl2br w:val="nil"/>
                    <w:tr2bl w:val="nil"/>
                  </w:tcBorders>
                  <w:shd w:val="clear" w:color="auto" w:fill="auto"/>
                  <w:vAlign w:val="center"/>
                </w:tcPr>
                <w:p w14:paraId="78547782">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喷漆废气</w:t>
                  </w:r>
                </w:p>
              </w:tc>
              <w:tc>
                <w:tcPr>
                  <w:tcW w:w="441" w:type="dxa"/>
                  <w:tcBorders>
                    <w:tl2br w:val="nil"/>
                    <w:tr2bl w:val="nil"/>
                  </w:tcBorders>
                  <w:shd w:val="clear" w:color="auto" w:fill="auto"/>
                  <w:vAlign w:val="center"/>
                </w:tcPr>
                <w:p w14:paraId="46EF7EF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G9</w:t>
                  </w:r>
                </w:p>
              </w:tc>
              <w:tc>
                <w:tcPr>
                  <w:tcW w:w="3047" w:type="dxa"/>
                  <w:tcBorders>
                    <w:tl2br w:val="nil"/>
                    <w:tr2bl w:val="nil"/>
                  </w:tcBorders>
                  <w:shd w:val="clear" w:color="auto" w:fill="auto"/>
                  <w:vAlign w:val="center"/>
                </w:tcPr>
                <w:p w14:paraId="59A79EB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非甲烷总烃、颗粒物</w:t>
                  </w:r>
                </w:p>
              </w:tc>
            </w:tr>
            <w:tr w14:paraId="3F73D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389" w:type="dxa"/>
                  <w:vMerge w:val="continue"/>
                  <w:tcBorders>
                    <w:tl2br w:val="nil"/>
                    <w:tr2bl w:val="nil"/>
                  </w:tcBorders>
                  <w:vAlign w:val="center"/>
                </w:tcPr>
                <w:p w14:paraId="4B71151F">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3663B511">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vAlign w:val="center"/>
                </w:tcPr>
                <w:p w14:paraId="0C1EB32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olor w:val="auto"/>
                      <w:spacing w:val="-4"/>
                      <w:sz w:val="21"/>
                      <w:lang w:val="en-US" w:eastAsia="zh-CN"/>
                    </w:rPr>
                  </w:pPr>
                </w:p>
              </w:tc>
              <w:tc>
                <w:tcPr>
                  <w:tcW w:w="2360" w:type="dxa"/>
                  <w:tcBorders>
                    <w:tl2br w:val="nil"/>
                    <w:tr2bl w:val="nil"/>
                  </w:tcBorders>
                  <w:shd w:val="clear" w:color="auto" w:fill="auto"/>
                  <w:vAlign w:val="center"/>
                </w:tcPr>
                <w:p w14:paraId="50DA1BC3">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喷漆固化废气</w:t>
                  </w:r>
                </w:p>
              </w:tc>
              <w:tc>
                <w:tcPr>
                  <w:tcW w:w="441" w:type="dxa"/>
                  <w:tcBorders>
                    <w:tl2br w:val="nil"/>
                    <w:tr2bl w:val="nil"/>
                  </w:tcBorders>
                  <w:shd w:val="clear" w:color="auto" w:fill="auto"/>
                  <w:vAlign w:val="center"/>
                </w:tcPr>
                <w:p w14:paraId="7EF7E83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G10</w:t>
                  </w:r>
                </w:p>
              </w:tc>
              <w:tc>
                <w:tcPr>
                  <w:tcW w:w="3047" w:type="dxa"/>
                  <w:tcBorders>
                    <w:tl2br w:val="nil"/>
                    <w:tr2bl w:val="nil"/>
                  </w:tcBorders>
                  <w:shd w:val="clear" w:color="auto" w:fill="auto"/>
                  <w:vAlign w:val="center"/>
                </w:tcPr>
                <w:p w14:paraId="672C123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w:t>
                  </w:r>
                </w:p>
              </w:tc>
            </w:tr>
            <w:tr w14:paraId="48BF93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93" w:hRule="atLeast"/>
                <w:tblHeader/>
              </w:trPr>
              <w:tc>
                <w:tcPr>
                  <w:tcW w:w="389" w:type="dxa"/>
                  <w:vMerge w:val="restart"/>
                  <w:tcBorders>
                    <w:tl2br w:val="nil"/>
                    <w:tr2bl w:val="nil"/>
                  </w:tcBorders>
                  <w:vAlign w:val="center"/>
                </w:tcPr>
                <w:p w14:paraId="4F03CF60">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93812EF">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88FBA6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29C5F1BF">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4BE362F7">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A750B6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2</w:t>
                  </w:r>
                </w:p>
              </w:tc>
              <w:tc>
                <w:tcPr>
                  <w:tcW w:w="444" w:type="dxa"/>
                  <w:vMerge w:val="restart"/>
                  <w:tcBorders>
                    <w:tl2br w:val="nil"/>
                    <w:tr2bl w:val="nil"/>
                  </w:tcBorders>
                  <w:shd w:val="clear" w:color="auto" w:fill="auto"/>
                  <w:vAlign w:val="center"/>
                </w:tcPr>
                <w:p w14:paraId="1C60B1CC">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pacing w:val="-8"/>
                      <w:sz w:val="21"/>
                    </w:rPr>
                    <w:t>废</w:t>
                  </w:r>
                  <w:r>
                    <w:rPr>
                      <w:rFonts w:hint="eastAsia" w:ascii="Times New Roman" w:hAnsi="Times New Roman" w:eastAsia="宋体"/>
                      <w:color w:val="auto"/>
                      <w:spacing w:val="-8"/>
                      <w:sz w:val="21"/>
                      <w:lang w:val="en-US" w:eastAsia="zh-CN"/>
                    </w:rPr>
                    <w:t>水</w:t>
                  </w:r>
                </w:p>
              </w:tc>
              <w:tc>
                <w:tcPr>
                  <w:tcW w:w="2052" w:type="dxa"/>
                  <w:vMerge w:val="restart"/>
                  <w:tcBorders>
                    <w:tl2br w:val="nil"/>
                    <w:tr2bl w:val="nil"/>
                  </w:tcBorders>
                  <w:shd w:val="clear" w:color="auto" w:fill="auto"/>
                  <w:vAlign w:val="center"/>
                </w:tcPr>
                <w:p w14:paraId="23F1638C">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pacing w:val="-2"/>
                      <w:sz w:val="21"/>
                    </w:rPr>
                    <w:t>电泳线</w:t>
                  </w:r>
                </w:p>
              </w:tc>
              <w:tc>
                <w:tcPr>
                  <w:tcW w:w="2360" w:type="dxa"/>
                  <w:tcBorders>
                    <w:tl2br w:val="nil"/>
                    <w:tr2bl w:val="nil"/>
                  </w:tcBorders>
                  <w:shd w:val="clear" w:color="auto" w:fill="auto"/>
                  <w:vAlign w:val="center"/>
                </w:tcPr>
                <w:p w14:paraId="506ACFCC">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hint="eastAsia" w:ascii="Times New Roman" w:hAnsi="Times New Roman"/>
                      <w:color w:val="auto"/>
                      <w:spacing w:val="6"/>
                      <w:sz w:val="21"/>
                      <w:lang w:val="en-US" w:eastAsia="zh-CN"/>
                    </w:rPr>
                    <w:t>纯</w:t>
                  </w:r>
                  <w:r>
                    <w:rPr>
                      <w:rFonts w:ascii="Times New Roman" w:hAnsi="Times New Roman" w:eastAsia="宋体"/>
                      <w:color w:val="auto"/>
                      <w:spacing w:val="6"/>
                      <w:sz w:val="21"/>
                    </w:rPr>
                    <w:t>水洗废水</w:t>
                  </w:r>
                </w:p>
              </w:tc>
              <w:tc>
                <w:tcPr>
                  <w:tcW w:w="441" w:type="dxa"/>
                  <w:tcBorders>
                    <w:tl2br w:val="nil"/>
                    <w:tr2bl w:val="nil"/>
                  </w:tcBorders>
                  <w:shd w:val="clear" w:color="auto" w:fill="auto"/>
                  <w:vAlign w:val="center"/>
                </w:tcPr>
                <w:p w14:paraId="700A48D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4"/>
                      <w:position w:val="2"/>
                      <w:sz w:val="21"/>
                      <w:szCs w:val="20"/>
                    </w:rPr>
                    <w:t>W</w:t>
                  </w:r>
                  <w:r>
                    <w:rPr>
                      <w:rFonts w:hint="eastAsia" w:cs="Times New Roman"/>
                      <w:color w:val="auto"/>
                      <w:spacing w:val="14"/>
                      <w:position w:val="2"/>
                      <w:sz w:val="21"/>
                      <w:szCs w:val="20"/>
                      <w:lang w:val="en-US" w:eastAsia="zh-CN"/>
                    </w:rPr>
                    <w:t>6</w:t>
                  </w:r>
                </w:p>
              </w:tc>
              <w:tc>
                <w:tcPr>
                  <w:tcW w:w="3047" w:type="dxa"/>
                  <w:tcBorders>
                    <w:tl2br w:val="nil"/>
                    <w:tr2bl w:val="nil"/>
                  </w:tcBorders>
                  <w:shd w:val="clear" w:color="auto" w:fill="auto"/>
                  <w:vAlign w:val="center"/>
                </w:tcPr>
                <w:p w14:paraId="557ED413">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z w:val="21"/>
                    </w:rPr>
                    <w:t>类</w:t>
                  </w:r>
                </w:p>
              </w:tc>
            </w:tr>
            <w:tr w14:paraId="2470E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389" w:type="dxa"/>
                  <w:vMerge w:val="continue"/>
                  <w:tcBorders>
                    <w:tl2br w:val="nil"/>
                    <w:tr2bl w:val="nil"/>
                  </w:tcBorders>
                  <w:vAlign w:val="center"/>
                </w:tcPr>
                <w:p w14:paraId="4ABC14D2">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A33A22A">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2052" w:type="dxa"/>
                  <w:vMerge w:val="continue"/>
                  <w:tcBorders>
                    <w:tl2br w:val="nil"/>
                    <w:tr2bl w:val="nil"/>
                  </w:tcBorders>
                  <w:vAlign w:val="center"/>
                </w:tcPr>
                <w:p w14:paraId="4BB06B55">
                  <w:pPr>
                    <w:pStyle w:val="9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olor w:val="auto"/>
                      <w:sz w:val="21"/>
                      <w:highlight w:val="none"/>
                      <w:lang w:val="en-US" w:eastAsia="zh-CN"/>
                    </w:rPr>
                  </w:pPr>
                </w:p>
              </w:tc>
              <w:tc>
                <w:tcPr>
                  <w:tcW w:w="2360" w:type="dxa"/>
                  <w:tcBorders>
                    <w:tl2br w:val="nil"/>
                    <w:tr2bl w:val="nil"/>
                  </w:tcBorders>
                  <w:vAlign w:val="center"/>
                </w:tcPr>
                <w:p w14:paraId="7F2AE76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r>
                    <w:rPr>
                      <w:rFonts w:ascii="Times New Roman" w:hAnsi="Times New Roman" w:eastAsia="宋体"/>
                      <w:color w:val="auto"/>
                      <w:spacing w:val="7"/>
                      <w:sz w:val="21"/>
                    </w:rPr>
                    <w:t>脱脂废水</w:t>
                  </w:r>
                </w:p>
              </w:tc>
              <w:tc>
                <w:tcPr>
                  <w:tcW w:w="441" w:type="dxa"/>
                  <w:tcBorders>
                    <w:tl2br w:val="nil"/>
                    <w:tr2bl w:val="nil"/>
                  </w:tcBorders>
                  <w:shd w:val="clear" w:color="auto" w:fill="auto"/>
                  <w:vAlign w:val="center"/>
                </w:tcPr>
                <w:p w14:paraId="45F33D5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1</w:t>
                  </w:r>
                </w:p>
              </w:tc>
              <w:tc>
                <w:tcPr>
                  <w:tcW w:w="3047" w:type="dxa"/>
                  <w:tcBorders>
                    <w:tl2br w:val="nil"/>
                    <w:tr2bl w:val="nil"/>
                  </w:tcBorders>
                  <w:shd w:val="clear" w:color="auto" w:fill="auto"/>
                  <w:vAlign w:val="center"/>
                </w:tcPr>
                <w:p w14:paraId="33CBA355">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25C6A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389" w:type="dxa"/>
                  <w:vMerge w:val="continue"/>
                  <w:tcBorders>
                    <w:tl2br w:val="nil"/>
                    <w:tr2bl w:val="nil"/>
                  </w:tcBorders>
                  <w:vAlign w:val="center"/>
                </w:tcPr>
                <w:p w14:paraId="5836C58B">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2726009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vMerge w:val="continue"/>
                  <w:tcBorders>
                    <w:tl2br w:val="nil"/>
                    <w:tr2bl w:val="nil"/>
                  </w:tcBorders>
                  <w:vAlign w:val="center"/>
                </w:tcPr>
                <w:p w14:paraId="7D1D2E3B">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p>
              </w:tc>
              <w:tc>
                <w:tcPr>
                  <w:tcW w:w="2360" w:type="dxa"/>
                  <w:vMerge w:val="restart"/>
                  <w:tcBorders>
                    <w:tl2br w:val="nil"/>
                    <w:tr2bl w:val="nil"/>
                  </w:tcBorders>
                  <w:vAlign w:val="center"/>
                </w:tcPr>
                <w:p w14:paraId="7E5A4C4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C8793C4">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脱脂后水洗</w:t>
                  </w:r>
                </w:p>
                <w:p w14:paraId="30BE59E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5"/>
                      <w:sz w:val="21"/>
                    </w:rPr>
                    <w:t>废水</w:t>
                  </w:r>
                </w:p>
              </w:tc>
              <w:tc>
                <w:tcPr>
                  <w:tcW w:w="441" w:type="dxa"/>
                  <w:tcBorders>
                    <w:tl2br w:val="nil"/>
                    <w:tr2bl w:val="nil"/>
                  </w:tcBorders>
                  <w:shd w:val="clear" w:color="auto" w:fill="auto"/>
                  <w:vAlign w:val="center"/>
                </w:tcPr>
                <w:p w14:paraId="62F6E00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2</w:t>
                  </w:r>
                </w:p>
              </w:tc>
              <w:tc>
                <w:tcPr>
                  <w:tcW w:w="3047" w:type="dxa"/>
                  <w:tcBorders>
                    <w:tl2br w:val="nil"/>
                    <w:tr2bl w:val="nil"/>
                  </w:tcBorders>
                  <w:shd w:val="clear" w:color="auto" w:fill="auto"/>
                  <w:vAlign w:val="center"/>
                </w:tcPr>
                <w:p w14:paraId="15F45D77">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3B1D3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389" w:type="dxa"/>
                  <w:vMerge w:val="continue"/>
                  <w:tcBorders>
                    <w:tl2br w:val="nil"/>
                    <w:tr2bl w:val="nil"/>
                  </w:tcBorders>
                  <w:vAlign w:val="center"/>
                </w:tcPr>
                <w:p w14:paraId="0EB19247">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444" w:type="dxa"/>
                  <w:vMerge w:val="continue"/>
                  <w:tcBorders>
                    <w:tl2br w:val="nil"/>
                    <w:tr2bl w:val="nil"/>
                  </w:tcBorders>
                  <w:vAlign w:val="center"/>
                </w:tcPr>
                <w:p w14:paraId="2D8E8DBF">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2052" w:type="dxa"/>
                  <w:vMerge w:val="continue"/>
                  <w:tcBorders>
                    <w:tl2br w:val="nil"/>
                    <w:tr2bl w:val="nil"/>
                  </w:tcBorders>
                  <w:vAlign w:val="center"/>
                </w:tcPr>
                <w:p w14:paraId="2A3E2F2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2360" w:type="dxa"/>
                  <w:vMerge w:val="continue"/>
                  <w:tcBorders>
                    <w:tl2br w:val="nil"/>
                    <w:tr2bl w:val="nil"/>
                  </w:tcBorders>
                  <w:vAlign w:val="center"/>
                </w:tcPr>
                <w:p w14:paraId="49B0BD46">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441" w:type="dxa"/>
                  <w:tcBorders>
                    <w:tl2br w:val="nil"/>
                    <w:tr2bl w:val="nil"/>
                  </w:tcBorders>
                  <w:shd w:val="clear" w:color="auto" w:fill="auto"/>
                  <w:vAlign w:val="center"/>
                </w:tcPr>
                <w:p w14:paraId="09D4779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3</w:t>
                  </w:r>
                </w:p>
              </w:tc>
              <w:tc>
                <w:tcPr>
                  <w:tcW w:w="3047" w:type="dxa"/>
                  <w:tcBorders>
                    <w:tl2br w:val="nil"/>
                    <w:tr2bl w:val="nil"/>
                  </w:tcBorders>
                  <w:shd w:val="clear" w:color="auto" w:fill="auto"/>
                  <w:vAlign w:val="center"/>
                </w:tcPr>
                <w:p w14:paraId="31C3C679">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4EECB0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9" w:hRule="atLeast"/>
                <w:tblHeader/>
              </w:trPr>
              <w:tc>
                <w:tcPr>
                  <w:tcW w:w="389" w:type="dxa"/>
                  <w:vMerge w:val="continue"/>
                  <w:tcBorders>
                    <w:tl2br w:val="nil"/>
                    <w:tr2bl w:val="nil"/>
                  </w:tcBorders>
                  <w:vAlign w:val="center"/>
                </w:tcPr>
                <w:p w14:paraId="3E23DC96">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5443D62B">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2052" w:type="dxa"/>
                  <w:vMerge w:val="continue"/>
                  <w:tcBorders>
                    <w:tl2br w:val="nil"/>
                    <w:tr2bl w:val="nil"/>
                  </w:tcBorders>
                  <w:vAlign w:val="center"/>
                </w:tcPr>
                <w:p w14:paraId="30E9926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p>
              </w:tc>
              <w:tc>
                <w:tcPr>
                  <w:tcW w:w="2360" w:type="dxa"/>
                  <w:vMerge w:val="restart"/>
                  <w:tcBorders>
                    <w:tl2br w:val="nil"/>
                    <w:tr2bl w:val="nil"/>
                  </w:tcBorders>
                  <w:vAlign w:val="center"/>
                </w:tcPr>
                <w:p w14:paraId="19C01C3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483C4C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硅烷后水洗</w:t>
                  </w:r>
                </w:p>
                <w:p w14:paraId="177C1B4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5"/>
                      <w:sz w:val="21"/>
                    </w:rPr>
                    <w:t>废水</w:t>
                  </w:r>
                </w:p>
              </w:tc>
              <w:tc>
                <w:tcPr>
                  <w:tcW w:w="441" w:type="dxa"/>
                  <w:tcBorders>
                    <w:tl2br w:val="nil"/>
                    <w:tr2bl w:val="nil"/>
                  </w:tcBorders>
                  <w:shd w:val="clear" w:color="auto" w:fill="auto"/>
                  <w:vAlign w:val="center"/>
                </w:tcPr>
                <w:p w14:paraId="1E6C781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sz w:val="21"/>
                      <w:szCs w:val="20"/>
                    </w:rPr>
                    <w:t>W</w:t>
                  </w:r>
                  <w:r>
                    <w:rPr>
                      <w:rFonts w:hint="eastAsia" w:cs="Times New Roman"/>
                      <w:color w:val="auto"/>
                      <w:spacing w:val="4"/>
                      <w:sz w:val="21"/>
                      <w:szCs w:val="20"/>
                      <w:lang w:val="en-US" w:eastAsia="zh-CN"/>
                    </w:rPr>
                    <w:t>4</w:t>
                  </w:r>
                </w:p>
              </w:tc>
              <w:tc>
                <w:tcPr>
                  <w:tcW w:w="3047" w:type="dxa"/>
                  <w:tcBorders>
                    <w:tl2br w:val="nil"/>
                    <w:tr2bl w:val="nil"/>
                  </w:tcBorders>
                  <w:shd w:val="clear" w:color="auto" w:fill="auto"/>
                  <w:vAlign w:val="center"/>
                </w:tcPr>
                <w:p w14:paraId="2F17946A">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pacing w:val="-3"/>
                      <w:sz w:val="21"/>
                    </w:rPr>
                    <w:t>pH</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CODcr</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BOD</w:t>
                  </w:r>
                  <w:r>
                    <w:rPr>
                      <w:rFonts w:ascii="Times New Roman" w:hAnsi="Times New Roman" w:eastAsia="宋体" w:cs="Times New Roman"/>
                      <w:color w:val="auto"/>
                      <w:spacing w:val="-3"/>
                      <w:position w:val="-1"/>
                      <w:sz w:val="21"/>
                      <w:szCs w:val="13"/>
                      <w:vertAlign w:val="subscript"/>
                    </w:rPr>
                    <w:t>5</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NH</w:t>
                  </w:r>
                  <w:r>
                    <w:rPr>
                      <w:rFonts w:ascii="Times New Roman" w:hAnsi="Times New Roman" w:eastAsia="宋体" w:cs="Times New Roman"/>
                      <w:color w:val="auto"/>
                      <w:spacing w:val="-3"/>
                      <w:sz w:val="21"/>
                      <w:szCs w:val="13"/>
                      <w:vertAlign w:val="subscript"/>
                    </w:rPr>
                    <w:t>3</w:t>
                  </w:r>
                  <w:r>
                    <w:rPr>
                      <w:rFonts w:ascii="Times New Roman" w:hAnsi="Times New Roman" w:eastAsia="宋体" w:cs="Times New Roman"/>
                      <w:color w:val="auto"/>
                      <w:spacing w:val="-3"/>
                      <w:sz w:val="21"/>
                    </w:rPr>
                    <w:t>-N</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SS</w:t>
                  </w:r>
                  <w:r>
                    <w:rPr>
                      <w:rFonts w:ascii="Times New Roman" w:hAnsi="Times New Roman" w:eastAsia="宋体"/>
                      <w:color w:val="auto"/>
                      <w:spacing w:val="-3"/>
                      <w:sz w:val="21"/>
                    </w:rPr>
                    <w:t>、</w:t>
                  </w:r>
                  <w:r>
                    <w:rPr>
                      <w:rFonts w:ascii="Times New Roman" w:hAnsi="Times New Roman" w:eastAsia="宋体" w:cs="Times New Roman"/>
                      <w:color w:val="auto"/>
                      <w:sz w:val="21"/>
                    </w:rPr>
                    <w:t>TN</w:t>
                  </w:r>
                </w:p>
              </w:tc>
            </w:tr>
            <w:tr w14:paraId="4014E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blHeader/>
              </w:trPr>
              <w:tc>
                <w:tcPr>
                  <w:tcW w:w="389" w:type="dxa"/>
                  <w:vMerge w:val="continue"/>
                  <w:tcBorders>
                    <w:tl2br w:val="nil"/>
                    <w:tr2bl w:val="nil"/>
                  </w:tcBorders>
                  <w:vAlign w:val="center"/>
                </w:tcPr>
                <w:p w14:paraId="53CCB34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444" w:type="dxa"/>
                  <w:vMerge w:val="continue"/>
                  <w:tcBorders>
                    <w:tl2br w:val="nil"/>
                    <w:tr2bl w:val="nil"/>
                  </w:tcBorders>
                  <w:vAlign w:val="center"/>
                </w:tcPr>
                <w:p w14:paraId="4842E2F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2052" w:type="dxa"/>
                  <w:vMerge w:val="continue"/>
                  <w:tcBorders>
                    <w:tl2br w:val="nil"/>
                    <w:tr2bl w:val="nil"/>
                  </w:tcBorders>
                  <w:vAlign w:val="center"/>
                </w:tcPr>
                <w:p w14:paraId="0904042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2360" w:type="dxa"/>
                  <w:vMerge w:val="continue"/>
                  <w:tcBorders>
                    <w:tl2br w:val="nil"/>
                    <w:tr2bl w:val="nil"/>
                  </w:tcBorders>
                  <w:vAlign w:val="center"/>
                </w:tcPr>
                <w:p w14:paraId="53C31FC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441" w:type="dxa"/>
                  <w:tcBorders>
                    <w:tl2br w:val="nil"/>
                    <w:tr2bl w:val="nil"/>
                  </w:tcBorders>
                  <w:shd w:val="clear" w:color="auto" w:fill="auto"/>
                  <w:vAlign w:val="center"/>
                </w:tcPr>
                <w:p w14:paraId="6FB7A36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5</w:t>
                  </w:r>
                </w:p>
              </w:tc>
              <w:tc>
                <w:tcPr>
                  <w:tcW w:w="3047" w:type="dxa"/>
                  <w:tcBorders>
                    <w:tl2br w:val="nil"/>
                    <w:tr2bl w:val="nil"/>
                  </w:tcBorders>
                  <w:shd w:val="clear" w:color="auto" w:fill="auto"/>
                  <w:vAlign w:val="center"/>
                </w:tcPr>
                <w:p w14:paraId="21BC032D">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pacing w:val="-3"/>
                      <w:sz w:val="21"/>
                    </w:rPr>
                    <w:t>pH</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CODcr</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BOD</w:t>
                  </w:r>
                  <w:r>
                    <w:rPr>
                      <w:rFonts w:ascii="Times New Roman" w:hAnsi="Times New Roman" w:eastAsia="宋体" w:cs="Times New Roman"/>
                      <w:color w:val="auto"/>
                      <w:spacing w:val="-3"/>
                      <w:position w:val="-1"/>
                      <w:sz w:val="21"/>
                      <w:szCs w:val="13"/>
                      <w:vertAlign w:val="subscript"/>
                    </w:rPr>
                    <w:t>5</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NH</w:t>
                  </w:r>
                  <w:r>
                    <w:rPr>
                      <w:rFonts w:ascii="Times New Roman" w:hAnsi="Times New Roman" w:eastAsia="宋体" w:cs="Times New Roman"/>
                      <w:color w:val="auto"/>
                      <w:spacing w:val="-3"/>
                      <w:sz w:val="21"/>
                      <w:szCs w:val="13"/>
                      <w:vertAlign w:val="subscript"/>
                    </w:rPr>
                    <w:t>3</w:t>
                  </w:r>
                  <w:r>
                    <w:rPr>
                      <w:rFonts w:ascii="Times New Roman" w:hAnsi="Times New Roman" w:eastAsia="宋体" w:cs="Times New Roman"/>
                      <w:color w:val="auto"/>
                      <w:spacing w:val="-3"/>
                      <w:sz w:val="21"/>
                    </w:rPr>
                    <w:t>-N</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SS</w:t>
                  </w:r>
                  <w:r>
                    <w:rPr>
                      <w:rFonts w:ascii="Times New Roman" w:hAnsi="Times New Roman" w:eastAsia="宋体"/>
                      <w:color w:val="auto"/>
                      <w:spacing w:val="-3"/>
                      <w:sz w:val="21"/>
                    </w:rPr>
                    <w:t>、</w:t>
                  </w:r>
                  <w:r>
                    <w:rPr>
                      <w:rFonts w:ascii="Times New Roman" w:hAnsi="Times New Roman" w:eastAsia="宋体" w:cs="Times New Roman"/>
                      <w:color w:val="auto"/>
                      <w:sz w:val="21"/>
                    </w:rPr>
                    <w:t>TN</w:t>
                  </w:r>
                </w:p>
              </w:tc>
            </w:tr>
            <w:tr w14:paraId="35551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389" w:type="dxa"/>
                  <w:vMerge w:val="continue"/>
                  <w:tcBorders>
                    <w:tl2br w:val="nil"/>
                    <w:tr2bl w:val="nil"/>
                  </w:tcBorders>
                  <w:vAlign w:val="center"/>
                </w:tcPr>
                <w:p w14:paraId="0C1B8CE0">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4165169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2052" w:type="dxa"/>
                  <w:tcBorders>
                    <w:tl2br w:val="nil"/>
                    <w:tr2bl w:val="nil"/>
                  </w:tcBorders>
                  <w:shd w:val="clear" w:color="auto" w:fill="auto"/>
                  <w:vAlign w:val="center"/>
                </w:tcPr>
                <w:p w14:paraId="04078A4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纯水制备</w:t>
                  </w:r>
                </w:p>
              </w:tc>
              <w:tc>
                <w:tcPr>
                  <w:tcW w:w="2360" w:type="dxa"/>
                  <w:tcBorders>
                    <w:tl2br w:val="nil"/>
                    <w:tr2bl w:val="nil"/>
                  </w:tcBorders>
                  <w:shd w:val="clear" w:color="auto" w:fill="auto"/>
                  <w:vAlign w:val="center"/>
                </w:tcPr>
                <w:p w14:paraId="04C907B3">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纯水制备尾</w:t>
                  </w:r>
                </w:p>
                <w:p w14:paraId="65941F6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z w:val="21"/>
                    </w:rPr>
                    <w:t>水</w:t>
                  </w:r>
                </w:p>
              </w:tc>
              <w:tc>
                <w:tcPr>
                  <w:tcW w:w="441" w:type="dxa"/>
                  <w:tcBorders>
                    <w:tl2br w:val="nil"/>
                    <w:tr2bl w:val="nil"/>
                  </w:tcBorders>
                  <w:shd w:val="clear" w:color="auto" w:fill="auto"/>
                  <w:vAlign w:val="center"/>
                </w:tcPr>
                <w:p w14:paraId="23C3CEC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en-US" w:bidi="ar-SA"/>
                    </w:rPr>
                  </w:pPr>
                  <w:r>
                    <w:rPr>
                      <w:rFonts w:ascii="Times New Roman" w:hAnsi="Times New Roman" w:eastAsia="宋体" w:cs="Times New Roman"/>
                      <w:color w:val="auto"/>
                      <w:spacing w:val="4"/>
                      <w:sz w:val="21"/>
                      <w:szCs w:val="20"/>
                    </w:rPr>
                    <w:t>W7</w:t>
                  </w:r>
                </w:p>
              </w:tc>
              <w:tc>
                <w:tcPr>
                  <w:tcW w:w="3047" w:type="dxa"/>
                  <w:tcBorders>
                    <w:tl2br w:val="nil"/>
                    <w:tr2bl w:val="nil"/>
                  </w:tcBorders>
                  <w:shd w:val="clear" w:color="auto" w:fill="auto"/>
                  <w:vAlign w:val="center"/>
                </w:tcPr>
                <w:p w14:paraId="2457259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13"/>
                      <w:sz w:val="21"/>
                    </w:rPr>
                    <w:t>、</w:t>
                  </w:r>
                  <w:r>
                    <w:rPr>
                      <w:rFonts w:ascii="Times New Roman" w:hAnsi="Times New Roman" w:eastAsia="宋体" w:cs="Times New Roman"/>
                      <w:color w:val="auto"/>
                      <w:sz w:val="21"/>
                    </w:rPr>
                    <w:t>CODcr</w:t>
                  </w:r>
                  <w:r>
                    <w:rPr>
                      <w:rFonts w:ascii="Times New Roman" w:hAnsi="Times New Roman" w:eastAsia="宋体"/>
                      <w:color w:val="auto"/>
                      <w:spacing w:val="13"/>
                      <w:sz w:val="21"/>
                    </w:rPr>
                    <w:t>、</w:t>
                  </w:r>
                  <w:r>
                    <w:rPr>
                      <w:rFonts w:ascii="Times New Roman" w:hAnsi="Times New Roman" w:eastAsia="宋体" w:cs="Times New Roman"/>
                      <w:color w:val="auto"/>
                      <w:sz w:val="21"/>
                    </w:rPr>
                    <w:t>SS</w:t>
                  </w:r>
                </w:p>
              </w:tc>
            </w:tr>
            <w:tr w14:paraId="207FB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389" w:type="dxa"/>
                  <w:vMerge w:val="continue"/>
                  <w:tcBorders>
                    <w:tl2br w:val="nil"/>
                    <w:tr2bl w:val="nil"/>
                  </w:tcBorders>
                  <w:vAlign w:val="center"/>
                </w:tcPr>
                <w:p w14:paraId="134B2C9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073EFF9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2052" w:type="dxa"/>
                  <w:tcBorders>
                    <w:tl2br w:val="nil"/>
                    <w:tr2bl w:val="nil"/>
                  </w:tcBorders>
                  <w:shd w:val="clear" w:color="auto" w:fill="auto"/>
                  <w:vAlign w:val="center"/>
                </w:tcPr>
                <w:p w14:paraId="66D0DEC8">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员工生活</w:t>
                  </w:r>
                </w:p>
              </w:tc>
              <w:tc>
                <w:tcPr>
                  <w:tcW w:w="2360" w:type="dxa"/>
                  <w:tcBorders>
                    <w:tl2br w:val="nil"/>
                    <w:tr2bl w:val="nil"/>
                  </w:tcBorders>
                  <w:shd w:val="clear" w:color="auto" w:fill="auto"/>
                  <w:vAlign w:val="center"/>
                </w:tcPr>
                <w:p w14:paraId="7F10686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生活污水</w:t>
                  </w:r>
                </w:p>
              </w:tc>
              <w:tc>
                <w:tcPr>
                  <w:tcW w:w="441" w:type="dxa"/>
                  <w:tcBorders>
                    <w:tl2br w:val="nil"/>
                    <w:tr2bl w:val="nil"/>
                  </w:tcBorders>
                  <w:shd w:val="clear" w:color="auto" w:fill="auto"/>
                  <w:vAlign w:val="center"/>
                </w:tcPr>
                <w:p w14:paraId="55ABD96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en-US" w:bidi="ar-SA"/>
                    </w:rPr>
                  </w:pPr>
                  <w:r>
                    <w:rPr>
                      <w:rFonts w:ascii="Times New Roman" w:hAnsi="Times New Roman" w:eastAsia="宋体" w:cs="Times New Roman"/>
                      <w:color w:val="auto"/>
                      <w:spacing w:val="4"/>
                      <w:position w:val="1"/>
                      <w:sz w:val="21"/>
                      <w:szCs w:val="20"/>
                    </w:rPr>
                    <w:t>W8</w:t>
                  </w:r>
                </w:p>
              </w:tc>
              <w:tc>
                <w:tcPr>
                  <w:tcW w:w="3047" w:type="dxa"/>
                  <w:tcBorders>
                    <w:tl2br w:val="nil"/>
                    <w:tr2bl w:val="nil"/>
                  </w:tcBorders>
                  <w:shd w:val="clear" w:color="auto" w:fill="auto"/>
                  <w:vAlign w:val="center"/>
                </w:tcPr>
                <w:p w14:paraId="72BE7AB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pacing w:val="-1"/>
                      <w:sz w:val="21"/>
                    </w:rPr>
                    <w:t>COD</w:t>
                  </w:r>
                  <w:r>
                    <w:rPr>
                      <w:rFonts w:ascii="Times New Roman" w:hAnsi="Times New Roman" w:eastAsia="宋体" w:cs="Times New Roman"/>
                      <w:color w:val="auto"/>
                      <w:spacing w:val="-1"/>
                      <w:position w:val="-1"/>
                      <w:sz w:val="21"/>
                      <w:szCs w:val="13"/>
                      <w:vertAlign w:val="subscript"/>
                    </w:rPr>
                    <w:t>Cr</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BOD</w:t>
                  </w:r>
                  <w:r>
                    <w:rPr>
                      <w:rFonts w:ascii="Times New Roman" w:hAnsi="Times New Roman" w:eastAsia="宋体" w:cs="Times New Roman"/>
                      <w:color w:val="auto"/>
                      <w:spacing w:val="-1"/>
                      <w:position w:val="-1"/>
                      <w:sz w:val="21"/>
                      <w:szCs w:val="13"/>
                      <w:vertAlign w:val="subscript"/>
                    </w:rPr>
                    <w:t>5</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NH</w:t>
                  </w:r>
                  <w:r>
                    <w:rPr>
                      <w:rFonts w:ascii="Times New Roman" w:hAnsi="Times New Roman" w:eastAsia="宋体" w:cs="Times New Roman"/>
                      <w:color w:val="auto"/>
                      <w:spacing w:val="-1"/>
                      <w:sz w:val="21"/>
                      <w:szCs w:val="13"/>
                      <w:vertAlign w:val="subscript"/>
                    </w:rPr>
                    <w:t>3</w:t>
                  </w:r>
                  <w:r>
                    <w:rPr>
                      <w:rFonts w:ascii="Times New Roman" w:hAnsi="Times New Roman" w:eastAsia="宋体" w:cs="Times New Roman"/>
                      <w:color w:val="auto"/>
                      <w:spacing w:val="-1"/>
                      <w:sz w:val="21"/>
                    </w:rPr>
                    <w:t>-N</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SS</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TN</w:t>
                  </w:r>
                </w:p>
              </w:tc>
            </w:tr>
            <w:tr w14:paraId="230BF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389" w:type="dxa"/>
                  <w:vMerge w:val="continue"/>
                  <w:tcBorders>
                    <w:tl2br w:val="nil"/>
                    <w:tr2bl w:val="nil"/>
                  </w:tcBorders>
                  <w:vAlign w:val="center"/>
                </w:tcPr>
                <w:p w14:paraId="0F03483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E5D262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2052" w:type="dxa"/>
                  <w:tcBorders>
                    <w:tl2br w:val="nil"/>
                    <w:tr2bl w:val="nil"/>
                  </w:tcBorders>
                  <w:shd w:val="clear" w:color="auto" w:fill="auto"/>
                  <w:vAlign w:val="center"/>
                </w:tcPr>
                <w:p w14:paraId="5F7A6434">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5"/>
                      <w:sz w:val="21"/>
                    </w:rPr>
                  </w:pPr>
                  <w:r>
                    <w:rPr>
                      <w:rFonts w:ascii="Times New Roman" w:hAnsi="Times New Roman" w:eastAsia="宋体"/>
                      <w:spacing w:val="-4"/>
                      <w:sz w:val="21"/>
                    </w:rPr>
                    <w:t>喷漆</w:t>
                  </w:r>
                </w:p>
              </w:tc>
              <w:tc>
                <w:tcPr>
                  <w:tcW w:w="2360" w:type="dxa"/>
                  <w:tcBorders>
                    <w:tl2br w:val="nil"/>
                    <w:tr2bl w:val="nil"/>
                  </w:tcBorders>
                  <w:shd w:val="clear" w:color="auto" w:fill="auto"/>
                  <w:vAlign w:val="center"/>
                </w:tcPr>
                <w:p w14:paraId="242D56F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水帘喷漆废水</w:t>
                  </w:r>
                </w:p>
              </w:tc>
              <w:tc>
                <w:tcPr>
                  <w:tcW w:w="441" w:type="dxa"/>
                  <w:tcBorders>
                    <w:tl2br w:val="nil"/>
                    <w:tr2bl w:val="nil"/>
                  </w:tcBorders>
                  <w:shd w:val="clear" w:color="auto" w:fill="auto"/>
                  <w:vAlign w:val="center"/>
                </w:tcPr>
                <w:p w14:paraId="6EC4CC7F">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4"/>
                      <w:position w:val="1"/>
                      <w:sz w:val="21"/>
                      <w:szCs w:val="20"/>
                      <w:lang w:eastAsia="zh-CN"/>
                    </w:rPr>
                  </w:pPr>
                  <w:r>
                    <w:rPr>
                      <w:rFonts w:ascii="Times New Roman" w:hAnsi="Times New Roman" w:eastAsia="宋体" w:cs="Times New Roman"/>
                      <w:color w:val="auto"/>
                      <w:spacing w:val="4"/>
                      <w:position w:val="1"/>
                      <w:sz w:val="21"/>
                      <w:szCs w:val="20"/>
                    </w:rPr>
                    <w:t>W</w:t>
                  </w:r>
                  <w:r>
                    <w:rPr>
                      <w:rFonts w:hint="eastAsia" w:ascii="Times New Roman" w:hAnsi="Times New Roman" w:eastAsia="宋体" w:cs="Times New Roman"/>
                      <w:color w:val="auto"/>
                      <w:spacing w:val="4"/>
                      <w:position w:val="1"/>
                      <w:sz w:val="21"/>
                      <w:szCs w:val="20"/>
                      <w:lang w:val="en-US" w:eastAsia="zh-CN"/>
                    </w:rPr>
                    <w:t>9</w:t>
                  </w:r>
                </w:p>
              </w:tc>
              <w:tc>
                <w:tcPr>
                  <w:tcW w:w="3047" w:type="dxa"/>
                  <w:tcBorders>
                    <w:tl2br w:val="nil"/>
                    <w:tr2bl w:val="nil"/>
                  </w:tcBorders>
                  <w:shd w:val="clear" w:color="auto" w:fill="auto"/>
                  <w:vAlign w:val="center"/>
                </w:tcPr>
                <w:p w14:paraId="264E6E6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spacing w:val="-1"/>
                      <w:sz w:val="21"/>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z w:val="21"/>
                    </w:rPr>
                    <w:t>类</w:t>
                  </w:r>
                </w:p>
              </w:tc>
            </w:tr>
            <w:tr w14:paraId="309C77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restart"/>
                  <w:tcBorders>
                    <w:tl2br w:val="nil"/>
                    <w:tr2bl w:val="nil"/>
                  </w:tcBorders>
                  <w:vAlign w:val="center"/>
                </w:tcPr>
                <w:p w14:paraId="4CD40514">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C75A4DF">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4A6ADBC0">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5EE27D8">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5932C6C">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379060BE">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48A0EEE8">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5E260FF4">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B576AD1">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28B80142">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3</w:t>
                  </w:r>
                </w:p>
              </w:tc>
              <w:tc>
                <w:tcPr>
                  <w:tcW w:w="444" w:type="dxa"/>
                  <w:vMerge w:val="restart"/>
                  <w:tcBorders>
                    <w:tl2br w:val="nil"/>
                    <w:tr2bl w:val="nil"/>
                  </w:tcBorders>
                  <w:vAlign w:val="center"/>
                </w:tcPr>
                <w:p w14:paraId="22CD4E46">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BFE9089">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z w:val="21"/>
                      <w:highlight w:val="none"/>
                      <w:lang w:val="en-US" w:eastAsia="zh-CN"/>
                    </w:rPr>
                  </w:pPr>
                  <w:r>
                    <w:rPr>
                      <w:rFonts w:ascii="Times New Roman" w:hAnsi="Times New Roman" w:eastAsia="宋体"/>
                      <w:color w:val="auto"/>
                      <w:spacing w:val="-8"/>
                      <w:sz w:val="21"/>
                    </w:rPr>
                    <w:t>固废</w:t>
                  </w:r>
                </w:p>
              </w:tc>
              <w:tc>
                <w:tcPr>
                  <w:tcW w:w="2052" w:type="dxa"/>
                  <w:tcBorders>
                    <w:tl2br w:val="nil"/>
                    <w:tr2bl w:val="nil"/>
                  </w:tcBorders>
                  <w:shd w:val="clear" w:color="auto" w:fill="auto"/>
                  <w:vAlign w:val="center"/>
                </w:tcPr>
                <w:p w14:paraId="32137846">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4"/>
                      <w:sz w:val="21"/>
                    </w:rPr>
                    <w:t>焊接</w:t>
                  </w:r>
                </w:p>
              </w:tc>
              <w:tc>
                <w:tcPr>
                  <w:tcW w:w="2360" w:type="dxa"/>
                  <w:tcBorders>
                    <w:tl2br w:val="nil"/>
                    <w:tr2bl w:val="nil"/>
                  </w:tcBorders>
                  <w:shd w:val="clear" w:color="auto" w:fill="auto"/>
                  <w:vAlign w:val="center"/>
                </w:tcPr>
                <w:p w14:paraId="7294EA2B">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c>
                <w:tcPr>
                  <w:tcW w:w="441" w:type="dxa"/>
                  <w:tcBorders>
                    <w:tl2br w:val="nil"/>
                    <w:tr2bl w:val="nil"/>
                  </w:tcBorders>
                  <w:shd w:val="clear" w:color="auto" w:fill="auto"/>
                  <w:vAlign w:val="center"/>
                </w:tcPr>
                <w:p w14:paraId="77911B5A">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7"/>
                      <w:position w:val="1"/>
                      <w:sz w:val="21"/>
                      <w:szCs w:val="20"/>
                    </w:rPr>
                    <w:t>S1</w:t>
                  </w:r>
                </w:p>
              </w:tc>
              <w:tc>
                <w:tcPr>
                  <w:tcW w:w="3047" w:type="dxa"/>
                  <w:tcBorders>
                    <w:tl2br w:val="nil"/>
                    <w:tr2bl w:val="nil"/>
                  </w:tcBorders>
                  <w:shd w:val="clear" w:color="auto" w:fill="auto"/>
                  <w:vAlign w:val="center"/>
                </w:tcPr>
                <w:p w14:paraId="51FCA82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r>
            <w:tr w14:paraId="2A24F1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continue"/>
                  <w:tcBorders>
                    <w:tl2br w:val="nil"/>
                    <w:tr2bl w:val="nil"/>
                  </w:tcBorders>
                  <w:vAlign w:val="center"/>
                </w:tcPr>
                <w:p w14:paraId="6EB10811">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10"/>
                      <w:sz w:val="21"/>
                    </w:rPr>
                  </w:pPr>
                </w:p>
              </w:tc>
              <w:tc>
                <w:tcPr>
                  <w:tcW w:w="444" w:type="dxa"/>
                  <w:vMerge w:val="continue"/>
                  <w:tcBorders>
                    <w:tl2br w:val="nil"/>
                    <w:tr2bl w:val="nil"/>
                  </w:tcBorders>
                  <w:vAlign w:val="center"/>
                </w:tcPr>
                <w:p w14:paraId="4DBFC67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p>
              </w:tc>
              <w:tc>
                <w:tcPr>
                  <w:tcW w:w="2052" w:type="dxa"/>
                  <w:tcBorders>
                    <w:tl2br w:val="nil"/>
                    <w:tr2bl w:val="nil"/>
                  </w:tcBorders>
                  <w:shd w:val="clear" w:color="auto" w:fill="auto"/>
                  <w:vAlign w:val="center"/>
                </w:tcPr>
                <w:p w14:paraId="2FB2260E">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4"/>
                      <w:sz w:val="21"/>
                    </w:rPr>
                    <w:t>装配</w:t>
                  </w:r>
                </w:p>
              </w:tc>
              <w:tc>
                <w:tcPr>
                  <w:tcW w:w="2360" w:type="dxa"/>
                  <w:tcBorders>
                    <w:tl2br w:val="nil"/>
                    <w:tr2bl w:val="nil"/>
                  </w:tcBorders>
                  <w:shd w:val="clear" w:color="auto" w:fill="auto"/>
                  <w:vAlign w:val="center"/>
                </w:tcPr>
                <w:p w14:paraId="47D4285D">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7"/>
                      <w:sz w:val="21"/>
                    </w:rPr>
                    <w:t>废金属料</w:t>
                  </w:r>
                </w:p>
              </w:tc>
              <w:tc>
                <w:tcPr>
                  <w:tcW w:w="441" w:type="dxa"/>
                  <w:tcBorders>
                    <w:tl2br w:val="nil"/>
                    <w:tr2bl w:val="nil"/>
                  </w:tcBorders>
                  <w:shd w:val="clear" w:color="auto" w:fill="auto"/>
                  <w:vAlign w:val="center"/>
                </w:tcPr>
                <w:p w14:paraId="657E6F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pacing w:val="7"/>
                      <w:position w:val="1"/>
                      <w:sz w:val="21"/>
                      <w:szCs w:val="20"/>
                    </w:rPr>
                  </w:pPr>
                  <w:r>
                    <w:rPr>
                      <w:rFonts w:ascii="Times New Roman" w:hAnsi="Times New Roman" w:eastAsia="宋体" w:cs="Times New Roman"/>
                      <w:color w:val="auto"/>
                      <w:spacing w:val="-3"/>
                      <w:sz w:val="21"/>
                      <w:szCs w:val="20"/>
                    </w:rPr>
                    <w:t>S5</w:t>
                  </w:r>
                </w:p>
              </w:tc>
              <w:tc>
                <w:tcPr>
                  <w:tcW w:w="3047" w:type="dxa"/>
                  <w:tcBorders>
                    <w:tl2br w:val="nil"/>
                    <w:tr2bl w:val="nil"/>
                  </w:tcBorders>
                  <w:shd w:val="clear" w:color="auto" w:fill="auto"/>
                  <w:vAlign w:val="center"/>
                </w:tcPr>
                <w:p w14:paraId="70DA828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sz w:val="21"/>
                    </w:rPr>
                    <w:t>废金属零件</w:t>
                  </w:r>
                </w:p>
              </w:tc>
            </w:tr>
            <w:tr w14:paraId="4522E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continue"/>
                  <w:tcBorders>
                    <w:tl2br w:val="nil"/>
                    <w:tr2bl w:val="nil"/>
                  </w:tcBorders>
                  <w:vAlign w:val="center"/>
                </w:tcPr>
                <w:p w14:paraId="5838520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10"/>
                      <w:sz w:val="21"/>
                    </w:rPr>
                  </w:pPr>
                </w:p>
              </w:tc>
              <w:tc>
                <w:tcPr>
                  <w:tcW w:w="444" w:type="dxa"/>
                  <w:vMerge w:val="continue"/>
                  <w:tcBorders>
                    <w:tl2br w:val="nil"/>
                    <w:tr2bl w:val="nil"/>
                  </w:tcBorders>
                  <w:vAlign w:val="center"/>
                </w:tcPr>
                <w:p w14:paraId="2534C86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p>
              </w:tc>
              <w:tc>
                <w:tcPr>
                  <w:tcW w:w="2052" w:type="dxa"/>
                  <w:tcBorders>
                    <w:tl2br w:val="nil"/>
                    <w:tr2bl w:val="nil"/>
                  </w:tcBorders>
                  <w:shd w:val="clear" w:color="auto" w:fill="auto"/>
                  <w:vAlign w:val="center"/>
                </w:tcPr>
                <w:p w14:paraId="4DFB025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1"/>
                      <w:sz w:val="21"/>
                    </w:rPr>
                    <w:t>原料拆包装、产</w:t>
                  </w:r>
                  <w:r>
                    <w:rPr>
                      <w:rFonts w:ascii="Times New Roman" w:hAnsi="Times New Roman" w:eastAsia="宋体"/>
                      <w:color w:val="auto"/>
                      <w:spacing w:val="1"/>
                      <w:sz w:val="21"/>
                    </w:rPr>
                    <w:t>品包装</w:t>
                  </w:r>
                </w:p>
              </w:tc>
              <w:tc>
                <w:tcPr>
                  <w:tcW w:w="2360" w:type="dxa"/>
                  <w:tcBorders>
                    <w:tl2br w:val="nil"/>
                    <w:tr2bl w:val="nil"/>
                  </w:tcBorders>
                  <w:shd w:val="clear" w:color="auto" w:fill="auto"/>
                  <w:vAlign w:val="center"/>
                </w:tcPr>
                <w:p w14:paraId="4008F95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sz w:val="21"/>
                    </w:rPr>
                    <w:t>废一般包装</w:t>
                  </w:r>
                  <w:r>
                    <w:rPr>
                      <w:rFonts w:ascii="Times New Roman" w:hAnsi="Times New Roman" w:eastAsia="宋体"/>
                      <w:color w:val="auto"/>
                      <w:spacing w:val="4"/>
                      <w:sz w:val="21"/>
                    </w:rPr>
                    <w:t>材料</w:t>
                  </w:r>
                </w:p>
              </w:tc>
              <w:tc>
                <w:tcPr>
                  <w:tcW w:w="441" w:type="dxa"/>
                  <w:tcBorders>
                    <w:tl2br w:val="nil"/>
                    <w:tr2bl w:val="nil"/>
                  </w:tcBorders>
                  <w:shd w:val="clear" w:color="auto" w:fill="auto"/>
                  <w:vAlign w:val="center"/>
                </w:tcPr>
                <w:p w14:paraId="2A76DCF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pacing w:val="7"/>
                      <w:position w:val="1"/>
                      <w:sz w:val="21"/>
                      <w:szCs w:val="20"/>
                    </w:rPr>
                  </w:pPr>
                  <w:r>
                    <w:rPr>
                      <w:rFonts w:ascii="Times New Roman" w:hAnsi="Times New Roman" w:eastAsia="宋体" w:cs="Times New Roman"/>
                      <w:color w:val="auto"/>
                      <w:spacing w:val="-3"/>
                      <w:sz w:val="21"/>
                      <w:szCs w:val="20"/>
                    </w:rPr>
                    <w:t>S7</w:t>
                  </w:r>
                </w:p>
              </w:tc>
              <w:tc>
                <w:tcPr>
                  <w:tcW w:w="3047" w:type="dxa"/>
                  <w:tcBorders>
                    <w:tl2br w:val="nil"/>
                    <w:tr2bl w:val="nil"/>
                  </w:tcBorders>
                  <w:shd w:val="clear" w:color="auto" w:fill="auto"/>
                  <w:vAlign w:val="center"/>
                </w:tcPr>
                <w:p w14:paraId="1103444D">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position w:val="1"/>
                      <w:sz w:val="21"/>
                    </w:rPr>
                    <w:t>废纸、塑料袋</w:t>
                  </w:r>
                  <w:r>
                    <w:rPr>
                      <w:rFonts w:ascii="Times New Roman" w:hAnsi="Times New Roman" w:eastAsia="宋体" w:cs="Times New Roman"/>
                      <w:color w:val="auto"/>
                      <w:spacing w:val="8"/>
                      <w:position w:val="1"/>
                      <w:sz w:val="21"/>
                    </w:rPr>
                    <w:t>/</w:t>
                  </w:r>
                  <w:r>
                    <w:rPr>
                      <w:rFonts w:ascii="Times New Roman" w:hAnsi="Times New Roman" w:eastAsia="宋体"/>
                      <w:color w:val="auto"/>
                      <w:spacing w:val="8"/>
                      <w:position w:val="1"/>
                      <w:sz w:val="21"/>
                    </w:rPr>
                    <w:t>膜、纸箱等</w:t>
                  </w:r>
                </w:p>
              </w:tc>
            </w:tr>
            <w:tr w14:paraId="3C81C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389" w:type="dxa"/>
                  <w:vMerge w:val="continue"/>
                  <w:tcBorders>
                    <w:tl2br w:val="nil"/>
                    <w:tr2bl w:val="nil"/>
                  </w:tcBorders>
                  <w:vAlign w:val="center"/>
                </w:tcPr>
                <w:p w14:paraId="43DF01EE">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01AFAD7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2052" w:type="dxa"/>
                  <w:tcBorders>
                    <w:tl2br w:val="nil"/>
                    <w:tr2bl w:val="nil"/>
                  </w:tcBorders>
                  <w:shd w:val="clear" w:color="auto" w:fill="auto"/>
                  <w:vAlign w:val="center"/>
                </w:tcPr>
                <w:p w14:paraId="46B702B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8"/>
                      <w:sz w:val="21"/>
                    </w:rPr>
                    <w:t>脱脂槽槽液过</w:t>
                  </w:r>
                  <w:r>
                    <w:rPr>
                      <w:rFonts w:ascii="Times New Roman" w:hAnsi="Times New Roman" w:eastAsia="宋体"/>
                      <w:color w:val="auto"/>
                      <w:sz w:val="21"/>
                    </w:rPr>
                    <w:t>滤</w:t>
                  </w:r>
                </w:p>
              </w:tc>
              <w:tc>
                <w:tcPr>
                  <w:tcW w:w="2360" w:type="dxa"/>
                  <w:tcBorders>
                    <w:tl2br w:val="nil"/>
                    <w:tr2bl w:val="nil"/>
                  </w:tcBorders>
                  <w:shd w:val="clear" w:color="auto" w:fill="auto"/>
                  <w:vAlign w:val="center"/>
                </w:tcPr>
                <w:p w14:paraId="6384E9ED">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废过滤物</w:t>
                  </w:r>
                </w:p>
              </w:tc>
              <w:tc>
                <w:tcPr>
                  <w:tcW w:w="441" w:type="dxa"/>
                  <w:tcBorders>
                    <w:tl2br w:val="nil"/>
                    <w:tr2bl w:val="nil"/>
                  </w:tcBorders>
                  <w:shd w:val="clear" w:color="auto" w:fill="auto"/>
                  <w:vAlign w:val="center"/>
                </w:tcPr>
                <w:p w14:paraId="377AEB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S2</w:t>
                  </w:r>
                </w:p>
              </w:tc>
              <w:tc>
                <w:tcPr>
                  <w:tcW w:w="3047" w:type="dxa"/>
                  <w:tcBorders>
                    <w:tl2br w:val="nil"/>
                    <w:tr2bl w:val="nil"/>
                  </w:tcBorders>
                  <w:shd w:val="clear" w:color="auto" w:fill="auto"/>
                  <w:vAlign w:val="center"/>
                </w:tcPr>
                <w:p w14:paraId="5CCE3E19">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沾染过滤物的废过滤袋等</w:t>
                  </w:r>
                </w:p>
              </w:tc>
            </w:tr>
            <w:tr w14:paraId="170CA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4B17C1B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0F4443B">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2052" w:type="dxa"/>
                  <w:tcBorders>
                    <w:tl2br w:val="nil"/>
                    <w:tr2bl w:val="nil"/>
                  </w:tcBorders>
                  <w:shd w:val="clear" w:color="auto" w:fill="auto"/>
                  <w:vAlign w:val="center"/>
                </w:tcPr>
                <w:p w14:paraId="0B2B53F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化学品拆包装</w:t>
                  </w:r>
                </w:p>
              </w:tc>
              <w:tc>
                <w:tcPr>
                  <w:tcW w:w="2360" w:type="dxa"/>
                  <w:tcBorders>
                    <w:tl2br w:val="nil"/>
                    <w:tr2bl w:val="nil"/>
                  </w:tcBorders>
                  <w:shd w:val="clear" w:color="auto" w:fill="auto"/>
                  <w:vAlign w:val="center"/>
                </w:tcPr>
                <w:p w14:paraId="51AC54E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废化学品包</w:t>
                  </w:r>
                  <w:r>
                    <w:rPr>
                      <w:rFonts w:ascii="Times New Roman" w:hAnsi="Times New Roman" w:eastAsia="宋体"/>
                      <w:color w:val="auto"/>
                      <w:sz w:val="21"/>
                    </w:rPr>
                    <w:t>装</w:t>
                  </w:r>
                </w:p>
              </w:tc>
              <w:tc>
                <w:tcPr>
                  <w:tcW w:w="441" w:type="dxa"/>
                  <w:tcBorders>
                    <w:tl2br w:val="nil"/>
                    <w:tr2bl w:val="nil"/>
                  </w:tcBorders>
                  <w:shd w:val="clear" w:color="auto" w:fill="auto"/>
                  <w:vAlign w:val="center"/>
                </w:tcPr>
                <w:p w14:paraId="10CBB5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S3</w:t>
                  </w:r>
                </w:p>
              </w:tc>
              <w:tc>
                <w:tcPr>
                  <w:tcW w:w="3047" w:type="dxa"/>
                  <w:tcBorders>
                    <w:tl2br w:val="nil"/>
                    <w:tr2bl w:val="nil"/>
                  </w:tcBorders>
                  <w:shd w:val="clear" w:color="auto" w:fill="auto"/>
                  <w:vAlign w:val="center"/>
                </w:tcPr>
                <w:p w14:paraId="2CD92510">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沾有化学品的包装物</w:t>
                  </w:r>
                </w:p>
              </w:tc>
            </w:tr>
            <w:tr w14:paraId="5AD23A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6B9DACEC">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5062525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2052" w:type="dxa"/>
                  <w:tcBorders>
                    <w:tl2br w:val="nil"/>
                    <w:tr2bl w:val="nil"/>
                  </w:tcBorders>
                  <w:shd w:val="clear" w:color="auto" w:fill="auto"/>
                  <w:vAlign w:val="center"/>
                </w:tcPr>
                <w:p w14:paraId="74CB2FA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8"/>
                      <w:sz w:val="21"/>
                    </w:rPr>
                    <w:t>电泳</w:t>
                  </w:r>
                </w:p>
              </w:tc>
              <w:tc>
                <w:tcPr>
                  <w:tcW w:w="2360" w:type="dxa"/>
                  <w:tcBorders>
                    <w:tl2br w:val="nil"/>
                    <w:tr2bl w:val="nil"/>
                  </w:tcBorders>
                  <w:shd w:val="clear" w:color="auto" w:fill="auto"/>
                  <w:vAlign w:val="center"/>
                </w:tcPr>
                <w:p w14:paraId="7E5A954E">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废涂料桶</w:t>
                  </w:r>
                </w:p>
              </w:tc>
              <w:tc>
                <w:tcPr>
                  <w:tcW w:w="441" w:type="dxa"/>
                  <w:tcBorders>
                    <w:tl2br w:val="nil"/>
                    <w:tr2bl w:val="nil"/>
                  </w:tcBorders>
                  <w:shd w:val="clear" w:color="auto" w:fill="auto"/>
                  <w:vAlign w:val="center"/>
                </w:tcPr>
                <w:p w14:paraId="390B31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1"/>
                      <w:sz w:val="21"/>
                      <w:szCs w:val="20"/>
                    </w:rPr>
                    <w:t>S4</w:t>
                  </w:r>
                </w:p>
              </w:tc>
              <w:tc>
                <w:tcPr>
                  <w:tcW w:w="3047" w:type="dxa"/>
                  <w:tcBorders>
                    <w:tl2br w:val="nil"/>
                    <w:tr2bl w:val="nil"/>
                  </w:tcBorders>
                  <w:shd w:val="clear" w:color="auto" w:fill="auto"/>
                  <w:vAlign w:val="center"/>
                </w:tcPr>
                <w:p w14:paraId="2E653CE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沾有水性涂料的包装物</w:t>
                  </w:r>
                </w:p>
              </w:tc>
            </w:tr>
            <w:tr w14:paraId="5C641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640FBDF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314F94D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auto"/>
                      <w:sz w:val="21"/>
                      <w:highlight w:val="none"/>
                      <w:lang w:eastAsia="zh-CN"/>
                    </w:rPr>
                  </w:pPr>
                </w:p>
              </w:tc>
              <w:tc>
                <w:tcPr>
                  <w:tcW w:w="2052" w:type="dxa"/>
                  <w:tcBorders>
                    <w:tl2br w:val="nil"/>
                    <w:tr2bl w:val="nil"/>
                  </w:tcBorders>
                  <w:shd w:val="clear" w:color="auto" w:fill="auto"/>
                  <w:vAlign w:val="center"/>
                </w:tcPr>
                <w:p w14:paraId="232D89AB">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1"/>
                      <w:sz w:val="21"/>
                    </w:rPr>
                    <w:t>装配、设备维护</w:t>
                  </w:r>
                </w:p>
                <w:p w14:paraId="1E68726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保养</w:t>
                  </w:r>
                </w:p>
              </w:tc>
              <w:tc>
                <w:tcPr>
                  <w:tcW w:w="2360" w:type="dxa"/>
                  <w:tcBorders>
                    <w:tl2br w:val="nil"/>
                    <w:tr2bl w:val="nil"/>
                  </w:tcBorders>
                  <w:shd w:val="clear" w:color="auto" w:fill="auto"/>
                  <w:vAlign w:val="center"/>
                </w:tcPr>
                <w:p w14:paraId="1DC16765">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废含油抹布</w:t>
                  </w:r>
                </w:p>
                <w:p w14:paraId="7A4E34B2">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手套</w:t>
                  </w:r>
                </w:p>
              </w:tc>
              <w:tc>
                <w:tcPr>
                  <w:tcW w:w="441" w:type="dxa"/>
                  <w:tcBorders>
                    <w:tl2br w:val="nil"/>
                    <w:tr2bl w:val="nil"/>
                  </w:tcBorders>
                  <w:shd w:val="clear" w:color="auto" w:fill="auto"/>
                  <w:vAlign w:val="center"/>
                </w:tcPr>
                <w:p w14:paraId="0855F3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S6</w:t>
                  </w:r>
                </w:p>
              </w:tc>
              <w:tc>
                <w:tcPr>
                  <w:tcW w:w="3047" w:type="dxa"/>
                  <w:tcBorders>
                    <w:tl2br w:val="nil"/>
                    <w:tr2bl w:val="nil"/>
                  </w:tcBorders>
                  <w:shd w:val="clear" w:color="auto" w:fill="auto"/>
                  <w:vAlign w:val="center"/>
                </w:tcPr>
                <w:p w14:paraId="42027F88">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沾染机油的抹布、手套</w:t>
                  </w:r>
                </w:p>
              </w:tc>
            </w:tr>
            <w:tr w14:paraId="1B8F6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059E6279">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F6CEF3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1AC7C4FA">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纯水制备</w:t>
                  </w:r>
                </w:p>
              </w:tc>
              <w:tc>
                <w:tcPr>
                  <w:tcW w:w="2360" w:type="dxa"/>
                  <w:tcBorders>
                    <w:tl2br w:val="nil"/>
                    <w:tr2bl w:val="nil"/>
                  </w:tcBorders>
                  <w:shd w:val="clear" w:color="auto" w:fill="auto"/>
                  <w:vAlign w:val="center"/>
                </w:tcPr>
                <w:p w14:paraId="6C8ABB2C">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废弃纯水制</w:t>
                  </w:r>
                </w:p>
                <w:p w14:paraId="3D0B526C">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备耗材</w:t>
                  </w:r>
                </w:p>
              </w:tc>
              <w:tc>
                <w:tcPr>
                  <w:tcW w:w="441" w:type="dxa"/>
                  <w:tcBorders>
                    <w:tl2br w:val="nil"/>
                    <w:tr2bl w:val="nil"/>
                  </w:tcBorders>
                  <w:shd w:val="clear" w:color="auto" w:fill="auto"/>
                  <w:vAlign w:val="center"/>
                </w:tcPr>
                <w:p w14:paraId="5245B7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S8</w:t>
                  </w:r>
                </w:p>
              </w:tc>
              <w:tc>
                <w:tcPr>
                  <w:tcW w:w="3047" w:type="dxa"/>
                  <w:tcBorders>
                    <w:tl2br w:val="nil"/>
                    <w:tr2bl w:val="nil"/>
                  </w:tcBorders>
                  <w:shd w:val="clear" w:color="auto" w:fill="auto"/>
                  <w:vAlign w:val="center"/>
                </w:tcPr>
                <w:p w14:paraId="6BA0B9A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废</w:t>
                  </w:r>
                  <w:r>
                    <w:rPr>
                      <w:rFonts w:ascii="Times New Roman" w:hAnsi="Times New Roman" w:eastAsia="宋体" w:cs="Times New Roman"/>
                      <w:color w:val="auto"/>
                      <w:sz w:val="21"/>
                    </w:rPr>
                    <w:t>RO</w:t>
                  </w:r>
                  <w:r>
                    <w:rPr>
                      <w:rFonts w:ascii="Times New Roman" w:hAnsi="Times New Roman" w:eastAsia="宋体"/>
                      <w:color w:val="auto"/>
                      <w:spacing w:val="9"/>
                      <w:sz w:val="21"/>
                    </w:rPr>
                    <w:t>膜、废过滤器、废离子交</w:t>
                  </w:r>
                  <w:r>
                    <w:rPr>
                      <w:rFonts w:ascii="Times New Roman" w:hAnsi="Times New Roman" w:eastAsia="宋体"/>
                      <w:color w:val="auto"/>
                      <w:spacing w:val="6"/>
                      <w:sz w:val="21"/>
                    </w:rPr>
                    <w:t>换树脂</w:t>
                  </w:r>
                </w:p>
              </w:tc>
            </w:tr>
            <w:tr w14:paraId="23C739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389" w:type="dxa"/>
                  <w:vMerge w:val="continue"/>
                  <w:tcBorders>
                    <w:tl2br w:val="nil"/>
                    <w:tr2bl w:val="nil"/>
                  </w:tcBorders>
                  <w:vAlign w:val="center"/>
                </w:tcPr>
                <w:p w14:paraId="5DEE90C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493985AE">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1DA3C7BA">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设备维护保养</w:t>
                  </w:r>
                </w:p>
              </w:tc>
              <w:tc>
                <w:tcPr>
                  <w:tcW w:w="2360" w:type="dxa"/>
                  <w:tcBorders>
                    <w:tl2br w:val="nil"/>
                    <w:tr2bl w:val="nil"/>
                  </w:tcBorders>
                  <w:shd w:val="clear" w:color="auto" w:fill="auto"/>
                  <w:vAlign w:val="center"/>
                </w:tcPr>
                <w:p w14:paraId="7F14CFB5">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废机油</w:t>
                  </w:r>
                </w:p>
              </w:tc>
              <w:tc>
                <w:tcPr>
                  <w:tcW w:w="441" w:type="dxa"/>
                  <w:tcBorders>
                    <w:tl2br w:val="nil"/>
                    <w:tr2bl w:val="nil"/>
                  </w:tcBorders>
                  <w:shd w:val="clear" w:color="auto" w:fill="auto"/>
                  <w:vAlign w:val="center"/>
                </w:tcPr>
                <w:p w14:paraId="10E13D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1"/>
                      <w:sz w:val="21"/>
                      <w:szCs w:val="20"/>
                    </w:rPr>
                    <w:t>S9</w:t>
                  </w:r>
                </w:p>
              </w:tc>
              <w:tc>
                <w:tcPr>
                  <w:tcW w:w="3047" w:type="dxa"/>
                  <w:tcBorders>
                    <w:tl2br w:val="nil"/>
                    <w:tr2bl w:val="nil"/>
                  </w:tcBorders>
                  <w:shd w:val="clear" w:color="auto" w:fill="auto"/>
                  <w:vAlign w:val="center"/>
                </w:tcPr>
                <w:p w14:paraId="4EA92E5B">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废矿物油</w:t>
                  </w:r>
                </w:p>
              </w:tc>
            </w:tr>
            <w:tr w14:paraId="73904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4AAC782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A43533C">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4002601E">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设备维护保养</w:t>
                  </w:r>
                </w:p>
              </w:tc>
              <w:tc>
                <w:tcPr>
                  <w:tcW w:w="2360" w:type="dxa"/>
                  <w:tcBorders>
                    <w:tl2br w:val="nil"/>
                    <w:tr2bl w:val="nil"/>
                  </w:tcBorders>
                  <w:shd w:val="clear" w:color="auto" w:fill="auto"/>
                  <w:vAlign w:val="center"/>
                </w:tcPr>
                <w:p w14:paraId="7431D8DF">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废油桶</w:t>
                  </w:r>
                </w:p>
              </w:tc>
              <w:tc>
                <w:tcPr>
                  <w:tcW w:w="441" w:type="dxa"/>
                  <w:tcBorders>
                    <w:tl2br w:val="nil"/>
                    <w:tr2bl w:val="nil"/>
                  </w:tcBorders>
                  <w:shd w:val="clear" w:color="auto" w:fill="auto"/>
                  <w:vAlign w:val="center"/>
                </w:tcPr>
                <w:p w14:paraId="6D5A961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10</w:t>
                  </w:r>
                </w:p>
              </w:tc>
              <w:tc>
                <w:tcPr>
                  <w:tcW w:w="3047" w:type="dxa"/>
                  <w:tcBorders>
                    <w:tl2br w:val="nil"/>
                    <w:tr2bl w:val="nil"/>
                  </w:tcBorders>
                  <w:shd w:val="clear" w:color="auto" w:fill="auto"/>
                  <w:vAlign w:val="center"/>
                </w:tcPr>
                <w:p w14:paraId="65BDAB64">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沾染矿物油的包装物</w:t>
                  </w:r>
                </w:p>
              </w:tc>
            </w:tr>
            <w:tr w14:paraId="43C85D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53B8B18C">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2631AE32">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5BF37B8C">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污水处理设施</w:t>
                  </w:r>
                </w:p>
              </w:tc>
              <w:tc>
                <w:tcPr>
                  <w:tcW w:w="2360" w:type="dxa"/>
                  <w:tcBorders>
                    <w:tl2br w:val="nil"/>
                    <w:tr2bl w:val="nil"/>
                  </w:tcBorders>
                  <w:shd w:val="clear" w:color="auto" w:fill="auto"/>
                  <w:vAlign w:val="center"/>
                </w:tcPr>
                <w:p w14:paraId="228F341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废水处理污</w:t>
                  </w:r>
                  <w:r>
                    <w:rPr>
                      <w:rFonts w:ascii="Times New Roman" w:hAnsi="Times New Roman" w:eastAsia="宋体"/>
                      <w:color w:val="auto"/>
                      <w:sz w:val="21"/>
                    </w:rPr>
                    <w:t>泥</w:t>
                  </w:r>
                </w:p>
              </w:tc>
              <w:tc>
                <w:tcPr>
                  <w:tcW w:w="441" w:type="dxa"/>
                  <w:tcBorders>
                    <w:tl2br w:val="nil"/>
                    <w:tr2bl w:val="nil"/>
                  </w:tcBorders>
                  <w:shd w:val="clear" w:color="auto" w:fill="auto"/>
                  <w:vAlign w:val="center"/>
                </w:tcPr>
                <w:p w14:paraId="0E670C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2"/>
                      <w:sz w:val="21"/>
                      <w:szCs w:val="20"/>
                    </w:rPr>
                    <w:t>S</w:t>
                  </w:r>
                  <w:r>
                    <w:rPr>
                      <w:rFonts w:ascii="Times New Roman" w:hAnsi="Times New Roman" w:eastAsia="宋体" w:cs="Times New Roman"/>
                      <w:color w:val="auto"/>
                      <w:spacing w:val="-27"/>
                      <w:position w:val="2"/>
                      <w:sz w:val="21"/>
                      <w:szCs w:val="20"/>
                    </w:rPr>
                    <w:t xml:space="preserve"> </w:t>
                  </w:r>
                  <w:r>
                    <w:rPr>
                      <w:rFonts w:ascii="Times New Roman" w:hAnsi="Times New Roman" w:eastAsia="宋体" w:cs="Times New Roman"/>
                      <w:color w:val="auto"/>
                      <w:spacing w:val="-8"/>
                      <w:position w:val="2"/>
                      <w:sz w:val="21"/>
                      <w:szCs w:val="20"/>
                    </w:rPr>
                    <w:t>11</w:t>
                  </w:r>
                </w:p>
              </w:tc>
              <w:tc>
                <w:tcPr>
                  <w:tcW w:w="3047" w:type="dxa"/>
                  <w:tcBorders>
                    <w:tl2br w:val="nil"/>
                    <w:tr2bl w:val="nil"/>
                  </w:tcBorders>
                  <w:shd w:val="clear" w:color="auto" w:fill="auto"/>
                  <w:vAlign w:val="center"/>
                </w:tcPr>
                <w:p w14:paraId="3FA298C0">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3"/>
                      <w:sz w:val="21"/>
                    </w:rPr>
                    <w:t>污泥</w:t>
                  </w:r>
                </w:p>
              </w:tc>
            </w:tr>
            <w:tr w14:paraId="3C620B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1D02661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B3A847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606C3114">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活性炭装置</w:t>
                  </w:r>
                </w:p>
              </w:tc>
              <w:tc>
                <w:tcPr>
                  <w:tcW w:w="2360" w:type="dxa"/>
                  <w:tcBorders>
                    <w:tl2br w:val="nil"/>
                    <w:tr2bl w:val="nil"/>
                  </w:tcBorders>
                  <w:shd w:val="clear" w:color="auto" w:fill="auto"/>
                  <w:vAlign w:val="center"/>
                </w:tcPr>
                <w:p w14:paraId="4CBAC56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废活性炭</w:t>
                  </w:r>
                </w:p>
              </w:tc>
              <w:tc>
                <w:tcPr>
                  <w:tcW w:w="441" w:type="dxa"/>
                  <w:tcBorders>
                    <w:tl2br w:val="nil"/>
                    <w:tr2bl w:val="nil"/>
                  </w:tcBorders>
                  <w:shd w:val="clear" w:color="auto" w:fill="auto"/>
                  <w:vAlign w:val="center"/>
                </w:tcPr>
                <w:p w14:paraId="192354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12</w:t>
                  </w:r>
                </w:p>
              </w:tc>
              <w:tc>
                <w:tcPr>
                  <w:tcW w:w="3047" w:type="dxa"/>
                  <w:tcBorders>
                    <w:tl2br w:val="nil"/>
                    <w:tr2bl w:val="nil"/>
                  </w:tcBorders>
                  <w:shd w:val="clear" w:color="auto" w:fill="auto"/>
                  <w:vAlign w:val="center"/>
                </w:tcPr>
                <w:p w14:paraId="734EB73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吸附废气的活性炭</w:t>
                  </w:r>
                </w:p>
              </w:tc>
            </w:tr>
            <w:tr w14:paraId="575D4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400522D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76F7D75E">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2BB6E6BE">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超滤系统</w:t>
                  </w:r>
                </w:p>
              </w:tc>
              <w:tc>
                <w:tcPr>
                  <w:tcW w:w="2360" w:type="dxa"/>
                  <w:tcBorders>
                    <w:tl2br w:val="nil"/>
                    <w:tr2bl w:val="nil"/>
                  </w:tcBorders>
                  <w:shd w:val="clear" w:color="auto" w:fill="auto"/>
                  <w:vAlign w:val="center"/>
                </w:tcPr>
                <w:p w14:paraId="5CABD585">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废滤膜</w:t>
                  </w:r>
                </w:p>
              </w:tc>
              <w:tc>
                <w:tcPr>
                  <w:tcW w:w="441" w:type="dxa"/>
                  <w:tcBorders>
                    <w:tl2br w:val="nil"/>
                    <w:tr2bl w:val="nil"/>
                  </w:tcBorders>
                  <w:shd w:val="clear" w:color="auto" w:fill="auto"/>
                  <w:vAlign w:val="center"/>
                </w:tcPr>
                <w:p w14:paraId="68EC4D1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13</w:t>
                  </w:r>
                </w:p>
              </w:tc>
              <w:tc>
                <w:tcPr>
                  <w:tcW w:w="3047" w:type="dxa"/>
                  <w:tcBorders>
                    <w:tl2br w:val="nil"/>
                    <w:tr2bl w:val="nil"/>
                  </w:tcBorders>
                  <w:shd w:val="clear" w:color="auto" w:fill="auto"/>
                  <w:vAlign w:val="center"/>
                </w:tcPr>
                <w:p w14:paraId="4D53175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沾染杂物的滤膜</w:t>
                  </w:r>
                </w:p>
              </w:tc>
            </w:tr>
            <w:tr w14:paraId="38CC9A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6C89375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31EFD50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1B0F77DC">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员工生活</w:t>
                  </w:r>
                </w:p>
              </w:tc>
              <w:tc>
                <w:tcPr>
                  <w:tcW w:w="2360" w:type="dxa"/>
                  <w:tcBorders>
                    <w:tl2br w:val="nil"/>
                    <w:tr2bl w:val="nil"/>
                  </w:tcBorders>
                  <w:shd w:val="clear" w:color="auto" w:fill="auto"/>
                  <w:vAlign w:val="center"/>
                </w:tcPr>
                <w:p w14:paraId="041784D4">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生活垃圾</w:t>
                  </w:r>
                </w:p>
              </w:tc>
              <w:tc>
                <w:tcPr>
                  <w:tcW w:w="441" w:type="dxa"/>
                  <w:tcBorders>
                    <w:tl2br w:val="nil"/>
                    <w:tr2bl w:val="nil"/>
                  </w:tcBorders>
                  <w:shd w:val="clear" w:color="auto" w:fill="auto"/>
                  <w:vAlign w:val="center"/>
                </w:tcPr>
                <w:p w14:paraId="3AF6E935">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14</w:t>
                  </w:r>
                </w:p>
              </w:tc>
              <w:tc>
                <w:tcPr>
                  <w:tcW w:w="3047" w:type="dxa"/>
                  <w:tcBorders>
                    <w:tl2br w:val="nil"/>
                    <w:tr2bl w:val="nil"/>
                  </w:tcBorders>
                  <w:shd w:val="clear" w:color="auto" w:fill="auto"/>
                  <w:vAlign w:val="center"/>
                </w:tcPr>
                <w:p w14:paraId="20A079E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废纸、废塑料和有机垃圾等</w:t>
                  </w:r>
                </w:p>
              </w:tc>
            </w:tr>
            <w:tr w14:paraId="65811C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3B6D793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228A1C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595BFFFB">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喷粉</w:t>
                  </w:r>
                </w:p>
              </w:tc>
              <w:tc>
                <w:tcPr>
                  <w:tcW w:w="2360" w:type="dxa"/>
                  <w:tcBorders>
                    <w:tl2br w:val="nil"/>
                    <w:tr2bl w:val="nil"/>
                  </w:tcBorders>
                  <w:shd w:val="clear" w:color="auto" w:fill="auto"/>
                  <w:vAlign w:val="center"/>
                </w:tcPr>
                <w:p w14:paraId="12B8E88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喷粉滤芯除尘系统</w:t>
                  </w:r>
                </w:p>
              </w:tc>
              <w:tc>
                <w:tcPr>
                  <w:tcW w:w="441" w:type="dxa"/>
                  <w:tcBorders>
                    <w:tl2br w:val="nil"/>
                    <w:tr2bl w:val="nil"/>
                  </w:tcBorders>
                  <w:shd w:val="clear" w:color="auto" w:fill="auto"/>
                  <w:vAlign w:val="center"/>
                </w:tcPr>
                <w:p w14:paraId="58FA819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8"/>
                      <w:position w:val="1"/>
                      <w:sz w:val="21"/>
                      <w:szCs w:val="20"/>
                      <w:lang w:eastAsia="zh-CN"/>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w:t>
                  </w:r>
                  <w:r>
                    <w:rPr>
                      <w:rFonts w:hint="eastAsia" w:ascii="Times New Roman" w:hAnsi="Times New Roman" w:eastAsia="宋体" w:cs="Times New Roman"/>
                      <w:color w:val="auto"/>
                      <w:spacing w:val="-8"/>
                      <w:position w:val="1"/>
                      <w:sz w:val="21"/>
                      <w:szCs w:val="20"/>
                      <w:lang w:val="en-US" w:eastAsia="zh-CN"/>
                    </w:rPr>
                    <w:t>5</w:t>
                  </w:r>
                </w:p>
              </w:tc>
              <w:tc>
                <w:tcPr>
                  <w:tcW w:w="3047" w:type="dxa"/>
                  <w:tcBorders>
                    <w:tl2br w:val="nil"/>
                    <w:tr2bl w:val="nil"/>
                  </w:tcBorders>
                  <w:shd w:val="clear" w:color="auto" w:fill="auto"/>
                  <w:vAlign w:val="center"/>
                </w:tcPr>
                <w:p w14:paraId="71F7E85B">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9"/>
                      <w:sz w:val="21"/>
                      <w:lang w:val="en-US" w:eastAsia="zh-CN"/>
                    </w:rPr>
                  </w:pPr>
                  <w:r>
                    <w:rPr>
                      <w:rFonts w:hint="eastAsia" w:ascii="Times New Roman" w:hAnsi="Times New Roman"/>
                      <w:color w:val="auto"/>
                      <w:spacing w:val="9"/>
                      <w:sz w:val="21"/>
                      <w:lang w:val="en-US" w:eastAsia="zh-CN"/>
                    </w:rPr>
                    <w:t>废滤筒滤芯</w:t>
                  </w:r>
                </w:p>
              </w:tc>
            </w:tr>
            <w:tr w14:paraId="4FC040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61A731D0">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345BECD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423A963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喷漆</w:t>
                  </w:r>
                </w:p>
              </w:tc>
              <w:tc>
                <w:tcPr>
                  <w:tcW w:w="2360" w:type="dxa"/>
                  <w:tcBorders>
                    <w:tl2br w:val="nil"/>
                    <w:tr2bl w:val="nil"/>
                  </w:tcBorders>
                  <w:shd w:val="clear" w:color="auto" w:fill="auto"/>
                  <w:vAlign w:val="center"/>
                </w:tcPr>
                <w:p w14:paraId="313C0D62">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喷漆漆渣</w:t>
                  </w:r>
                </w:p>
              </w:tc>
              <w:tc>
                <w:tcPr>
                  <w:tcW w:w="441" w:type="dxa"/>
                  <w:tcBorders>
                    <w:tl2br w:val="nil"/>
                    <w:tr2bl w:val="nil"/>
                  </w:tcBorders>
                  <w:shd w:val="clear" w:color="auto" w:fill="auto"/>
                  <w:vAlign w:val="center"/>
                </w:tcPr>
                <w:p w14:paraId="3B470BD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8"/>
                      <w:position w:val="1"/>
                      <w:sz w:val="21"/>
                      <w:szCs w:val="20"/>
                      <w:lang w:eastAsia="zh-CN"/>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w:t>
                  </w:r>
                  <w:r>
                    <w:rPr>
                      <w:rFonts w:hint="eastAsia" w:ascii="Times New Roman" w:hAnsi="Times New Roman" w:eastAsia="宋体" w:cs="Times New Roman"/>
                      <w:color w:val="auto"/>
                      <w:spacing w:val="-8"/>
                      <w:position w:val="1"/>
                      <w:sz w:val="21"/>
                      <w:szCs w:val="20"/>
                      <w:lang w:val="en-US" w:eastAsia="zh-CN"/>
                    </w:rPr>
                    <w:t>6</w:t>
                  </w:r>
                </w:p>
              </w:tc>
              <w:tc>
                <w:tcPr>
                  <w:tcW w:w="3047" w:type="dxa"/>
                  <w:tcBorders>
                    <w:tl2br w:val="nil"/>
                    <w:tr2bl w:val="nil"/>
                  </w:tcBorders>
                  <w:shd w:val="clear" w:color="auto" w:fill="auto"/>
                  <w:vAlign w:val="center"/>
                </w:tcPr>
                <w:p w14:paraId="1AB6A4F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9"/>
                      <w:sz w:val="21"/>
                      <w:lang w:val="en-US" w:eastAsia="zh-CN"/>
                    </w:rPr>
                  </w:pPr>
                  <w:r>
                    <w:rPr>
                      <w:rFonts w:hint="eastAsia" w:ascii="Times New Roman" w:hAnsi="Times New Roman"/>
                      <w:color w:val="auto"/>
                      <w:spacing w:val="9"/>
                      <w:sz w:val="21"/>
                      <w:lang w:val="en-US" w:eastAsia="zh-CN"/>
                    </w:rPr>
                    <w:t>漆渣</w:t>
                  </w:r>
                </w:p>
              </w:tc>
            </w:tr>
            <w:tr w14:paraId="0C2ECA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72D5AFDA">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739D33D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2052" w:type="dxa"/>
                  <w:tcBorders>
                    <w:tl2br w:val="nil"/>
                    <w:tr2bl w:val="nil"/>
                  </w:tcBorders>
                  <w:shd w:val="clear" w:color="auto" w:fill="auto"/>
                  <w:vAlign w:val="center"/>
                </w:tcPr>
                <w:p w14:paraId="76EC6FF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电泳</w:t>
                  </w:r>
                </w:p>
              </w:tc>
              <w:tc>
                <w:tcPr>
                  <w:tcW w:w="2360" w:type="dxa"/>
                  <w:tcBorders>
                    <w:tl2br w:val="nil"/>
                    <w:tr2bl w:val="nil"/>
                  </w:tcBorders>
                  <w:shd w:val="clear" w:color="auto" w:fill="auto"/>
                  <w:vAlign w:val="center"/>
                </w:tcPr>
                <w:p w14:paraId="4D8A2CF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olor w:val="auto"/>
                      <w:spacing w:val="6"/>
                      <w:sz w:val="21"/>
                      <w:lang w:val="en-US" w:eastAsia="zh-CN"/>
                    </w:rPr>
                  </w:pPr>
                  <w:r>
                    <w:rPr>
                      <w:rFonts w:hint="eastAsia" w:ascii="Times New Roman" w:hAnsi="Times New Roman"/>
                      <w:color w:val="auto"/>
                      <w:spacing w:val="6"/>
                      <w:sz w:val="21"/>
                      <w:lang w:val="en-US" w:eastAsia="zh-CN"/>
                    </w:rPr>
                    <w:t>废槽液</w:t>
                  </w:r>
                </w:p>
              </w:tc>
              <w:tc>
                <w:tcPr>
                  <w:tcW w:w="441" w:type="dxa"/>
                  <w:tcBorders>
                    <w:tl2br w:val="nil"/>
                    <w:tr2bl w:val="nil"/>
                  </w:tcBorders>
                  <w:shd w:val="clear" w:color="auto" w:fill="auto"/>
                  <w:vAlign w:val="center"/>
                </w:tcPr>
                <w:p w14:paraId="7F8C4039">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8"/>
                      <w:position w:val="1"/>
                      <w:sz w:val="21"/>
                      <w:szCs w:val="20"/>
                      <w:lang w:val="en-US" w:eastAsia="zh-CN"/>
                    </w:rPr>
                  </w:pPr>
                  <w:r>
                    <w:rPr>
                      <w:rFonts w:hint="eastAsia" w:cs="Times New Roman"/>
                      <w:color w:val="auto"/>
                      <w:spacing w:val="-8"/>
                      <w:position w:val="1"/>
                      <w:sz w:val="21"/>
                      <w:szCs w:val="20"/>
                      <w:lang w:val="en-US" w:eastAsia="zh-CN"/>
                    </w:rPr>
                    <w:t>S17</w:t>
                  </w:r>
                </w:p>
              </w:tc>
              <w:tc>
                <w:tcPr>
                  <w:tcW w:w="3047" w:type="dxa"/>
                  <w:tcBorders>
                    <w:tl2br w:val="nil"/>
                    <w:tr2bl w:val="nil"/>
                  </w:tcBorders>
                  <w:shd w:val="clear" w:color="auto" w:fill="auto"/>
                  <w:vAlign w:val="center"/>
                </w:tcPr>
                <w:p w14:paraId="50B3996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olor w:val="auto"/>
                      <w:spacing w:val="9"/>
                      <w:sz w:val="21"/>
                      <w:lang w:val="en-US" w:eastAsia="zh-CN"/>
                    </w:rPr>
                  </w:pPr>
                  <w:r>
                    <w:rPr>
                      <w:rFonts w:hint="eastAsia" w:ascii="Times New Roman" w:hAnsi="Times New Roman"/>
                      <w:color w:val="auto"/>
                      <w:spacing w:val="6"/>
                      <w:sz w:val="21"/>
                      <w:lang w:val="en-US" w:eastAsia="zh-CN"/>
                    </w:rPr>
                    <w:t>废槽液</w:t>
                  </w:r>
                </w:p>
              </w:tc>
            </w:tr>
            <w:tr w14:paraId="6772F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tcBorders>
                    <w:tl2br w:val="nil"/>
                    <w:tr2bl w:val="nil"/>
                  </w:tcBorders>
                  <w:vAlign w:val="center"/>
                </w:tcPr>
                <w:p w14:paraId="0F77ECF0">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w:t>
                  </w:r>
                </w:p>
              </w:tc>
              <w:tc>
                <w:tcPr>
                  <w:tcW w:w="444" w:type="dxa"/>
                  <w:tcBorders>
                    <w:tl2br w:val="nil"/>
                    <w:tr2bl w:val="nil"/>
                  </w:tcBorders>
                  <w:vAlign w:val="center"/>
                </w:tcPr>
                <w:p w14:paraId="53319D51">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pacing w:val="-8"/>
                      <w:sz w:val="21"/>
                    </w:rPr>
                    <w:t>噪声</w:t>
                  </w:r>
                </w:p>
              </w:tc>
              <w:tc>
                <w:tcPr>
                  <w:tcW w:w="7900" w:type="dxa"/>
                  <w:gridSpan w:val="4"/>
                  <w:tcBorders>
                    <w:tl2br w:val="nil"/>
                    <w:tr2bl w:val="nil"/>
                  </w:tcBorders>
                  <w:shd w:val="clear" w:color="auto" w:fill="auto"/>
                  <w:vAlign w:val="center"/>
                </w:tcPr>
                <w:p w14:paraId="7B758014">
                  <w:pPr>
                    <w:pStyle w:val="9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olor w:val="auto"/>
                      <w:spacing w:val="9"/>
                      <w:sz w:val="21"/>
                    </w:rPr>
                    <w:t>本项目新增噪声源主要是焊接设备、废气处</w:t>
                  </w:r>
                  <w:r>
                    <w:rPr>
                      <w:rFonts w:ascii="Times New Roman" w:hAnsi="Times New Roman" w:eastAsia="宋体"/>
                      <w:color w:val="auto"/>
                      <w:spacing w:val="8"/>
                      <w:sz w:val="21"/>
                    </w:rPr>
                    <w:t>理风机等设备运行产生的噪声。</w:t>
                  </w:r>
                </w:p>
              </w:tc>
            </w:tr>
          </w:tbl>
          <w:p w14:paraId="670B4D94">
            <w:pPr>
              <w:pStyle w:val="25"/>
              <w:rPr>
                <w:rFonts w:hint="eastAsia" w:eastAsia="宋体"/>
                <w:lang w:eastAsia="zh-CN"/>
              </w:rPr>
            </w:pPr>
          </w:p>
        </w:tc>
      </w:tr>
    </w:tbl>
    <w:p w14:paraId="3227FCA3">
      <w:pPr>
        <w:pStyle w:val="30"/>
        <w:adjustRightInd w:val="0"/>
        <w:snapToGrid w:val="0"/>
        <w:spacing w:before="0" w:beforeAutospacing="0" w:after="0" w:afterAutospacing="0"/>
        <w:jc w:val="center"/>
        <w:rPr>
          <w:rFonts w:cs="宋体"/>
          <w:color w:val="auto"/>
          <w:sz w:val="21"/>
          <w:szCs w:val="21"/>
          <w:highlight w:val="none"/>
        </w:rPr>
        <w:sectPr>
          <w:pgSz w:w="11906" w:h="16838"/>
          <w:pgMar w:top="1531" w:right="1304" w:bottom="1531" w:left="1304" w:header="851" w:footer="1077" w:gutter="0"/>
          <w:pgBorders>
            <w:top w:val="none" w:sz="0" w:space="0"/>
            <w:left w:val="none" w:sz="0" w:space="0"/>
            <w:bottom w:val="none" w:sz="0" w:space="0"/>
            <w:right w:val="none" w:sz="0" w:space="0"/>
          </w:pgBorders>
          <w:pgNumType w:fmt="decimal"/>
          <w:cols w:space="0" w:num="1"/>
          <w:docGrid w:linePitch="312" w:charSpace="0"/>
        </w:sectPr>
      </w:pPr>
    </w:p>
    <w:p w14:paraId="2E6CCEA1">
      <w:pPr>
        <w:rPr>
          <w:color w:val="auto"/>
        </w:rPr>
      </w:pPr>
    </w:p>
    <w:p w14:paraId="34EEA1EA">
      <w:pPr>
        <w:pStyle w:val="2"/>
        <w:numPr>
          <w:ilvl w:val="0"/>
          <w:numId w:val="1"/>
        </w:numPr>
        <w:bidi w:val="0"/>
        <w:ind w:left="432" w:leftChars="0" w:hanging="432" w:firstLineChars="0"/>
        <w:rPr>
          <w:rFonts w:hint="eastAsia"/>
          <w:color w:val="auto"/>
          <w:highlight w:val="none"/>
        </w:rPr>
      </w:pPr>
      <w:bookmarkStart w:id="22" w:name="_Toc24049"/>
      <w:bookmarkStart w:id="23" w:name="_Toc26415"/>
      <w:bookmarkStart w:id="24" w:name="_Toc19680"/>
      <w:bookmarkStart w:id="25" w:name="_Toc6808"/>
      <w:bookmarkStart w:id="26" w:name="_Toc25824"/>
      <w:r>
        <w:rPr>
          <w:rFonts w:hint="eastAsia"/>
          <w:color w:val="auto"/>
          <w:highlight w:val="none"/>
        </w:rPr>
        <w:t>区域环境质量现状、环境保护目标及评价标准</w:t>
      </w:r>
      <w:bookmarkEnd w:id="22"/>
      <w:bookmarkEnd w:id="23"/>
      <w:bookmarkEnd w:id="24"/>
      <w:bookmarkEnd w:id="25"/>
      <w:bookmarkEnd w:id="26"/>
    </w:p>
    <w:tbl>
      <w:tblPr>
        <w:tblStyle w:val="34"/>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864"/>
      </w:tblGrid>
      <w:tr w14:paraId="4E90B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14:paraId="3FA905C8">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14:paraId="1FFE651A">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797D6E3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14:paraId="69CD0D32">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864" w:type="dxa"/>
            <w:vAlign w:val="center"/>
          </w:tcPr>
          <w:p w14:paraId="54E8D3AB">
            <w:pPr>
              <w:pStyle w:val="3"/>
              <w:numPr>
                <w:ilvl w:val="1"/>
                <w:numId w:val="1"/>
              </w:numPr>
              <w:bidi w:val="0"/>
              <w:ind w:left="0" w:leftChars="0" w:firstLine="0" w:firstLineChars="0"/>
              <w:rPr>
                <w:color w:val="auto"/>
                <w:highlight w:val="none"/>
              </w:rPr>
            </w:pPr>
            <w:bookmarkStart w:id="27" w:name="_Toc12042"/>
            <w:r>
              <w:rPr>
                <w:rFonts w:hint="eastAsia"/>
                <w:color w:val="auto"/>
                <w:highlight w:val="none"/>
              </w:rPr>
              <w:t>区域环境质量现状</w:t>
            </w:r>
            <w:bookmarkEnd w:id="27"/>
          </w:p>
          <w:p w14:paraId="4B857AA0">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地表水环境质量现状</w:t>
            </w:r>
          </w:p>
          <w:p w14:paraId="5FEA0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）地表水功能区划</w:t>
            </w:r>
          </w:p>
          <w:p w14:paraId="6FF8672F">
            <w:pPr>
              <w:pStyle w:val="46"/>
              <w:keepNext w:val="0"/>
              <w:keepLines w:val="0"/>
              <w:pageBreakBefore w:val="0"/>
              <w:widowControl w:val="0"/>
              <w:shd w:val="clear"/>
              <w:kinsoku/>
              <w:wordWrap/>
              <w:overflowPunct/>
              <w:topLinePunct w:val="0"/>
              <w:autoSpaceDE w:val="0"/>
              <w:autoSpaceDN w:val="0"/>
              <w:bidi w:val="0"/>
              <w:adjustRightInd/>
              <w:snapToGrid/>
              <w:ind w:firstLine="48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本项目废水排入福清市第二污水处理厂，福清市第二污水处理厂尾水达到 《城镇污水处理厂污染物排放标准》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GB18918-2002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一级A标准后排放至龙江，龙江水质执行《地表水环境质量标准》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中V类标准，水质执行《地表水环境质量标准》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V类水质标准，具体详见表3.1-1。</w:t>
            </w:r>
          </w:p>
          <w:p w14:paraId="0395997E">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bookmarkStart w:id="28" w:name="_Ref6142"/>
            <w:r>
              <w:rPr>
                <w:rFonts w:hint="eastAsia" w:ascii="Times New Roman" w:hAnsi="Times New Roman" w:eastAsia="宋体"/>
                <w:color w:val="auto"/>
                <w:highlight w:val="none"/>
              </w:rPr>
              <w:t xml:space="preserve"> </w:t>
            </w:r>
            <w:bookmarkEnd w:id="28"/>
            <w:r>
              <w:rPr>
                <w:rFonts w:hint="eastAsia" w:ascii="Times New Roman" w:hAnsi="Times New Roman" w:eastAsia="宋体"/>
                <w:color w:val="auto"/>
                <w:highlight w:val="none"/>
              </w:rPr>
              <w:t>地表水环境质量标准（摘录） 单位：mg/L（除pH外）</w:t>
            </w:r>
          </w:p>
          <w:tbl>
            <w:tblPr>
              <w:tblStyle w:val="34"/>
              <w:tblW w:w="864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2"/>
              <w:gridCol w:w="2909"/>
              <w:gridCol w:w="1240"/>
              <w:gridCol w:w="1204"/>
              <w:gridCol w:w="1171"/>
              <w:gridCol w:w="1179"/>
            </w:tblGrid>
            <w:tr w14:paraId="16F38D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2" w:type="dxa"/>
                  <w:tcBorders>
                    <w:bottom w:val="single" w:color="000000" w:sz="12" w:space="0"/>
                  </w:tcBorders>
                  <w:vAlign w:val="center"/>
                </w:tcPr>
                <w:p w14:paraId="5B8EC05A">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序号</w:t>
                  </w:r>
                </w:p>
              </w:tc>
              <w:tc>
                <w:tcPr>
                  <w:tcW w:w="2909" w:type="dxa"/>
                  <w:tcBorders>
                    <w:bottom w:val="single" w:color="000000" w:sz="12" w:space="0"/>
                  </w:tcBorders>
                  <w:vAlign w:val="center"/>
                </w:tcPr>
                <w:p w14:paraId="24E8F48E">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项目</w:t>
                  </w:r>
                </w:p>
              </w:tc>
              <w:tc>
                <w:tcPr>
                  <w:tcW w:w="1240" w:type="dxa"/>
                  <w:tcBorders>
                    <w:bottom w:val="single" w:color="000000" w:sz="12" w:space="0"/>
                  </w:tcBorders>
                  <w:vAlign w:val="center"/>
                </w:tcPr>
                <w:p w14:paraId="77A8D16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Ⅱ类</w:t>
                  </w:r>
                </w:p>
              </w:tc>
              <w:tc>
                <w:tcPr>
                  <w:tcW w:w="1204" w:type="dxa"/>
                  <w:tcBorders>
                    <w:bottom w:val="single" w:color="000000" w:sz="12" w:space="0"/>
                  </w:tcBorders>
                  <w:shd w:val="clear" w:color="auto" w:fill="auto"/>
                  <w:vAlign w:val="center"/>
                </w:tcPr>
                <w:p w14:paraId="05343FB0">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Ⅲ类</w:t>
                  </w:r>
                </w:p>
              </w:tc>
              <w:tc>
                <w:tcPr>
                  <w:tcW w:w="1171" w:type="dxa"/>
                  <w:tcBorders>
                    <w:bottom w:val="single" w:color="000000" w:sz="12" w:space="0"/>
                  </w:tcBorders>
                  <w:vAlign w:val="center"/>
                </w:tcPr>
                <w:p w14:paraId="2C5B5BF2">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Ⅳ类</w:t>
                  </w:r>
                </w:p>
              </w:tc>
              <w:tc>
                <w:tcPr>
                  <w:tcW w:w="1179" w:type="dxa"/>
                  <w:tcBorders>
                    <w:bottom w:val="single" w:color="000000" w:sz="12" w:space="0"/>
                  </w:tcBorders>
                  <w:shd w:val="clear" w:color="auto" w:fill="BEBEBE" w:themeFill="background1" w:themeFillShade="BF"/>
                  <w:vAlign w:val="center"/>
                </w:tcPr>
                <w:p w14:paraId="6039764B">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Ⅴ类</w:t>
                  </w:r>
                </w:p>
              </w:tc>
            </w:tr>
            <w:tr w14:paraId="288610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2" w:type="dxa"/>
                  <w:tcBorders>
                    <w:top w:val="single" w:color="000000" w:sz="12" w:space="0"/>
                    <w:tl2br w:val="nil"/>
                    <w:tr2bl w:val="nil"/>
                  </w:tcBorders>
                  <w:vAlign w:val="center"/>
                </w:tcPr>
                <w:p w14:paraId="130B511F">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1</w:t>
                  </w:r>
                </w:p>
              </w:tc>
              <w:tc>
                <w:tcPr>
                  <w:tcW w:w="2909" w:type="dxa"/>
                  <w:tcBorders>
                    <w:top w:val="single" w:color="000000" w:sz="12" w:space="0"/>
                    <w:tl2br w:val="nil"/>
                    <w:tr2bl w:val="nil"/>
                  </w:tcBorders>
                  <w:vAlign w:val="center"/>
                </w:tcPr>
                <w:p w14:paraId="3CC4EA19">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eastAsia="Times New Roman"/>
                      <w:color w:val="auto"/>
                      <w:sz w:val="21"/>
                    </w:rPr>
                  </w:pPr>
                  <w:r>
                    <w:rPr>
                      <w:rFonts w:ascii="Times New Roman" w:eastAsia="Times New Roman"/>
                      <w:color w:val="auto"/>
                      <w:spacing w:val="-2"/>
                      <w:sz w:val="21"/>
                    </w:rPr>
                    <w:t>pH</w:t>
                  </w:r>
                  <w:r>
                    <w:rPr>
                      <w:rFonts w:hint="eastAsia" w:ascii="Times New Roman" w:eastAsia="宋体"/>
                      <w:color w:val="auto"/>
                      <w:spacing w:val="-2"/>
                      <w:sz w:val="21"/>
                      <w:lang w:eastAsia="zh-CN"/>
                    </w:rPr>
                    <w:t>（</w:t>
                  </w:r>
                  <w:r>
                    <w:rPr>
                      <w:color w:val="auto"/>
                      <w:spacing w:val="-2"/>
                      <w:sz w:val="21"/>
                    </w:rPr>
                    <w:t>无量纲</w:t>
                  </w:r>
                  <w:r>
                    <w:rPr>
                      <w:rFonts w:hint="eastAsia"/>
                      <w:color w:val="auto"/>
                      <w:spacing w:val="-2"/>
                      <w:sz w:val="21"/>
                      <w:lang w:eastAsia="zh-CN"/>
                    </w:rPr>
                    <w:t>）</w:t>
                  </w:r>
                </w:p>
              </w:tc>
              <w:tc>
                <w:tcPr>
                  <w:tcW w:w="4794" w:type="dxa"/>
                  <w:gridSpan w:val="4"/>
                  <w:tcBorders>
                    <w:top w:val="single" w:color="000000" w:sz="12" w:space="0"/>
                    <w:tl2br w:val="nil"/>
                    <w:tr2bl w:val="nil"/>
                  </w:tcBorders>
                  <w:shd w:val="clear" w:color="auto" w:fill="BEBEBE" w:themeFill="background1" w:themeFillShade="BF"/>
                  <w:vAlign w:val="center"/>
                </w:tcPr>
                <w:p w14:paraId="6272080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eastAsia="Times New Roman"/>
                      <w:color w:val="auto"/>
                      <w:sz w:val="21"/>
                    </w:rPr>
                  </w:pPr>
                  <w:r>
                    <w:rPr>
                      <w:rFonts w:ascii="Times New Roman" w:eastAsia="Times New Roman"/>
                      <w:color w:val="auto"/>
                      <w:spacing w:val="-5"/>
                      <w:sz w:val="21"/>
                    </w:rPr>
                    <w:t>6</w:t>
                  </w:r>
                  <w:r>
                    <w:rPr>
                      <w:rFonts w:hint="eastAsia" w:ascii="Times New Roman" w:eastAsia="宋体"/>
                      <w:color w:val="auto"/>
                      <w:spacing w:val="-5"/>
                      <w:sz w:val="21"/>
                      <w:lang w:eastAsia="zh-CN"/>
                    </w:rPr>
                    <w:t>~</w:t>
                  </w:r>
                  <w:r>
                    <w:rPr>
                      <w:rFonts w:ascii="Times New Roman" w:eastAsia="Times New Roman"/>
                      <w:color w:val="auto"/>
                      <w:spacing w:val="-5"/>
                      <w:sz w:val="21"/>
                    </w:rPr>
                    <w:t>9</w:t>
                  </w:r>
                </w:p>
              </w:tc>
            </w:tr>
            <w:tr w14:paraId="13E30F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2" w:type="dxa"/>
                  <w:tcBorders>
                    <w:tl2br w:val="nil"/>
                    <w:tr2bl w:val="nil"/>
                  </w:tcBorders>
                  <w:vAlign w:val="center"/>
                </w:tcPr>
                <w:p w14:paraId="56F6788A">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c>
                <w:tcPr>
                  <w:tcW w:w="2909" w:type="dxa"/>
                  <w:tcBorders>
                    <w:tl2br w:val="nil"/>
                    <w:tr2bl w:val="nil"/>
                  </w:tcBorders>
                  <w:vAlign w:val="center"/>
                </w:tcPr>
                <w:p w14:paraId="351E8E37">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eastAsia="Times New Roman"/>
                      <w:color w:val="auto"/>
                      <w:sz w:val="21"/>
                    </w:rPr>
                  </w:pPr>
                  <w:r>
                    <w:rPr>
                      <w:color w:val="auto"/>
                      <w:sz w:val="21"/>
                    </w:rPr>
                    <w:t>溶解氧</w:t>
                  </w:r>
                  <w:r>
                    <w:rPr>
                      <w:rFonts w:hint="eastAsia"/>
                      <w:color w:val="auto"/>
                      <w:sz w:val="21"/>
                      <w:lang w:eastAsia="zh-CN"/>
                    </w:rPr>
                    <w:t>（</w:t>
                  </w:r>
                  <w:r>
                    <w:rPr>
                      <w:rFonts w:ascii="Times New Roman" w:hAnsi="Times New Roman" w:eastAsia="Times New Roman"/>
                      <w:color w:val="auto"/>
                      <w:sz w:val="21"/>
                    </w:rPr>
                    <w:t>DO</w:t>
                  </w:r>
                  <w:r>
                    <w:rPr>
                      <w:rFonts w:hint="eastAsia" w:ascii="Times New Roman" w:hAnsi="Times New Roman" w:eastAsia="宋体"/>
                      <w:color w:val="auto"/>
                      <w:sz w:val="21"/>
                      <w:lang w:eastAsia="zh-CN"/>
                    </w:rPr>
                    <w:t>）</w:t>
                  </w:r>
                  <w:r>
                    <w:rPr>
                      <w:rFonts w:ascii="Times New Roman" w:hAnsi="Times New Roman" w:eastAsia="Times New Roman"/>
                      <w:color w:val="auto"/>
                      <w:spacing w:val="-9"/>
                      <w:sz w:val="21"/>
                    </w:rPr>
                    <w:t>≥</w:t>
                  </w:r>
                </w:p>
              </w:tc>
              <w:tc>
                <w:tcPr>
                  <w:tcW w:w="1240" w:type="dxa"/>
                  <w:tcBorders>
                    <w:tl2br w:val="nil"/>
                    <w:tr2bl w:val="nil"/>
                  </w:tcBorders>
                  <w:vAlign w:val="center"/>
                </w:tcPr>
                <w:p w14:paraId="129FE2C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1204" w:type="dxa"/>
                  <w:tcBorders>
                    <w:tl2br w:val="nil"/>
                    <w:tr2bl w:val="nil"/>
                  </w:tcBorders>
                  <w:shd w:val="clear" w:color="auto" w:fill="auto"/>
                  <w:vAlign w:val="center"/>
                </w:tcPr>
                <w:p w14:paraId="6A82613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1171" w:type="dxa"/>
                  <w:tcBorders>
                    <w:tl2br w:val="nil"/>
                    <w:tr2bl w:val="nil"/>
                  </w:tcBorders>
                  <w:vAlign w:val="center"/>
                </w:tcPr>
                <w:p w14:paraId="0B5AFE12">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1179" w:type="dxa"/>
                  <w:tcBorders>
                    <w:tl2br w:val="nil"/>
                    <w:tr2bl w:val="nil"/>
                  </w:tcBorders>
                  <w:shd w:val="clear" w:color="auto" w:fill="BEBEBE" w:themeFill="background1" w:themeFillShade="BF"/>
                  <w:vAlign w:val="center"/>
                </w:tcPr>
                <w:p w14:paraId="48B07F98">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r>
            <w:tr w14:paraId="57C00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2" w:type="dxa"/>
                  <w:tcBorders>
                    <w:tl2br w:val="nil"/>
                    <w:tr2bl w:val="nil"/>
                  </w:tcBorders>
                  <w:vAlign w:val="center"/>
                </w:tcPr>
                <w:p w14:paraId="311DD14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2909" w:type="dxa"/>
                  <w:tcBorders>
                    <w:tl2br w:val="nil"/>
                    <w:tr2bl w:val="nil"/>
                  </w:tcBorders>
                  <w:vAlign w:val="center"/>
                </w:tcPr>
                <w:p w14:paraId="76BD16E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position w:val="2"/>
                      <w:sz w:val="21"/>
                    </w:rPr>
                  </w:pPr>
                  <w:r>
                    <w:rPr>
                      <w:rFonts w:ascii="Times New Roman" w:hAnsi="Times New Roman"/>
                      <w:color w:val="auto"/>
                      <w:spacing w:val="-2"/>
                      <w:position w:val="2"/>
                      <w:sz w:val="21"/>
                    </w:rPr>
                    <w:t>COD</w:t>
                  </w:r>
                  <w:r>
                    <w:rPr>
                      <w:rFonts w:ascii="Times New Roman" w:hAnsi="Times New Roman"/>
                      <w:color w:val="auto"/>
                      <w:spacing w:val="-2"/>
                      <w:sz w:val="13"/>
                    </w:rPr>
                    <w:t>Mn</w:t>
                  </w:r>
                  <w:r>
                    <w:rPr>
                      <w:rFonts w:ascii="Times New Roman" w:hAnsi="Times New Roman"/>
                      <w:color w:val="auto"/>
                      <w:spacing w:val="-2"/>
                      <w:position w:val="2"/>
                      <w:sz w:val="21"/>
                    </w:rPr>
                    <w:t>≤</w:t>
                  </w:r>
                </w:p>
              </w:tc>
              <w:tc>
                <w:tcPr>
                  <w:tcW w:w="1240" w:type="dxa"/>
                  <w:tcBorders>
                    <w:tl2br w:val="nil"/>
                    <w:tr2bl w:val="nil"/>
                  </w:tcBorders>
                  <w:vAlign w:val="center"/>
                </w:tcPr>
                <w:p w14:paraId="30641FA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1204" w:type="dxa"/>
                  <w:tcBorders>
                    <w:tl2br w:val="nil"/>
                    <w:tr2bl w:val="nil"/>
                  </w:tcBorders>
                  <w:shd w:val="clear" w:color="auto" w:fill="auto"/>
                  <w:vAlign w:val="center"/>
                </w:tcPr>
                <w:p w14:paraId="78BD9FA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1171" w:type="dxa"/>
                  <w:tcBorders>
                    <w:tl2br w:val="nil"/>
                    <w:tr2bl w:val="nil"/>
                  </w:tcBorders>
                  <w:vAlign w:val="center"/>
                </w:tcPr>
                <w:p w14:paraId="6CDD322A">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c>
                <w:tcPr>
                  <w:tcW w:w="1179" w:type="dxa"/>
                  <w:tcBorders>
                    <w:tl2br w:val="nil"/>
                    <w:tr2bl w:val="nil"/>
                  </w:tcBorders>
                  <w:shd w:val="clear" w:color="auto" w:fill="BEBEBE" w:themeFill="background1" w:themeFillShade="BF"/>
                  <w:vAlign w:val="center"/>
                </w:tcPr>
                <w:p w14:paraId="5400CB8F">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15</w:t>
                  </w:r>
                </w:p>
              </w:tc>
            </w:tr>
            <w:tr w14:paraId="5C126B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2" w:type="dxa"/>
                  <w:tcBorders>
                    <w:tl2br w:val="nil"/>
                    <w:tr2bl w:val="nil"/>
                  </w:tcBorders>
                  <w:vAlign w:val="center"/>
                </w:tcPr>
                <w:p w14:paraId="2CE30A6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2909" w:type="dxa"/>
                  <w:tcBorders>
                    <w:tl2br w:val="nil"/>
                    <w:tr2bl w:val="nil"/>
                  </w:tcBorders>
                  <w:vAlign w:val="center"/>
                </w:tcPr>
                <w:p w14:paraId="71CE7768">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 w:val="21"/>
                    </w:rPr>
                  </w:pPr>
                  <w:r>
                    <w:rPr>
                      <w:rFonts w:ascii="Times New Roman" w:hAnsi="Times New Roman"/>
                      <w:color w:val="auto"/>
                      <w:spacing w:val="-5"/>
                      <w:sz w:val="21"/>
                    </w:rPr>
                    <w:t>DO≤</w:t>
                  </w:r>
                </w:p>
              </w:tc>
              <w:tc>
                <w:tcPr>
                  <w:tcW w:w="1240" w:type="dxa"/>
                  <w:tcBorders>
                    <w:tl2br w:val="nil"/>
                    <w:tr2bl w:val="nil"/>
                  </w:tcBorders>
                  <w:vAlign w:val="center"/>
                </w:tcPr>
                <w:p w14:paraId="1F330385">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1204" w:type="dxa"/>
                  <w:tcBorders>
                    <w:tl2br w:val="nil"/>
                    <w:tr2bl w:val="nil"/>
                  </w:tcBorders>
                  <w:shd w:val="clear" w:color="auto" w:fill="auto"/>
                  <w:vAlign w:val="center"/>
                </w:tcPr>
                <w:p w14:paraId="7A6B233A">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1171" w:type="dxa"/>
                  <w:tcBorders>
                    <w:tl2br w:val="nil"/>
                    <w:tr2bl w:val="nil"/>
                  </w:tcBorders>
                  <w:vAlign w:val="center"/>
                </w:tcPr>
                <w:p w14:paraId="42BCBE1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1179" w:type="dxa"/>
                  <w:tcBorders>
                    <w:tl2br w:val="nil"/>
                    <w:tr2bl w:val="nil"/>
                  </w:tcBorders>
                  <w:shd w:val="clear" w:color="auto" w:fill="BEBEBE" w:themeFill="background1" w:themeFillShade="BF"/>
                  <w:vAlign w:val="center"/>
                </w:tcPr>
                <w:p w14:paraId="5F7E90F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r>
            <w:tr w14:paraId="59070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42" w:type="dxa"/>
                  <w:tcBorders>
                    <w:tl2br w:val="nil"/>
                    <w:tr2bl w:val="nil"/>
                  </w:tcBorders>
                  <w:vAlign w:val="center"/>
                </w:tcPr>
                <w:p w14:paraId="2BA698F4">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2909" w:type="dxa"/>
                  <w:tcBorders>
                    <w:tl2br w:val="nil"/>
                    <w:tr2bl w:val="nil"/>
                  </w:tcBorders>
                  <w:vAlign w:val="center"/>
                </w:tcPr>
                <w:p w14:paraId="345A52F9">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color w:val="auto"/>
                      <w:position w:val="2"/>
                      <w:sz w:val="21"/>
                    </w:rPr>
                  </w:pPr>
                  <w:r>
                    <w:rPr>
                      <w:rFonts w:ascii="Times New Roman" w:hAnsi="Times New Roman"/>
                      <w:color w:val="auto"/>
                      <w:spacing w:val="-2"/>
                      <w:position w:val="2"/>
                      <w:sz w:val="21"/>
                    </w:rPr>
                    <w:t>NH</w:t>
                  </w:r>
                  <w:r>
                    <w:rPr>
                      <w:rFonts w:ascii="Times New Roman" w:hAnsi="Times New Roman"/>
                      <w:color w:val="auto"/>
                      <w:spacing w:val="-2"/>
                      <w:sz w:val="13"/>
                    </w:rPr>
                    <w:t>3</w:t>
                  </w:r>
                  <w:r>
                    <w:rPr>
                      <w:rFonts w:ascii="Times New Roman" w:hAnsi="Times New Roman"/>
                      <w:color w:val="auto"/>
                      <w:spacing w:val="-2"/>
                      <w:position w:val="2"/>
                      <w:sz w:val="21"/>
                    </w:rPr>
                    <w:t>-</w:t>
                  </w:r>
                  <w:r>
                    <w:rPr>
                      <w:rFonts w:ascii="Times New Roman" w:hAnsi="Times New Roman"/>
                      <w:color w:val="auto"/>
                      <w:spacing w:val="-5"/>
                      <w:position w:val="2"/>
                      <w:sz w:val="21"/>
                    </w:rPr>
                    <w:t>N≤</w:t>
                  </w:r>
                </w:p>
              </w:tc>
              <w:tc>
                <w:tcPr>
                  <w:tcW w:w="1240" w:type="dxa"/>
                  <w:tcBorders>
                    <w:tl2br w:val="nil"/>
                    <w:tr2bl w:val="nil"/>
                  </w:tcBorders>
                  <w:vAlign w:val="center"/>
                </w:tcPr>
                <w:p w14:paraId="65E459B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0.5</w:t>
                  </w:r>
                </w:p>
              </w:tc>
              <w:tc>
                <w:tcPr>
                  <w:tcW w:w="1204" w:type="dxa"/>
                  <w:tcBorders>
                    <w:tl2br w:val="nil"/>
                    <w:tr2bl w:val="nil"/>
                  </w:tcBorders>
                  <w:shd w:val="clear" w:color="auto" w:fill="auto"/>
                  <w:vAlign w:val="center"/>
                </w:tcPr>
                <w:p w14:paraId="4420E10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c>
                <w:tcPr>
                  <w:tcW w:w="1171" w:type="dxa"/>
                  <w:tcBorders>
                    <w:tl2br w:val="nil"/>
                    <w:tr2bl w:val="nil"/>
                  </w:tcBorders>
                  <w:vAlign w:val="center"/>
                </w:tcPr>
                <w:p w14:paraId="6DD8AF99">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1.5</w:t>
                  </w:r>
                </w:p>
              </w:tc>
              <w:tc>
                <w:tcPr>
                  <w:tcW w:w="1179" w:type="dxa"/>
                  <w:tcBorders>
                    <w:tl2br w:val="nil"/>
                    <w:tr2bl w:val="nil"/>
                  </w:tcBorders>
                  <w:shd w:val="clear" w:color="auto" w:fill="BEBEBE" w:themeFill="background1" w:themeFillShade="BF"/>
                  <w:vAlign w:val="center"/>
                </w:tcPr>
                <w:p w14:paraId="1CDBEE14">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2.0</w:t>
                  </w:r>
                </w:p>
              </w:tc>
            </w:tr>
            <w:tr w14:paraId="1011C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42" w:type="dxa"/>
                  <w:tcBorders>
                    <w:tl2br w:val="nil"/>
                    <w:tr2bl w:val="nil"/>
                  </w:tcBorders>
                  <w:vAlign w:val="center"/>
                </w:tcPr>
                <w:p w14:paraId="548F5448">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2909" w:type="dxa"/>
                  <w:tcBorders>
                    <w:tl2br w:val="nil"/>
                    <w:tr2bl w:val="nil"/>
                  </w:tcBorders>
                  <w:vAlign w:val="center"/>
                </w:tcPr>
                <w:p w14:paraId="4201342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position w:val="2"/>
                      <w:sz w:val="21"/>
                    </w:rPr>
                  </w:pPr>
                  <w:r>
                    <w:rPr>
                      <w:rFonts w:ascii="Times New Roman" w:hAnsi="Times New Roman"/>
                      <w:color w:val="auto"/>
                      <w:spacing w:val="-2"/>
                      <w:position w:val="2"/>
                      <w:sz w:val="21"/>
                    </w:rPr>
                    <w:t>BOD</w:t>
                  </w:r>
                  <w:r>
                    <w:rPr>
                      <w:rFonts w:ascii="Times New Roman" w:hAnsi="Times New Roman"/>
                      <w:color w:val="auto"/>
                      <w:spacing w:val="-2"/>
                      <w:sz w:val="13"/>
                    </w:rPr>
                    <w:t>5</w:t>
                  </w:r>
                  <w:r>
                    <w:rPr>
                      <w:rFonts w:ascii="Times New Roman" w:hAnsi="Times New Roman"/>
                      <w:color w:val="auto"/>
                      <w:spacing w:val="-2"/>
                      <w:position w:val="2"/>
                      <w:sz w:val="21"/>
                    </w:rPr>
                    <w:t>≤</w:t>
                  </w:r>
                </w:p>
              </w:tc>
              <w:tc>
                <w:tcPr>
                  <w:tcW w:w="1240" w:type="dxa"/>
                  <w:tcBorders>
                    <w:tl2br w:val="nil"/>
                    <w:tr2bl w:val="nil"/>
                  </w:tcBorders>
                  <w:vAlign w:val="center"/>
                </w:tcPr>
                <w:p w14:paraId="1F418A2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1204" w:type="dxa"/>
                  <w:tcBorders>
                    <w:tl2br w:val="nil"/>
                    <w:tr2bl w:val="nil"/>
                  </w:tcBorders>
                  <w:shd w:val="clear" w:color="auto" w:fill="auto"/>
                  <w:vAlign w:val="center"/>
                </w:tcPr>
                <w:p w14:paraId="6742DF71">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1171" w:type="dxa"/>
                  <w:tcBorders>
                    <w:tl2br w:val="nil"/>
                    <w:tr2bl w:val="nil"/>
                  </w:tcBorders>
                  <w:vAlign w:val="center"/>
                </w:tcPr>
                <w:p w14:paraId="1399A525">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1179" w:type="dxa"/>
                  <w:tcBorders>
                    <w:tl2br w:val="nil"/>
                    <w:tr2bl w:val="nil"/>
                  </w:tcBorders>
                  <w:shd w:val="clear" w:color="auto" w:fill="BEBEBE" w:themeFill="background1" w:themeFillShade="BF"/>
                  <w:vAlign w:val="center"/>
                </w:tcPr>
                <w:p w14:paraId="4BD77EA9">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r>
          </w:tbl>
          <w:p w14:paraId="15849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）地表水环境现状</w:t>
            </w:r>
          </w:p>
          <w:p w14:paraId="4CAE7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①</w:t>
            </w:r>
            <w:r>
              <w:rPr>
                <w:rFonts w:hint="eastAsia" w:ascii="Times New Roman" w:hAnsi="Times New Roman" w:eastAsia="宋体" w:cs="Times New Roman"/>
                <w:color w:val="auto"/>
                <w:kern w:val="2"/>
                <w:sz w:val="24"/>
                <w:szCs w:val="20"/>
                <w:highlight w:val="none"/>
                <w:lang w:val="en-US" w:eastAsia="zh-CN" w:bidi="ar-SA"/>
              </w:rPr>
              <w:t>地表水水质现状调查</w:t>
            </w:r>
          </w:p>
          <w:p w14:paraId="7DDD2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w:t>
            </w:r>
            <w:r>
              <w:rPr>
                <w:rFonts w:hint="eastAsia" w:cs="Times New Roman"/>
                <w:color w:val="auto"/>
                <w:kern w:val="2"/>
                <w:sz w:val="24"/>
                <w:szCs w:val="20"/>
                <w:highlight w:val="none"/>
                <w:lang w:val="en-US" w:eastAsia="zh-CN" w:bidi="ar-SA"/>
              </w:rPr>
              <w:t>5</w:t>
            </w:r>
            <w:r>
              <w:rPr>
                <w:rFonts w:hint="eastAsia" w:ascii="Times New Roman" w:hAnsi="Times New Roman" w:eastAsia="宋体" w:cs="Times New Roman"/>
                <w:color w:val="auto"/>
                <w:kern w:val="2"/>
                <w:sz w:val="24"/>
                <w:szCs w:val="20"/>
                <w:highlight w:val="none"/>
                <w:lang w:val="en-US" w:eastAsia="zh-CN" w:bidi="ar-SA"/>
              </w:rPr>
              <w:t>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w:t>
            </w:r>
            <w:r>
              <w:rPr>
                <w:rFonts w:hint="eastAsia" w:cs="Times New Roman"/>
                <w:color w:val="auto"/>
                <w:kern w:val="2"/>
                <w:sz w:val="24"/>
                <w:szCs w:val="20"/>
                <w:highlight w:val="none"/>
                <w:lang w:val="en-US" w:eastAsia="zh-CN" w:bidi="ar-SA"/>
              </w:rPr>
              <w:t>图3.1-1）</w:t>
            </w:r>
            <w:r>
              <w:rPr>
                <w:rFonts w:hint="eastAsia" w:ascii="Times New Roman" w:hAnsi="Times New Roman" w:eastAsia="宋体" w:cs="Times New Roman"/>
                <w:color w:val="auto"/>
                <w:kern w:val="2"/>
                <w:sz w:val="24"/>
                <w:szCs w:val="20"/>
                <w:highlight w:val="none"/>
                <w:lang w:val="en-US" w:eastAsia="zh-CN" w:bidi="ar-SA"/>
              </w:rPr>
              <w:t>。</w:t>
            </w:r>
          </w:p>
          <w:p w14:paraId="37A59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由此，可知龙江水质可达到《地表水环境质量标准》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V类水标准。</w:t>
            </w:r>
            <w:r>
              <w:drawing>
                <wp:inline distT="0" distB="0" distL="114300" distR="114300">
                  <wp:extent cx="5577840" cy="2901950"/>
                  <wp:effectExtent l="0" t="0" r="3810" b="12700"/>
                  <wp:docPr id="2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
                          <pic:cNvPicPr>
                            <a:picLocks noChangeAspect="1"/>
                          </pic:cNvPicPr>
                        </pic:nvPicPr>
                        <pic:blipFill>
                          <a:blip r:embed="rId16"/>
                          <a:stretch>
                            <a:fillRect/>
                          </a:stretch>
                        </pic:blipFill>
                        <pic:spPr>
                          <a:xfrm>
                            <a:off x="0" y="0"/>
                            <a:ext cx="5577840" cy="2901950"/>
                          </a:xfrm>
                          <a:prstGeom prst="rect">
                            <a:avLst/>
                          </a:prstGeom>
                          <a:noFill/>
                          <a:ln>
                            <a:noFill/>
                          </a:ln>
                        </pic:spPr>
                      </pic:pic>
                    </a:graphicData>
                  </a:graphic>
                </wp:inline>
              </w:drawing>
            </w:r>
          </w:p>
          <w:p w14:paraId="0D2C8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auto"/>
                <w:kern w:val="2"/>
                <w:sz w:val="24"/>
                <w:szCs w:val="20"/>
                <w:highlight w:val="none"/>
                <w:lang w:val="en-US" w:eastAsia="zh-CN" w:bidi="ar-SA"/>
              </w:rPr>
            </w:pPr>
            <w:r>
              <w:rPr>
                <w:rFonts w:hint="eastAsia" w:cs="Times New Roman"/>
                <w:b/>
                <w:bCs/>
                <w:color w:val="auto"/>
                <w:kern w:val="2"/>
                <w:sz w:val="24"/>
                <w:szCs w:val="20"/>
                <w:highlight w:val="none"/>
                <w:lang w:val="en-US" w:eastAsia="zh-CN" w:bidi="ar-SA"/>
              </w:rPr>
              <w:t>图3.1-1 福建省流域水环境质量状况（2025年）</w:t>
            </w:r>
          </w:p>
          <w:p w14:paraId="0D513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②</w:t>
            </w:r>
            <w:r>
              <w:rPr>
                <w:rFonts w:hint="eastAsia" w:ascii="Times New Roman" w:hAnsi="Times New Roman" w:eastAsia="宋体" w:cs="Times New Roman"/>
                <w:color w:val="auto"/>
                <w:kern w:val="2"/>
                <w:sz w:val="24"/>
                <w:szCs w:val="20"/>
                <w:highlight w:val="none"/>
                <w:lang w:val="en-US" w:eastAsia="zh-CN" w:bidi="ar-SA"/>
              </w:rPr>
              <w:t>引用资料的有效性分析</w:t>
            </w:r>
          </w:p>
          <w:p w14:paraId="0DC4C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根据《建设项目环境影响报告表编制技术指南（污染影响类）（试行）》（环办环评</w:t>
            </w:r>
            <w:r>
              <w:rPr>
                <w:rFonts w:hint="eastAsia"/>
                <w:color w:val="auto"/>
                <w:sz w:val="24"/>
                <w:szCs w:val="24"/>
                <w:highlight w:val="none"/>
              </w:rPr>
              <w:t>〔</w:t>
            </w:r>
            <w:r>
              <w:rPr>
                <w:color w:val="auto"/>
                <w:sz w:val="24"/>
                <w:szCs w:val="24"/>
                <w:highlight w:val="none"/>
              </w:rPr>
              <w:t>202</w:t>
            </w:r>
            <w:r>
              <w:rPr>
                <w:rFonts w:hint="eastAsia"/>
                <w:color w:val="auto"/>
                <w:sz w:val="24"/>
                <w:szCs w:val="24"/>
                <w:highlight w:val="none"/>
                <w:lang w:val="en-US" w:eastAsia="zh-CN"/>
              </w:rPr>
              <w:t>0</w:t>
            </w:r>
            <w:r>
              <w:rPr>
                <w:rFonts w:hint="eastAsia"/>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状</w:t>
            </w:r>
            <w:r>
              <w:rPr>
                <w:rFonts w:hint="eastAsia" w:cs="Times New Roman"/>
                <w:color w:val="auto"/>
                <w:kern w:val="2"/>
                <w:sz w:val="24"/>
                <w:szCs w:val="20"/>
                <w:highlight w:val="none"/>
                <w:lang w:val="en-US" w:eastAsia="zh-CN" w:bidi="ar-SA"/>
              </w:rPr>
              <w:t>况</w:t>
            </w:r>
            <w:r>
              <w:rPr>
                <w:rFonts w:hint="eastAsia" w:ascii="Times New Roman" w:hAnsi="Times New Roman" w:eastAsia="宋体" w:cs="Times New Roman"/>
                <w:color w:val="auto"/>
                <w:kern w:val="2"/>
                <w:sz w:val="24"/>
                <w:szCs w:val="20"/>
                <w:highlight w:val="none"/>
                <w:lang w:val="en-US" w:eastAsia="zh-CN" w:bidi="ar-SA"/>
              </w:rPr>
              <w:t>，符合</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建设项目环境影响报告表编制技术指南（污染影响类）（试行）》（环办环评</w:t>
            </w:r>
            <w:r>
              <w:rPr>
                <w:rFonts w:hint="eastAsia"/>
                <w:color w:val="auto"/>
                <w:sz w:val="24"/>
                <w:szCs w:val="24"/>
                <w:highlight w:val="none"/>
              </w:rPr>
              <w:t>〔</w:t>
            </w:r>
            <w:r>
              <w:rPr>
                <w:color w:val="auto"/>
                <w:sz w:val="24"/>
                <w:szCs w:val="24"/>
                <w:highlight w:val="none"/>
              </w:rPr>
              <w:t>202</w:t>
            </w:r>
            <w:r>
              <w:rPr>
                <w:rFonts w:hint="eastAsia"/>
                <w:color w:val="auto"/>
                <w:sz w:val="24"/>
                <w:szCs w:val="24"/>
                <w:highlight w:val="none"/>
                <w:lang w:val="en-US" w:eastAsia="zh-CN"/>
              </w:rPr>
              <w:t>0</w:t>
            </w:r>
            <w:r>
              <w:rPr>
                <w:rFonts w:hint="eastAsia"/>
                <w:color w:val="auto"/>
                <w:sz w:val="24"/>
                <w:szCs w:val="24"/>
                <w:highlight w:val="none"/>
              </w:rPr>
              <w:t>〕</w:t>
            </w:r>
            <w:r>
              <w:rPr>
                <w:rFonts w:hint="eastAsia" w:ascii="Times New Roman" w:hAnsi="Times New Roman" w:eastAsia="宋体" w:cs="Times New Roman"/>
                <w:color w:val="auto"/>
                <w:kern w:val="2"/>
                <w:sz w:val="24"/>
                <w:szCs w:val="20"/>
                <w:highlight w:val="none"/>
                <w:lang w:val="en-US" w:eastAsia="zh-CN" w:bidi="ar-SA"/>
              </w:rPr>
              <w:t>33号）的要求。</w:t>
            </w:r>
          </w:p>
          <w:p w14:paraId="73F31680">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大气环境质量现状</w:t>
            </w:r>
          </w:p>
          <w:p w14:paraId="44D6082D">
            <w:pPr>
              <w:pStyle w:val="5"/>
              <w:bidi w:val="0"/>
              <w:rPr>
                <w:rFonts w:hint="default"/>
                <w:color w:val="auto"/>
                <w:highlight w:val="none"/>
              </w:rPr>
            </w:pPr>
            <w:r>
              <w:rPr>
                <w:rFonts w:hint="default"/>
                <w:color w:val="auto"/>
                <w:highlight w:val="none"/>
                <w:lang w:val="en-US" w:eastAsia="zh-CN"/>
              </w:rPr>
              <w:t>区域达标判断</w:t>
            </w:r>
          </w:p>
          <w:p w14:paraId="5BB82E52">
            <w:pPr>
              <w:pStyle w:val="46"/>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根据福州市人民政府榕政综</w:t>
            </w:r>
            <w:r>
              <w:rPr>
                <w:rFonts w:hint="eastAsia" w:cs="宋体"/>
                <w:color w:val="auto"/>
                <w:highlight w:val="none"/>
                <w:lang w:val="en-US" w:eastAsia="zh-CN"/>
              </w:rPr>
              <w:t>〔2014〕30号</w:t>
            </w:r>
            <w:r>
              <w:rPr>
                <w:rFonts w:hint="eastAsia" w:ascii="Times New Roman" w:hAnsi="Times New Roman" w:eastAsia="宋体" w:cs="宋体"/>
                <w:color w:val="auto"/>
                <w:highlight w:val="none"/>
                <w:lang w:val="en-US" w:eastAsia="zh-CN"/>
              </w:rPr>
              <w:t>文件正式批准实施《福州市环境空气质量功能区划</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报批稿</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》的规定，项目所在区域环境空气功能规划为二类区，环境空气质量执行《环境空气质量标准》</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GB3095-2012</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及其修改单中的二级标准。非甲烷总烃参照执行《大气污染物综合排放标准详解》</w:t>
            </w:r>
            <w:r>
              <w:rPr>
                <w:rFonts w:hint="eastAsia" w:cs="宋体"/>
                <w:color w:val="auto"/>
                <w:highlight w:val="none"/>
                <w:lang w:val="en-US" w:eastAsia="zh-CN"/>
              </w:rPr>
              <w:t>（生态环境部</w:t>
            </w:r>
            <w:r>
              <w:rPr>
                <w:rFonts w:hint="eastAsia" w:ascii="Times New Roman" w:hAnsi="Times New Roman" w:eastAsia="宋体" w:cs="宋体"/>
                <w:color w:val="auto"/>
                <w:highlight w:val="none"/>
                <w:lang w:val="en-US" w:eastAsia="zh-CN"/>
              </w:rPr>
              <w:t>科技标准司</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中规定的标准限值，具体详见表3.1-2。</w:t>
            </w:r>
          </w:p>
          <w:p w14:paraId="5AD278BF">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rPr>
              <w:t>环境空气标准一览表</w:t>
            </w:r>
          </w:p>
          <w:tbl>
            <w:tblPr>
              <w:tblStyle w:val="35"/>
              <w:tblW w:w="863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82"/>
              <w:gridCol w:w="2418"/>
              <w:gridCol w:w="1927"/>
              <w:gridCol w:w="2611"/>
            </w:tblGrid>
            <w:tr w14:paraId="1970C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tcBorders>
                    <w:bottom w:val="single" w:color="000000" w:sz="12" w:space="0"/>
                  </w:tcBorders>
                  <w:vAlign w:val="center"/>
                </w:tcPr>
                <w:p w14:paraId="28DAF43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sz w:val="21"/>
                    </w:rPr>
                    <w:t>污染物名称</w:t>
                  </w:r>
                </w:p>
              </w:tc>
              <w:tc>
                <w:tcPr>
                  <w:tcW w:w="2418" w:type="dxa"/>
                  <w:tcBorders>
                    <w:bottom w:val="single" w:color="000000" w:sz="12" w:space="0"/>
                  </w:tcBorders>
                  <w:vAlign w:val="center"/>
                </w:tcPr>
                <w:p w14:paraId="471C9CD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取值时间</w:t>
                  </w:r>
                </w:p>
              </w:tc>
              <w:tc>
                <w:tcPr>
                  <w:tcW w:w="1927" w:type="dxa"/>
                  <w:tcBorders>
                    <w:bottom w:val="single" w:color="000000" w:sz="12" w:space="0"/>
                  </w:tcBorders>
                  <w:vAlign w:val="center"/>
                </w:tcPr>
                <w:p w14:paraId="684971A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浓度限值</w:t>
                  </w:r>
                </w:p>
              </w:tc>
              <w:tc>
                <w:tcPr>
                  <w:tcW w:w="2611" w:type="dxa"/>
                  <w:tcBorders>
                    <w:bottom w:val="single" w:color="000000" w:sz="12" w:space="0"/>
                  </w:tcBorders>
                  <w:vAlign w:val="center"/>
                </w:tcPr>
                <w:p w14:paraId="0F15915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标准来源</w:t>
                  </w:r>
                </w:p>
              </w:tc>
            </w:tr>
            <w:tr w14:paraId="7327D7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op w:val="single" w:color="000000" w:sz="12" w:space="0"/>
                    <w:tl2br w:val="nil"/>
                    <w:tr2bl w:val="nil"/>
                  </w:tcBorders>
                  <w:vAlign w:val="center"/>
                </w:tcPr>
                <w:p w14:paraId="52C593E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3624F13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position w:val="2"/>
                      <w:sz w:val="21"/>
                    </w:rPr>
                    <w:t>PM</w:t>
                  </w:r>
                  <w:r>
                    <w:rPr>
                      <w:rFonts w:ascii="Times New Roman" w:hAnsi="Times New Roman" w:eastAsia="宋体"/>
                      <w:color w:val="auto"/>
                      <w:spacing w:val="-4"/>
                      <w:sz w:val="13"/>
                    </w:rPr>
                    <w:t>10</w:t>
                  </w:r>
                </w:p>
              </w:tc>
              <w:tc>
                <w:tcPr>
                  <w:tcW w:w="2418" w:type="dxa"/>
                  <w:tcBorders>
                    <w:top w:val="single" w:color="000000" w:sz="12" w:space="0"/>
                    <w:tl2br w:val="nil"/>
                    <w:tr2bl w:val="nil"/>
                  </w:tcBorders>
                  <w:vAlign w:val="center"/>
                </w:tcPr>
                <w:p w14:paraId="59A807C0">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927" w:type="dxa"/>
                  <w:tcBorders>
                    <w:top w:val="single" w:color="000000" w:sz="12" w:space="0"/>
                    <w:tl2br w:val="nil"/>
                    <w:tr2bl w:val="nil"/>
                  </w:tcBorders>
                  <w:vAlign w:val="center"/>
                </w:tcPr>
                <w:p w14:paraId="3A60E2C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70μg/m</w:t>
                  </w:r>
                  <w:r>
                    <w:rPr>
                      <w:rFonts w:ascii="Times New Roman" w:hAnsi="Times New Roman" w:eastAsia="宋体"/>
                      <w:color w:val="auto"/>
                      <w:spacing w:val="-2"/>
                      <w:sz w:val="21"/>
                      <w:vertAlign w:val="superscript"/>
                    </w:rPr>
                    <w:t>3</w:t>
                  </w:r>
                </w:p>
              </w:tc>
              <w:tc>
                <w:tcPr>
                  <w:tcW w:w="2611" w:type="dxa"/>
                  <w:vMerge w:val="restart"/>
                  <w:tcBorders>
                    <w:top w:val="single" w:color="000000" w:sz="12" w:space="0"/>
                    <w:tl2br w:val="nil"/>
                    <w:tr2bl w:val="nil"/>
                  </w:tcBorders>
                  <w:vAlign w:val="center"/>
                </w:tcPr>
                <w:p w14:paraId="63BF759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3"/>
                      <w:sz w:val="21"/>
                    </w:rPr>
                    <w:t>《环境空气质量标准》</w:t>
                  </w:r>
                </w:p>
                <w:p w14:paraId="33CDEF1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eastAsia="zh-CN"/>
                    </w:rPr>
                    <w:t>（</w:t>
                  </w:r>
                  <w:r>
                    <w:rPr>
                      <w:rFonts w:ascii="Times New Roman" w:hAnsi="Times New Roman" w:eastAsia="宋体"/>
                      <w:color w:val="auto"/>
                      <w:spacing w:val="-2"/>
                      <w:sz w:val="21"/>
                    </w:rPr>
                    <w:t>GB3095-2012</w:t>
                  </w:r>
                  <w:r>
                    <w:rPr>
                      <w:rFonts w:hint="eastAsia" w:ascii="Times New Roman" w:hAnsi="Times New Roman"/>
                      <w:color w:val="auto"/>
                      <w:spacing w:val="-2"/>
                      <w:sz w:val="21"/>
                      <w:lang w:eastAsia="zh-CN"/>
                    </w:rPr>
                    <w:t>）</w:t>
                  </w:r>
                  <w:r>
                    <w:rPr>
                      <w:rFonts w:ascii="Times New Roman" w:hAnsi="Times New Roman" w:eastAsia="宋体"/>
                      <w:color w:val="auto"/>
                      <w:spacing w:val="-4"/>
                      <w:sz w:val="21"/>
                    </w:rPr>
                    <w:t>及其修改单中的二级标准</w:t>
                  </w:r>
                </w:p>
              </w:tc>
            </w:tr>
            <w:tr w14:paraId="77404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129B20B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0504166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927" w:type="dxa"/>
                  <w:tcBorders>
                    <w:tl2br w:val="nil"/>
                    <w:tr2bl w:val="nil"/>
                  </w:tcBorders>
                  <w:vAlign w:val="center"/>
                </w:tcPr>
                <w:p w14:paraId="35A5D1F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150μg/m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26EB1D18">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44FC2A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2E21ACE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23A9FE0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2"/>
                      <w:w w:val="105"/>
                      <w:position w:val="2"/>
                      <w:sz w:val="21"/>
                    </w:rPr>
                    <w:t>PM</w:t>
                  </w:r>
                  <w:r>
                    <w:rPr>
                      <w:rFonts w:ascii="Times New Roman" w:hAnsi="Times New Roman" w:eastAsia="宋体"/>
                      <w:color w:val="auto"/>
                      <w:spacing w:val="-2"/>
                      <w:w w:val="105"/>
                      <w:sz w:val="13"/>
                    </w:rPr>
                    <w:t>2.5</w:t>
                  </w:r>
                </w:p>
              </w:tc>
              <w:tc>
                <w:tcPr>
                  <w:tcW w:w="2418" w:type="dxa"/>
                  <w:tcBorders>
                    <w:tl2br w:val="nil"/>
                    <w:tr2bl w:val="nil"/>
                  </w:tcBorders>
                  <w:vAlign w:val="center"/>
                </w:tcPr>
                <w:p w14:paraId="64EAFDA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927" w:type="dxa"/>
                  <w:tcBorders>
                    <w:tl2br w:val="nil"/>
                    <w:tr2bl w:val="nil"/>
                  </w:tcBorders>
                  <w:vAlign w:val="center"/>
                </w:tcPr>
                <w:p w14:paraId="404B329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35μg/m</w:t>
                  </w:r>
                  <w:r>
                    <w:rPr>
                      <w:rFonts w:ascii="Times New Roman" w:hAnsi="Times New Roman" w:eastAsia="宋体"/>
                      <w:color w:val="auto"/>
                      <w:spacing w:val="-2"/>
                      <w:position w:val="7"/>
                      <w:sz w:val="13"/>
                    </w:rPr>
                    <w:t>3</w:t>
                  </w:r>
                </w:p>
              </w:tc>
              <w:tc>
                <w:tcPr>
                  <w:tcW w:w="2611" w:type="dxa"/>
                  <w:vMerge w:val="continue"/>
                  <w:tcBorders>
                    <w:tl2br w:val="nil"/>
                    <w:tr2bl w:val="nil"/>
                  </w:tcBorders>
                  <w:vAlign w:val="center"/>
                </w:tcPr>
                <w:p w14:paraId="24F9460B">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1E56AF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50F6392B">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6E0FA5B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927" w:type="dxa"/>
                  <w:tcBorders>
                    <w:tl2br w:val="nil"/>
                    <w:tr2bl w:val="nil"/>
                  </w:tcBorders>
                  <w:vAlign w:val="center"/>
                </w:tcPr>
                <w:p w14:paraId="09A5F9A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75μg/m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43F89C26">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2B9E25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682C6D3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rPr>
                  </w:pPr>
                </w:p>
                <w:p w14:paraId="4D33D41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SO</w:t>
                  </w:r>
                  <w:r>
                    <w:rPr>
                      <w:rFonts w:ascii="Times New Roman" w:hAnsi="Times New Roman" w:eastAsia="宋体"/>
                      <w:color w:val="auto"/>
                      <w:spacing w:val="-5"/>
                      <w:sz w:val="13"/>
                    </w:rPr>
                    <w:t>2</w:t>
                  </w:r>
                </w:p>
              </w:tc>
              <w:tc>
                <w:tcPr>
                  <w:tcW w:w="2418" w:type="dxa"/>
                  <w:tcBorders>
                    <w:tl2br w:val="nil"/>
                    <w:tr2bl w:val="nil"/>
                  </w:tcBorders>
                  <w:vAlign w:val="center"/>
                </w:tcPr>
                <w:p w14:paraId="44D0FB0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927" w:type="dxa"/>
                  <w:tcBorders>
                    <w:tl2br w:val="nil"/>
                    <w:tr2bl w:val="nil"/>
                  </w:tcBorders>
                  <w:vAlign w:val="center"/>
                </w:tcPr>
                <w:p w14:paraId="5E38EC6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60μg/m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78A00FC3">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F4B4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6EEED74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00B33D0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927" w:type="dxa"/>
                  <w:tcBorders>
                    <w:tl2br w:val="nil"/>
                    <w:tr2bl w:val="nil"/>
                  </w:tcBorders>
                  <w:vAlign w:val="center"/>
                </w:tcPr>
                <w:p w14:paraId="747DA51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150μg/m</w:t>
                  </w:r>
                  <w:r>
                    <w:rPr>
                      <w:rFonts w:ascii="Times New Roman" w:hAnsi="Times New Roman" w:eastAsia="宋体"/>
                      <w:color w:val="auto"/>
                      <w:spacing w:val="-2"/>
                      <w:position w:val="7"/>
                      <w:sz w:val="13"/>
                    </w:rPr>
                    <w:t>3</w:t>
                  </w:r>
                </w:p>
              </w:tc>
              <w:tc>
                <w:tcPr>
                  <w:tcW w:w="2611" w:type="dxa"/>
                  <w:vMerge w:val="continue"/>
                  <w:tcBorders>
                    <w:tl2br w:val="nil"/>
                    <w:tr2bl w:val="nil"/>
                  </w:tcBorders>
                  <w:vAlign w:val="center"/>
                </w:tcPr>
                <w:p w14:paraId="12896746">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40C46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2053654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250A62B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1</w:t>
                  </w:r>
                  <w:r>
                    <w:rPr>
                      <w:rFonts w:ascii="Times New Roman" w:hAnsi="Times New Roman" w:eastAsia="宋体"/>
                      <w:color w:val="auto"/>
                      <w:spacing w:val="-3"/>
                      <w:sz w:val="21"/>
                    </w:rPr>
                    <w:t>小时平均</w:t>
                  </w:r>
                </w:p>
              </w:tc>
              <w:tc>
                <w:tcPr>
                  <w:tcW w:w="1927" w:type="dxa"/>
                  <w:tcBorders>
                    <w:tl2br w:val="nil"/>
                    <w:tr2bl w:val="nil"/>
                  </w:tcBorders>
                  <w:vAlign w:val="center"/>
                </w:tcPr>
                <w:p w14:paraId="0B49855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500μg/m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74228A19">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7978B8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06F50B1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rPr>
                  </w:pPr>
                </w:p>
                <w:p w14:paraId="40F298F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NO</w:t>
                  </w:r>
                  <w:r>
                    <w:rPr>
                      <w:rFonts w:ascii="Times New Roman" w:hAnsi="Times New Roman" w:eastAsia="宋体"/>
                      <w:color w:val="auto"/>
                      <w:spacing w:val="-5"/>
                      <w:sz w:val="13"/>
                    </w:rPr>
                    <w:t>2</w:t>
                  </w:r>
                </w:p>
              </w:tc>
              <w:tc>
                <w:tcPr>
                  <w:tcW w:w="2418" w:type="dxa"/>
                  <w:tcBorders>
                    <w:tl2br w:val="nil"/>
                    <w:tr2bl w:val="nil"/>
                  </w:tcBorders>
                  <w:vAlign w:val="center"/>
                </w:tcPr>
                <w:p w14:paraId="5BD86BA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olor w:val="auto"/>
                      <w:sz w:val="21"/>
                    </w:rPr>
                  </w:pPr>
                  <w:r>
                    <w:rPr>
                      <w:rFonts w:ascii="Times New Roman" w:hAnsi="Times New Roman" w:eastAsia="宋体"/>
                      <w:color w:val="auto"/>
                      <w:spacing w:val="-5"/>
                      <w:sz w:val="21"/>
                    </w:rPr>
                    <w:t>年平均</w:t>
                  </w:r>
                </w:p>
              </w:tc>
              <w:tc>
                <w:tcPr>
                  <w:tcW w:w="1927" w:type="dxa"/>
                  <w:tcBorders>
                    <w:tl2br w:val="nil"/>
                    <w:tr2bl w:val="nil"/>
                  </w:tcBorders>
                  <w:vAlign w:val="center"/>
                </w:tcPr>
                <w:p w14:paraId="532FDA9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40μg/m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204E8F34">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F868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07DD3808">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058C953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927" w:type="dxa"/>
                  <w:tcBorders>
                    <w:tl2br w:val="nil"/>
                    <w:tr2bl w:val="nil"/>
                  </w:tcBorders>
                  <w:vAlign w:val="center"/>
                </w:tcPr>
                <w:p w14:paraId="2B245A6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80μg/m</w:t>
                  </w:r>
                  <w:r>
                    <w:rPr>
                      <w:rFonts w:ascii="Times New Roman" w:hAnsi="Times New Roman" w:eastAsia="宋体"/>
                      <w:color w:val="auto"/>
                      <w:spacing w:val="-2"/>
                      <w:position w:val="7"/>
                      <w:sz w:val="13"/>
                    </w:rPr>
                    <w:t>3</w:t>
                  </w:r>
                </w:p>
              </w:tc>
              <w:tc>
                <w:tcPr>
                  <w:tcW w:w="2611" w:type="dxa"/>
                  <w:vMerge w:val="continue"/>
                  <w:tcBorders>
                    <w:tl2br w:val="nil"/>
                    <w:tr2bl w:val="nil"/>
                  </w:tcBorders>
                  <w:vAlign w:val="center"/>
                </w:tcPr>
                <w:p w14:paraId="2B94CC3B">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51EC3F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5EAF00E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36568C6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z w:val="21"/>
                    </w:rPr>
                    <w:t>1</w:t>
                  </w:r>
                  <w:r>
                    <w:rPr>
                      <w:rFonts w:ascii="Times New Roman" w:hAnsi="Times New Roman" w:eastAsia="宋体"/>
                      <w:color w:val="auto"/>
                      <w:spacing w:val="-3"/>
                      <w:sz w:val="21"/>
                    </w:rPr>
                    <w:t>小时平均</w:t>
                  </w:r>
                </w:p>
              </w:tc>
              <w:tc>
                <w:tcPr>
                  <w:tcW w:w="1927" w:type="dxa"/>
                  <w:tcBorders>
                    <w:tl2br w:val="nil"/>
                    <w:tr2bl w:val="nil"/>
                  </w:tcBorders>
                  <w:vAlign w:val="center"/>
                </w:tcPr>
                <w:p w14:paraId="1D9F0C1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200μg/m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5E7BA803">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7DC34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3DB7799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CO</w:t>
                  </w:r>
                </w:p>
              </w:tc>
              <w:tc>
                <w:tcPr>
                  <w:tcW w:w="2418" w:type="dxa"/>
                  <w:tcBorders>
                    <w:tl2br w:val="nil"/>
                    <w:tr2bl w:val="nil"/>
                  </w:tcBorders>
                  <w:vAlign w:val="center"/>
                </w:tcPr>
                <w:p w14:paraId="321E421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24</w:t>
                  </w:r>
                  <w:r>
                    <w:rPr>
                      <w:rFonts w:ascii="Times New Roman" w:hAnsi="Times New Roman" w:eastAsia="宋体"/>
                      <w:color w:val="auto"/>
                      <w:spacing w:val="-4"/>
                      <w:sz w:val="21"/>
                    </w:rPr>
                    <w:t>小时平均</w:t>
                  </w:r>
                </w:p>
              </w:tc>
              <w:tc>
                <w:tcPr>
                  <w:tcW w:w="1927" w:type="dxa"/>
                  <w:tcBorders>
                    <w:tl2br w:val="nil"/>
                    <w:tr2bl w:val="nil"/>
                  </w:tcBorders>
                  <w:vAlign w:val="center"/>
                </w:tcPr>
                <w:p w14:paraId="6FD924F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4mg/m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1F744786">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5AB8CA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5C5650D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1B25942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927" w:type="dxa"/>
                  <w:tcBorders>
                    <w:tl2br w:val="nil"/>
                    <w:tr2bl w:val="nil"/>
                  </w:tcBorders>
                  <w:vAlign w:val="center"/>
                </w:tcPr>
                <w:p w14:paraId="5802767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10mg/m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34BD6837">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5382FB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5950CFD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O</w:t>
                  </w:r>
                  <w:r>
                    <w:rPr>
                      <w:rFonts w:ascii="Times New Roman" w:hAnsi="Times New Roman" w:eastAsia="宋体"/>
                      <w:color w:val="auto"/>
                      <w:spacing w:val="-5"/>
                      <w:sz w:val="13"/>
                    </w:rPr>
                    <w:t>3</w:t>
                  </w:r>
                </w:p>
              </w:tc>
              <w:tc>
                <w:tcPr>
                  <w:tcW w:w="2418" w:type="dxa"/>
                  <w:tcBorders>
                    <w:tl2br w:val="nil"/>
                    <w:tr2bl w:val="nil"/>
                  </w:tcBorders>
                  <w:vAlign w:val="center"/>
                </w:tcPr>
                <w:p w14:paraId="212A88F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日最大8</w:t>
                  </w:r>
                  <w:r>
                    <w:rPr>
                      <w:rFonts w:ascii="Times New Roman" w:hAnsi="Times New Roman" w:eastAsia="宋体"/>
                      <w:color w:val="auto"/>
                      <w:spacing w:val="-4"/>
                      <w:sz w:val="21"/>
                    </w:rPr>
                    <w:t>小时平均</w:t>
                  </w:r>
                </w:p>
              </w:tc>
              <w:tc>
                <w:tcPr>
                  <w:tcW w:w="1927" w:type="dxa"/>
                  <w:tcBorders>
                    <w:tl2br w:val="nil"/>
                    <w:tr2bl w:val="nil"/>
                  </w:tcBorders>
                  <w:vAlign w:val="center"/>
                </w:tcPr>
                <w:p w14:paraId="210F4BB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160μg/m</w:t>
                  </w:r>
                  <w:r>
                    <w:rPr>
                      <w:rFonts w:ascii="Times New Roman" w:hAnsi="Times New Roman" w:eastAsia="宋体"/>
                      <w:color w:val="auto"/>
                      <w:spacing w:val="-2"/>
                      <w:position w:val="7"/>
                      <w:sz w:val="13"/>
                    </w:rPr>
                    <w:t>3</w:t>
                  </w:r>
                </w:p>
              </w:tc>
              <w:tc>
                <w:tcPr>
                  <w:tcW w:w="2611" w:type="dxa"/>
                  <w:vMerge w:val="continue"/>
                  <w:tcBorders>
                    <w:tl2br w:val="nil"/>
                    <w:tr2bl w:val="nil"/>
                  </w:tcBorders>
                  <w:vAlign w:val="center"/>
                </w:tcPr>
                <w:p w14:paraId="698430C3">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1D46EA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6238B56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vAlign w:val="center"/>
                </w:tcPr>
                <w:p w14:paraId="05036B4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927" w:type="dxa"/>
                  <w:tcBorders>
                    <w:tl2br w:val="nil"/>
                    <w:tr2bl w:val="nil"/>
                  </w:tcBorders>
                  <w:vAlign w:val="center"/>
                </w:tcPr>
                <w:p w14:paraId="5C6809B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200μg/m</w:t>
                  </w:r>
                  <w:r>
                    <w:rPr>
                      <w:rFonts w:ascii="Times New Roman" w:hAnsi="Times New Roman" w:eastAsia="宋体"/>
                      <w:color w:val="auto"/>
                      <w:spacing w:val="-2"/>
                      <w:sz w:val="21"/>
                      <w:vertAlign w:val="superscript"/>
                    </w:rPr>
                    <w:t>3</w:t>
                  </w:r>
                </w:p>
              </w:tc>
              <w:tc>
                <w:tcPr>
                  <w:tcW w:w="2611" w:type="dxa"/>
                  <w:vMerge w:val="continue"/>
                  <w:tcBorders>
                    <w:tl2br w:val="nil"/>
                    <w:tr2bl w:val="nil"/>
                  </w:tcBorders>
                  <w:vAlign w:val="center"/>
                </w:tcPr>
                <w:p w14:paraId="4987E7BC">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93A4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restart"/>
                  <w:tcBorders>
                    <w:tl2br w:val="nil"/>
                    <w:tr2bl w:val="nil"/>
                  </w:tcBorders>
                  <w:vAlign w:val="center"/>
                </w:tcPr>
                <w:p w14:paraId="4BF65C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vertAlign w:val="baseline"/>
                      <w:lang w:val="en-US" w:eastAsia="zh-CN"/>
                    </w:rPr>
                  </w:pPr>
                  <w:r>
                    <w:rPr>
                      <w:rFonts w:hint="eastAsia"/>
                      <w:color w:val="auto"/>
                      <w:vertAlign w:val="baseline"/>
                      <w:lang w:val="en-US" w:eastAsia="zh-CN"/>
                    </w:rPr>
                    <w:t>TSP</w:t>
                  </w:r>
                </w:p>
              </w:tc>
              <w:tc>
                <w:tcPr>
                  <w:tcW w:w="2418" w:type="dxa"/>
                  <w:tcBorders>
                    <w:tl2br w:val="nil"/>
                    <w:tr2bl w:val="nil"/>
                  </w:tcBorders>
                  <w:shd w:val="clear" w:color="auto" w:fill="auto"/>
                  <w:vAlign w:val="top"/>
                </w:tcPr>
                <w:p w14:paraId="0981FB5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年平均</w:t>
                  </w:r>
                </w:p>
              </w:tc>
              <w:tc>
                <w:tcPr>
                  <w:tcW w:w="1927" w:type="dxa"/>
                  <w:tcBorders>
                    <w:tl2br w:val="nil"/>
                    <w:tr2bl w:val="nil"/>
                  </w:tcBorders>
                  <w:shd w:val="clear" w:color="auto" w:fill="auto"/>
                  <w:vAlign w:val="top"/>
                </w:tcPr>
                <w:p w14:paraId="63976D2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200μg/m³</w:t>
                  </w:r>
                </w:p>
              </w:tc>
              <w:tc>
                <w:tcPr>
                  <w:tcW w:w="2611" w:type="dxa"/>
                  <w:vMerge w:val="continue"/>
                  <w:tcBorders>
                    <w:tl2br w:val="nil"/>
                    <w:tr2bl w:val="nil"/>
                  </w:tcBorders>
                  <w:vAlign w:val="center"/>
                </w:tcPr>
                <w:p w14:paraId="2EE8EFF4">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17681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vMerge w:val="continue"/>
                  <w:tcBorders>
                    <w:tl2br w:val="nil"/>
                    <w:tr2bl w:val="nil"/>
                  </w:tcBorders>
                  <w:vAlign w:val="center"/>
                </w:tcPr>
                <w:p w14:paraId="0F7AAFE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2418" w:type="dxa"/>
                  <w:tcBorders>
                    <w:tl2br w:val="nil"/>
                    <w:tr2bl w:val="nil"/>
                  </w:tcBorders>
                  <w:shd w:val="clear" w:color="auto" w:fill="auto"/>
                  <w:vAlign w:val="top"/>
                </w:tcPr>
                <w:p w14:paraId="7D4C0563">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24小时平均</w:t>
                  </w:r>
                </w:p>
              </w:tc>
              <w:tc>
                <w:tcPr>
                  <w:tcW w:w="1927" w:type="dxa"/>
                  <w:tcBorders>
                    <w:tl2br w:val="nil"/>
                    <w:tr2bl w:val="nil"/>
                  </w:tcBorders>
                  <w:shd w:val="clear" w:color="auto" w:fill="auto"/>
                  <w:vAlign w:val="top"/>
                </w:tcPr>
                <w:p w14:paraId="0E1BEAF1">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300μg/m³</w:t>
                  </w:r>
                </w:p>
              </w:tc>
              <w:tc>
                <w:tcPr>
                  <w:tcW w:w="2611" w:type="dxa"/>
                  <w:vMerge w:val="continue"/>
                  <w:tcBorders>
                    <w:tl2br w:val="nil"/>
                    <w:tr2bl w:val="nil"/>
                  </w:tcBorders>
                  <w:vAlign w:val="center"/>
                </w:tcPr>
                <w:p w14:paraId="4E7B6637">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75164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682" w:type="dxa"/>
                  <w:tcBorders>
                    <w:tl2br w:val="nil"/>
                    <w:tr2bl w:val="nil"/>
                  </w:tcBorders>
                  <w:vAlign w:val="center"/>
                </w:tcPr>
                <w:p w14:paraId="7F19669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4"/>
                      <w:sz w:val="21"/>
                    </w:rPr>
                  </w:pPr>
                  <w:r>
                    <w:rPr>
                      <w:rFonts w:ascii="Times New Roman" w:hAnsi="Times New Roman" w:eastAsia="宋体"/>
                      <w:color w:val="auto"/>
                      <w:spacing w:val="-4"/>
                      <w:sz w:val="21"/>
                    </w:rPr>
                    <w:t>非甲烷总烃</w:t>
                  </w:r>
                </w:p>
              </w:tc>
              <w:tc>
                <w:tcPr>
                  <w:tcW w:w="2418" w:type="dxa"/>
                  <w:tcBorders>
                    <w:tl2br w:val="nil"/>
                    <w:tr2bl w:val="nil"/>
                  </w:tcBorders>
                  <w:vAlign w:val="center"/>
                </w:tcPr>
                <w:p w14:paraId="1CF20CF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eastAsia="Times New Roman"/>
                      <w:color w:val="auto"/>
                      <w:sz w:val="21"/>
                    </w:rPr>
                  </w:pPr>
                  <w:r>
                    <w:rPr>
                      <w:rFonts w:ascii="Times New Roman" w:hAnsi="Times New Roman" w:eastAsia="宋体"/>
                      <w:color w:val="auto"/>
                      <w:sz w:val="21"/>
                    </w:rPr>
                    <w:t>1</w:t>
                  </w:r>
                  <w:r>
                    <w:rPr>
                      <w:rFonts w:ascii="Times New Roman" w:hAnsi="Times New Roman" w:eastAsia="宋体"/>
                      <w:color w:val="auto"/>
                      <w:spacing w:val="-3"/>
                      <w:sz w:val="21"/>
                    </w:rPr>
                    <w:t>小时均值</w:t>
                  </w:r>
                </w:p>
              </w:tc>
              <w:tc>
                <w:tcPr>
                  <w:tcW w:w="1927" w:type="dxa"/>
                  <w:tcBorders>
                    <w:tl2br w:val="nil"/>
                    <w:tr2bl w:val="nil"/>
                  </w:tcBorders>
                  <w:vAlign w:val="center"/>
                </w:tcPr>
                <w:p w14:paraId="3FCC008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color w:val="auto"/>
                      <w:spacing w:val="-2"/>
                      <w:sz w:val="21"/>
                    </w:rPr>
                  </w:pPr>
                  <w:r>
                    <w:rPr>
                      <w:rFonts w:ascii="Times New Roman" w:hAnsi="Times New Roman" w:eastAsia="宋体"/>
                      <w:color w:val="auto"/>
                      <w:spacing w:val="-2"/>
                      <w:sz w:val="21"/>
                    </w:rPr>
                    <w:t>2.0mg/m</w:t>
                  </w:r>
                  <w:r>
                    <w:rPr>
                      <w:rFonts w:ascii="Times New Roman" w:hAnsi="Times New Roman" w:eastAsia="宋体"/>
                      <w:color w:val="auto"/>
                      <w:spacing w:val="-2"/>
                      <w:sz w:val="21"/>
                      <w:vertAlign w:val="superscript"/>
                    </w:rPr>
                    <w:t>3</w:t>
                  </w:r>
                </w:p>
              </w:tc>
              <w:tc>
                <w:tcPr>
                  <w:tcW w:w="2611" w:type="dxa"/>
                  <w:tcBorders>
                    <w:tl2br w:val="nil"/>
                    <w:tr2bl w:val="nil"/>
                  </w:tcBorders>
                  <w:vAlign w:val="center"/>
                </w:tcPr>
                <w:p w14:paraId="1691A720">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vertAlign w:val="baseline"/>
                    </w:rPr>
                  </w:pPr>
                  <w:r>
                    <w:rPr>
                      <w:rFonts w:ascii="Times New Roman" w:hAnsi="Times New Roman" w:eastAsia="宋体" w:cs="宋体"/>
                      <w:color w:val="auto"/>
                      <w:spacing w:val="-3"/>
                      <w:sz w:val="21"/>
                      <w:highlight w:val="none"/>
                    </w:rPr>
                    <w:t>《大气污染物综合排放标准</w:t>
                  </w:r>
                  <w:r>
                    <w:rPr>
                      <w:rFonts w:hint="eastAsia" w:ascii="Times New Roman" w:hAnsi="Times New Roman" w:cs="宋体"/>
                      <w:color w:val="auto"/>
                      <w:spacing w:val="-3"/>
                      <w:sz w:val="21"/>
                      <w:highlight w:val="none"/>
                      <w:lang w:val="en-US" w:eastAsia="zh-CN"/>
                    </w:rPr>
                    <w:t>详解</w:t>
                  </w:r>
                  <w:r>
                    <w:rPr>
                      <w:rFonts w:ascii="Times New Roman" w:hAnsi="Times New Roman" w:eastAsia="宋体" w:cs="宋体"/>
                      <w:color w:val="auto"/>
                      <w:spacing w:val="-3"/>
                      <w:sz w:val="21"/>
                      <w:highlight w:val="none"/>
                    </w:rPr>
                    <w:t>》</w:t>
                  </w:r>
                  <w:r>
                    <w:rPr>
                      <w:rFonts w:hint="eastAsia" w:ascii="Times New Roman" w:hAnsi="Times New Roman" w:cs="宋体"/>
                      <w:color w:val="auto"/>
                      <w:spacing w:val="-3"/>
                      <w:sz w:val="21"/>
                      <w:highlight w:val="none"/>
                      <w:lang w:eastAsia="zh-CN"/>
                    </w:rPr>
                    <w:t>（</w:t>
                  </w:r>
                  <w:r>
                    <w:rPr>
                      <w:rFonts w:ascii="Times New Roman" w:hAnsi="Times New Roman" w:eastAsia="宋体" w:cs="宋体"/>
                      <w:color w:val="auto"/>
                      <w:spacing w:val="-3"/>
                      <w:sz w:val="21"/>
                      <w:highlight w:val="none"/>
                    </w:rPr>
                    <w:t>GB16297-1996</w:t>
                  </w:r>
                  <w:r>
                    <w:rPr>
                      <w:rFonts w:hint="eastAsia" w:ascii="Times New Roman" w:hAnsi="Times New Roman" w:cs="宋体"/>
                      <w:color w:val="auto"/>
                      <w:spacing w:val="-3"/>
                      <w:sz w:val="21"/>
                      <w:highlight w:val="none"/>
                      <w:lang w:eastAsia="zh-CN"/>
                    </w:rPr>
                    <w:t>）</w:t>
                  </w:r>
                </w:p>
              </w:tc>
            </w:tr>
          </w:tbl>
          <w:p w14:paraId="0CD7C9C3">
            <w:pPr>
              <w:pStyle w:val="48"/>
              <w:rPr>
                <w:rFonts w:hint="default"/>
                <w:color w:val="auto"/>
              </w:rPr>
            </w:pPr>
          </w:p>
          <w:p w14:paraId="42E558AA">
            <w:pPr>
              <w:pStyle w:val="5"/>
              <w:bidi w:val="0"/>
              <w:rPr>
                <w:rFonts w:hint="default"/>
                <w:color w:val="auto"/>
              </w:rPr>
            </w:pPr>
            <w:r>
              <w:rPr>
                <w:rFonts w:hint="eastAsia"/>
                <w:color w:val="auto"/>
                <w:lang w:val="en-US" w:eastAsia="zh-CN"/>
              </w:rPr>
              <w:t>区域大气</w:t>
            </w:r>
            <w:r>
              <w:rPr>
                <w:rFonts w:hint="default"/>
                <w:color w:val="auto"/>
                <w:lang w:val="en-US" w:eastAsia="zh-CN"/>
              </w:rPr>
              <w:t>环境质量现状</w:t>
            </w:r>
          </w:p>
          <w:p w14:paraId="4407291A">
            <w:pPr>
              <w:pStyle w:val="46"/>
              <w:numPr>
                <w:ilvl w:val="0"/>
                <w:numId w:val="0"/>
              </w:numPr>
              <w:bidi w:val="0"/>
              <w:ind w:left="425" w:leftChars="0" w:hanging="425" w:firstLineChars="0"/>
              <w:rPr>
                <w:rFonts w:hint="eastAsia" w:ascii="Times New Roman" w:hAnsi="Times New Roman" w:eastAsia="宋体" w:cs="宋体"/>
                <w:color w:val="auto"/>
                <w:highlight w:val="none"/>
                <w:lang w:val="en-US" w:eastAsia="zh-CN"/>
              </w:rPr>
            </w:pPr>
            <w:r>
              <w:rPr>
                <w:rFonts w:hint="eastAsia" w:cs="宋体"/>
                <w:color w:val="auto"/>
                <w:kern w:val="0"/>
                <w:sz w:val="24"/>
                <w:szCs w:val="20"/>
                <w:lang w:val="en-US" w:eastAsia="zh-CN" w:bidi="ar-SA"/>
              </w:rPr>
              <w:t>（1）</w:t>
            </w:r>
            <w:r>
              <w:rPr>
                <w:rFonts w:hint="eastAsia" w:ascii="Times New Roman" w:hAnsi="Times New Roman" w:eastAsia="宋体" w:cs="宋体"/>
                <w:color w:val="auto"/>
                <w:highlight w:val="none"/>
                <w:lang w:val="en-US" w:eastAsia="zh-CN"/>
              </w:rPr>
              <w:t>城市达标区域判断</w:t>
            </w:r>
          </w:p>
          <w:p w14:paraId="44D106AC">
            <w:pPr>
              <w:pStyle w:val="46"/>
              <w:bidi w:val="0"/>
              <w:jc w:val="both"/>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highlight w:val="none"/>
                <w:lang w:val="en-US" w:eastAsia="zh-CN"/>
              </w:rPr>
              <w:t>城市环境空气质量达标情况评价指标为SO</w:t>
            </w:r>
            <w:r>
              <w:rPr>
                <w:rFonts w:hint="eastAsia" w:ascii="Times New Roman" w:hAnsi="Times New Roman" w:eastAsia="宋体" w:cs="宋体"/>
                <w:color w:val="auto"/>
                <w:highlight w:val="none"/>
                <w:vertAlign w:val="subscript"/>
                <w:lang w:val="en-US" w:eastAsia="zh-CN"/>
              </w:rPr>
              <w:t>2</w:t>
            </w:r>
            <w:r>
              <w:rPr>
                <w:rFonts w:hint="eastAsia" w:ascii="Times New Roman" w:hAnsi="Times New Roman" w:eastAsia="宋体" w:cs="宋体"/>
                <w:color w:val="auto"/>
                <w:highlight w:val="none"/>
                <w:lang w:val="en-US" w:eastAsia="zh-CN"/>
              </w:rPr>
              <w:t>、NO</w:t>
            </w:r>
            <w:r>
              <w:rPr>
                <w:rFonts w:hint="eastAsia" w:ascii="Times New Roman" w:hAnsi="Times New Roman" w:eastAsia="宋体" w:cs="宋体"/>
                <w:color w:val="auto"/>
                <w:highlight w:val="none"/>
                <w:vertAlign w:val="subscript"/>
                <w:lang w:val="en-US" w:eastAsia="zh-CN"/>
              </w:rPr>
              <w:t>2</w:t>
            </w:r>
            <w:r>
              <w:rPr>
                <w:rFonts w:hint="eastAsia" w:ascii="Times New Roman" w:hAnsi="Times New Roman" w:eastAsia="宋体" w:cs="宋体"/>
                <w:color w:val="auto"/>
                <w:highlight w:val="none"/>
                <w:lang w:val="en-US" w:eastAsia="zh-CN"/>
              </w:rPr>
              <w:t>、PM</w:t>
            </w:r>
            <w:r>
              <w:rPr>
                <w:rFonts w:hint="eastAsia" w:ascii="Times New Roman" w:hAnsi="Times New Roman" w:eastAsia="宋体" w:cs="宋体"/>
                <w:color w:val="auto"/>
                <w:highlight w:val="none"/>
                <w:vertAlign w:val="subscript"/>
                <w:lang w:val="en-US" w:eastAsia="zh-CN"/>
              </w:rPr>
              <w:t>10</w:t>
            </w:r>
            <w:r>
              <w:rPr>
                <w:rFonts w:hint="eastAsia" w:ascii="Times New Roman" w:hAnsi="Times New Roman" w:eastAsia="宋体" w:cs="宋体"/>
                <w:color w:val="auto"/>
                <w:highlight w:val="none"/>
                <w:lang w:val="en-US" w:eastAsia="zh-CN"/>
              </w:rPr>
              <w:t>、PM</w:t>
            </w:r>
            <w:r>
              <w:rPr>
                <w:rFonts w:hint="eastAsia" w:ascii="Times New Roman" w:hAnsi="Times New Roman" w:eastAsia="宋体" w:cs="宋体"/>
                <w:color w:val="auto"/>
                <w:highlight w:val="none"/>
                <w:vertAlign w:val="subscript"/>
                <w:lang w:val="en-US" w:eastAsia="zh-CN"/>
              </w:rPr>
              <w:t>2.5</w:t>
            </w:r>
            <w:r>
              <w:rPr>
                <w:rFonts w:hint="eastAsia" w:ascii="Times New Roman" w:hAnsi="Times New Roman" w:eastAsia="宋体" w:cs="宋体"/>
                <w:color w:val="auto"/>
                <w:highlight w:val="none"/>
                <w:lang w:val="en-US" w:eastAsia="zh-CN"/>
              </w:rPr>
              <w:t>、CO和O</w:t>
            </w:r>
            <w:r>
              <w:rPr>
                <w:rFonts w:hint="eastAsia" w:ascii="Times New Roman" w:hAnsi="Times New Roman" w:eastAsia="宋体" w:cs="宋体"/>
                <w:color w:val="auto"/>
                <w:highlight w:val="none"/>
                <w:vertAlign w:val="subscript"/>
                <w:lang w:val="en-US" w:eastAsia="zh-CN"/>
              </w:rPr>
              <w:t>3</w:t>
            </w:r>
            <w:r>
              <w:rPr>
                <w:rFonts w:hint="eastAsia" w:ascii="Times New Roman" w:hAnsi="Times New Roman" w:eastAsia="宋体" w:cs="宋体"/>
                <w:color w:val="auto"/>
                <w:highlight w:val="none"/>
                <w:lang w:val="en-US" w:eastAsia="zh-CN"/>
              </w:rPr>
              <w:t>，六项污染物全部达标即为城市环境空气质量达标。根据福建省生态环境厅发布的</w:t>
            </w:r>
            <w:r>
              <w:rPr>
                <w:rFonts w:hint="eastAsia" w:ascii="Times New Roman" w:hAnsi="Times New Roman" w:eastAsia="宋体" w:cs="宋体"/>
                <w:color w:val="auto"/>
                <w:sz w:val="24"/>
                <w:highlight w:val="none"/>
                <w:lang w:val="en-US" w:eastAsia="zh-CN"/>
              </w:rPr>
              <w:t>“202</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lang w:val="en-US" w:eastAsia="zh-CN"/>
              </w:rPr>
              <w:t>年12月福建省城市环境空气质量状况”显示，202</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lang w:val="en-US" w:eastAsia="zh-CN"/>
              </w:rPr>
              <w:t>年1</w:t>
            </w:r>
            <w:r>
              <w:rPr>
                <w:rFonts w:hint="eastAsia"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12月，福州市环境空气质量综合指数2.</w:t>
            </w:r>
            <w:r>
              <w:rPr>
                <w:rFonts w:hint="eastAsia" w:ascii="Times New Roman" w:hAnsi="Times New Roman" w:cs="宋体"/>
                <w:color w:val="auto"/>
                <w:sz w:val="24"/>
                <w:highlight w:val="none"/>
                <w:lang w:val="en-US" w:eastAsia="zh-CN"/>
              </w:rPr>
              <w:t>40</w:t>
            </w:r>
            <w:r>
              <w:rPr>
                <w:rFonts w:hint="eastAsia" w:ascii="Times New Roman" w:hAnsi="Times New Roman" w:eastAsia="宋体" w:cs="宋体"/>
                <w:color w:val="auto"/>
                <w:sz w:val="24"/>
                <w:highlight w:val="none"/>
                <w:lang w:val="en-US" w:eastAsia="zh-CN"/>
              </w:rPr>
              <w:t>。由此可知，福州市城区环境空气质量总体达到二级标准，</w:t>
            </w:r>
            <w:r>
              <w:rPr>
                <w:rFonts w:hint="eastAsia" w:cs="宋体"/>
                <w:color w:val="auto"/>
                <w:sz w:val="24"/>
                <w:highlight w:val="none"/>
                <w:lang w:val="en-US" w:eastAsia="zh-CN"/>
              </w:rPr>
              <w:t>福清市</w:t>
            </w:r>
            <w:r>
              <w:rPr>
                <w:rFonts w:hint="eastAsia" w:ascii="Times New Roman" w:hAnsi="Times New Roman" w:eastAsia="宋体" w:cs="宋体"/>
                <w:color w:val="auto"/>
                <w:sz w:val="24"/>
                <w:highlight w:val="none"/>
                <w:lang w:val="en-US" w:eastAsia="zh-CN"/>
              </w:rPr>
              <w:t>属于达标区域</w:t>
            </w:r>
            <w:r>
              <w:rPr>
                <w:rFonts w:hint="eastAsia"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见表3.1-</w:t>
            </w:r>
            <w:r>
              <w:rPr>
                <w:rFonts w:hint="eastAsia" w:ascii="Times New Roman" w:hAnsi="Times New Roman" w:cs="宋体"/>
                <w:color w:val="auto"/>
                <w:sz w:val="24"/>
                <w:highlight w:val="none"/>
                <w:lang w:val="en-US" w:eastAsia="zh-CN"/>
              </w:rPr>
              <w:t>3</w:t>
            </w:r>
            <w:r>
              <w:rPr>
                <w:rFonts w:hint="eastAsia" w:ascii="Times New Roman" w:hAnsi="Times New Roman" w:eastAsia="宋体" w:cs="宋体"/>
                <w:color w:val="auto"/>
                <w:sz w:val="24"/>
                <w:highlight w:val="none"/>
                <w:lang w:val="en-US" w:eastAsia="zh-CN"/>
              </w:rPr>
              <w:t>。</w:t>
            </w:r>
          </w:p>
          <w:p w14:paraId="393979FA">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w:t>
            </w:r>
            <w:r>
              <w:rPr>
                <w:rFonts w:hint="eastAsia"/>
                <w:color w:val="auto"/>
                <w:highlight w:val="none"/>
                <w:lang w:val="en-US" w:eastAsia="zh-CN"/>
              </w:rPr>
              <w:t>5</w:t>
            </w:r>
            <w:r>
              <w:rPr>
                <w:rFonts w:hint="eastAsia" w:ascii="Times New Roman" w:hAnsi="Times New Roman" w:eastAsia="宋体"/>
                <w:color w:val="auto"/>
                <w:highlight w:val="none"/>
                <w:lang w:val="en-US" w:eastAsia="zh-CN"/>
              </w:rPr>
              <w:t>年1</w:t>
            </w:r>
            <w:r>
              <w:rPr>
                <w:rFonts w:hint="eastAsia"/>
                <w:color w:val="auto"/>
                <w:highlight w:val="none"/>
                <w:lang w:val="en-US" w:eastAsia="zh-CN"/>
              </w:rPr>
              <w:t>—</w:t>
            </w:r>
            <w:r>
              <w:rPr>
                <w:rFonts w:hint="eastAsia" w:ascii="Times New Roman" w:hAnsi="Times New Roman" w:eastAsia="宋体"/>
                <w:color w:val="auto"/>
                <w:highlight w:val="none"/>
                <w:lang w:val="en-US" w:eastAsia="zh-CN"/>
              </w:rPr>
              <w:t>12月设区城市环境空气质量状况</w:t>
            </w:r>
          </w:p>
          <w:tbl>
            <w:tblPr>
              <w:tblStyle w:val="34"/>
              <w:tblW w:w="8643" w:type="dxa"/>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fixed"/>
              <w:tblCellMar>
                <w:top w:w="0" w:type="dxa"/>
                <w:left w:w="0" w:type="dxa"/>
                <w:bottom w:w="0" w:type="dxa"/>
                <w:right w:w="0" w:type="dxa"/>
              </w:tblCellMar>
            </w:tblPr>
            <w:tblGrid>
              <w:gridCol w:w="536"/>
              <w:gridCol w:w="832"/>
              <w:gridCol w:w="808"/>
              <w:gridCol w:w="706"/>
              <w:gridCol w:w="739"/>
              <w:gridCol w:w="799"/>
              <w:gridCol w:w="870"/>
              <w:gridCol w:w="1106"/>
              <w:gridCol w:w="1312"/>
              <w:gridCol w:w="935"/>
            </w:tblGrid>
            <w:tr w14:paraId="5812C79C">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5" w:hRule="atLeast"/>
              </w:trPr>
              <w:tc>
                <w:tcPr>
                  <w:tcW w:w="536" w:type="dxa"/>
                  <w:tcBorders>
                    <w:tl2br w:val="nil"/>
                    <w:tr2bl w:val="nil"/>
                  </w:tcBorders>
                  <w:vAlign w:val="center"/>
                </w:tcPr>
                <w:p w14:paraId="0676653C">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排</w:t>
                  </w:r>
                </w:p>
                <w:p w14:paraId="50FA2CAE">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名</w:t>
                  </w:r>
                </w:p>
              </w:tc>
              <w:tc>
                <w:tcPr>
                  <w:tcW w:w="832" w:type="dxa"/>
                  <w:tcBorders>
                    <w:tl2br w:val="nil"/>
                    <w:tr2bl w:val="nil"/>
                  </w:tcBorders>
                  <w:vAlign w:val="center"/>
                </w:tcPr>
                <w:p w14:paraId="255DB68E">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城市</w:t>
                  </w:r>
                </w:p>
              </w:tc>
              <w:tc>
                <w:tcPr>
                  <w:tcW w:w="808" w:type="dxa"/>
                  <w:tcBorders>
                    <w:tl2br w:val="nil"/>
                    <w:tr2bl w:val="nil"/>
                  </w:tcBorders>
                  <w:vAlign w:val="center"/>
                </w:tcPr>
                <w:p w14:paraId="6275A5A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综合</w:t>
                  </w:r>
                </w:p>
                <w:p w14:paraId="430EF4E0">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指数</w:t>
                  </w:r>
                </w:p>
              </w:tc>
              <w:tc>
                <w:tcPr>
                  <w:tcW w:w="706" w:type="dxa"/>
                  <w:tcBorders>
                    <w:tl2br w:val="nil"/>
                    <w:tr2bl w:val="nil"/>
                  </w:tcBorders>
                  <w:vAlign w:val="center"/>
                </w:tcPr>
                <w:p w14:paraId="0DA364E5">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SO</w:t>
                  </w:r>
                  <w:r>
                    <w:rPr>
                      <w:rFonts w:ascii="Times New Roman" w:hAnsi="Times New Roman" w:eastAsia="宋体"/>
                      <w:color w:val="auto"/>
                      <w:spacing w:val="-5"/>
                      <w:sz w:val="21"/>
                      <w:szCs w:val="21"/>
                    </w:rPr>
                    <w:t>2</w:t>
                  </w:r>
                </w:p>
              </w:tc>
              <w:tc>
                <w:tcPr>
                  <w:tcW w:w="739" w:type="dxa"/>
                  <w:tcBorders>
                    <w:tl2br w:val="nil"/>
                    <w:tr2bl w:val="nil"/>
                  </w:tcBorders>
                  <w:vAlign w:val="center"/>
                </w:tcPr>
                <w:p w14:paraId="2B6E8FEF">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NO</w:t>
                  </w:r>
                  <w:r>
                    <w:rPr>
                      <w:rFonts w:ascii="Times New Roman" w:hAnsi="Times New Roman" w:eastAsia="宋体"/>
                      <w:color w:val="auto"/>
                      <w:spacing w:val="-5"/>
                      <w:sz w:val="21"/>
                      <w:szCs w:val="21"/>
                    </w:rPr>
                    <w:t>2</w:t>
                  </w:r>
                </w:p>
              </w:tc>
              <w:tc>
                <w:tcPr>
                  <w:tcW w:w="799" w:type="dxa"/>
                  <w:tcBorders>
                    <w:tl2br w:val="nil"/>
                    <w:tr2bl w:val="nil"/>
                  </w:tcBorders>
                  <w:vAlign w:val="center"/>
                </w:tcPr>
                <w:p w14:paraId="5753BD2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4"/>
                      <w:position w:val="2"/>
                      <w:sz w:val="21"/>
                      <w:szCs w:val="21"/>
                    </w:rPr>
                    <w:t>PM</w:t>
                  </w:r>
                  <w:r>
                    <w:rPr>
                      <w:rFonts w:ascii="Times New Roman" w:hAnsi="Times New Roman" w:eastAsia="宋体"/>
                      <w:color w:val="auto"/>
                      <w:spacing w:val="-4"/>
                      <w:sz w:val="21"/>
                      <w:szCs w:val="21"/>
                    </w:rPr>
                    <w:t>10</w:t>
                  </w:r>
                </w:p>
              </w:tc>
              <w:tc>
                <w:tcPr>
                  <w:tcW w:w="870" w:type="dxa"/>
                  <w:tcBorders>
                    <w:tl2br w:val="nil"/>
                    <w:tr2bl w:val="nil"/>
                  </w:tcBorders>
                  <w:vAlign w:val="center"/>
                </w:tcPr>
                <w:p w14:paraId="20A441B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w w:val="105"/>
                      <w:position w:val="2"/>
                      <w:sz w:val="21"/>
                      <w:szCs w:val="21"/>
                    </w:rPr>
                    <w:t>PM</w:t>
                  </w:r>
                  <w:r>
                    <w:rPr>
                      <w:rFonts w:ascii="Times New Roman" w:hAnsi="Times New Roman" w:eastAsia="宋体"/>
                      <w:color w:val="auto"/>
                      <w:spacing w:val="-2"/>
                      <w:w w:val="105"/>
                      <w:sz w:val="21"/>
                      <w:szCs w:val="21"/>
                    </w:rPr>
                    <w:t>2.5</w:t>
                  </w:r>
                </w:p>
              </w:tc>
              <w:tc>
                <w:tcPr>
                  <w:tcW w:w="1106" w:type="dxa"/>
                  <w:tcBorders>
                    <w:tl2br w:val="nil"/>
                    <w:tr2bl w:val="nil"/>
                  </w:tcBorders>
                  <w:vAlign w:val="center"/>
                </w:tcPr>
                <w:p w14:paraId="73F20BB4">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position w:val="2"/>
                      <w:sz w:val="21"/>
                      <w:szCs w:val="21"/>
                    </w:rPr>
                    <w:t>CO-</w:t>
                  </w:r>
                  <w:r>
                    <w:rPr>
                      <w:rFonts w:ascii="Times New Roman" w:hAnsi="Times New Roman" w:eastAsia="宋体"/>
                      <w:color w:val="auto"/>
                      <w:spacing w:val="-2"/>
                      <w:sz w:val="21"/>
                      <w:szCs w:val="21"/>
                    </w:rPr>
                    <w:t>95per</w:t>
                  </w:r>
                </w:p>
              </w:tc>
              <w:tc>
                <w:tcPr>
                  <w:tcW w:w="1312" w:type="dxa"/>
                  <w:tcBorders>
                    <w:tl2br w:val="nil"/>
                    <w:tr2bl w:val="nil"/>
                  </w:tcBorders>
                  <w:vAlign w:val="center"/>
                </w:tcPr>
                <w:p w14:paraId="3B3F8D6A">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position w:val="2"/>
                      <w:sz w:val="21"/>
                      <w:szCs w:val="21"/>
                    </w:rPr>
                    <w:t>O</w:t>
                  </w:r>
                  <w:r>
                    <w:rPr>
                      <w:rFonts w:ascii="Times New Roman" w:hAnsi="Times New Roman" w:eastAsia="宋体"/>
                      <w:color w:val="auto"/>
                      <w:sz w:val="21"/>
                      <w:szCs w:val="21"/>
                    </w:rPr>
                    <w:t>3</w:t>
                  </w:r>
                  <w:r>
                    <w:rPr>
                      <w:rFonts w:ascii="Times New Roman" w:hAnsi="Times New Roman" w:eastAsia="宋体"/>
                      <w:color w:val="auto"/>
                      <w:position w:val="2"/>
                      <w:sz w:val="21"/>
                      <w:szCs w:val="21"/>
                    </w:rPr>
                    <w:t>_</w:t>
                  </w:r>
                  <w:r>
                    <w:rPr>
                      <w:rFonts w:ascii="Times New Roman" w:hAnsi="Times New Roman" w:eastAsia="宋体"/>
                      <w:color w:val="auto"/>
                      <w:sz w:val="21"/>
                      <w:szCs w:val="21"/>
                    </w:rPr>
                    <w:t>8h-</w:t>
                  </w:r>
                  <w:r>
                    <w:rPr>
                      <w:rFonts w:ascii="Times New Roman" w:hAnsi="Times New Roman" w:eastAsia="宋体"/>
                      <w:color w:val="auto"/>
                      <w:spacing w:val="-2"/>
                      <w:sz w:val="21"/>
                      <w:szCs w:val="21"/>
                    </w:rPr>
                    <w:t>90per</w:t>
                  </w:r>
                </w:p>
              </w:tc>
              <w:tc>
                <w:tcPr>
                  <w:tcW w:w="935" w:type="dxa"/>
                  <w:tcBorders>
                    <w:tl2br w:val="nil"/>
                    <w:tr2bl w:val="nil"/>
                  </w:tcBorders>
                  <w:vAlign w:val="center"/>
                </w:tcPr>
                <w:p w14:paraId="7741AEC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首要污</w:t>
                  </w:r>
                </w:p>
                <w:p w14:paraId="54137C88">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染物</w:t>
                  </w:r>
                </w:p>
              </w:tc>
            </w:tr>
            <w:tr w14:paraId="1DE2306F">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4" w:hRule="atLeast"/>
              </w:trPr>
              <w:tc>
                <w:tcPr>
                  <w:tcW w:w="536" w:type="dxa"/>
                  <w:tcBorders>
                    <w:tl2br w:val="nil"/>
                    <w:tr2bl w:val="nil"/>
                  </w:tcBorders>
                  <w:vAlign w:val="center"/>
                </w:tcPr>
                <w:p w14:paraId="32288B6C">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1</w:t>
                  </w:r>
                </w:p>
              </w:tc>
              <w:tc>
                <w:tcPr>
                  <w:tcW w:w="832" w:type="dxa"/>
                  <w:tcBorders>
                    <w:tl2br w:val="nil"/>
                    <w:tr2bl w:val="nil"/>
                  </w:tcBorders>
                  <w:vAlign w:val="center"/>
                </w:tcPr>
                <w:p w14:paraId="08C26CC9">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福州</w:t>
                  </w:r>
                </w:p>
                <w:p w14:paraId="45CB4106">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市</w:t>
                  </w:r>
                </w:p>
              </w:tc>
              <w:tc>
                <w:tcPr>
                  <w:tcW w:w="808" w:type="dxa"/>
                  <w:tcBorders>
                    <w:tl2br w:val="nil"/>
                    <w:tr2bl w:val="nil"/>
                  </w:tcBorders>
                  <w:vAlign w:val="center"/>
                </w:tcPr>
                <w:p w14:paraId="0E29EC78">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color w:val="auto"/>
                      <w:sz w:val="21"/>
                      <w:szCs w:val="21"/>
                      <w:lang w:val="en-US" w:eastAsia="zh-CN"/>
                    </w:rPr>
                  </w:pPr>
                  <w:r>
                    <w:rPr>
                      <w:rFonts w:ascii="Times New Roman" w:hAnsi="Times New Roman" w:eastAsia="宋体"/>
                      <w:color w:val="auto"/>
                      <w:spacing w:val="-4"/>
                      <w:sz w:val="21"/>
                      <w:szCs w:val="21"/>
                    </w:rPr>
                    <w:t>2.</w:t>
                  </w:r>
                  <w:r>
                    <w:rPr>
                      <w:rFonts w:hint="eastAsia" w:ascii="Times New Roman" w:hAnsi="Times New Roman" w:eastAsia="宋体"/>
                      <w:color w:val="auto"/>
                      <w:spacing w:val="-4"/>
                      <w:sz w:val="21"/>
                      <w:szCs w:val="21"/>
                      <w:lang w:val="en-US" w:eastAsia="zh-CN"/>
                    </w:rPr>
                    <w:t>40</w:t>
                  </w:r>
                </w:p>
              </w:tc>
              <w:tc>
                <w:tcPr>
                  <w:tcW w:w="706" w:type="dxa"/>
                  <w:tcBorders>
                    <w:tl2br w:val="nil"/>
                    <w:tr2bl w:val="nil"/>
                  </w:tcBorders>
                  <w:vAlign w:val="center"/>
                </w:tcPr>
                <w:p w14:paraId="59ECEB4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4</w:t>
                  </w:r>
                </w:p>
              </w:tc>
              <w:tc>
                <w:tcPr>
                  <w:tcW w:w="739" w:type="dxa"/>
                  <w:tcBorders>
                    <w:tl2br w:val="nil"/>
                    <w:tr2bl w:val="nil"/>
                  </w:tcBorders>
                  <w:vAlign w:val="center"/>
                </w:tcPr>
                <w:p w14:paraId="28D0EB01">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15</w:t>
                  </w:r>
                </w:p>
              </w:tc>
              <w:tc>
                <w:tcPr>
                  <w:tcW w:w="799" w:type="dxa"/>
                  <w:tcBorders>
                    <w:tl2br w:val="nil"/>
                    <w:tr2bl w:val="nil"/>
                  </w:tcBorders>
                  <w:vAlign w:val="center"/>
                </w:tcPr>
                <w:p w14:paraId="4B22652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3</w:t>
                  </w:r>
                  <w:r>
                    <w:rPr>
                      <w:rFonts w:hint="eastAsia" w:cs="宋体"/>
                      <w:i w:val="0"/>
                      <w:iCs w:val="0"/>
                      <w:caps w:val="0"/>
                      <w:color w:val="auto"/>
                      <w:spacing w:val="0"/>
                      <w:sz w:val="21"/>
                      <w:szCs w:val="21"/>
                      <w:lang w:val="en-US" w:eastAsia="zh-CN"/>
                    </w:rPr>
                    <w:t>2</w:t>
                  </w:r>
                </w:p>
              </w:tc>
              <w:tc>
                <w:tcPr>
                  <w:tcW w:w="870" w:type="dxa"/>
                  <w:tcBorders>
                    <w:tl2br w:val="nil"/>
                    <w:tr2bl w:val="nil"/>
                  </w:tcBorders>
                  <w:vAlign w:val="center"/>
                </w:tcPr>
                <w:p w14:paraId="20020AD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17</w:t>
                  </w:r>
                </w:p>
              </w:tc>
              <w:tc>
                <w:tcPr>
                  <w:tcW w:w="1106" w:type="dxa"/>
                  <w:tcBorders>
                    <w:tl2br w:val="nil"/>
                    <w:tr2bl w:val="nil"/>
                  </w:tcBorders>
                  <w:vAlign w:val="center"/>
                </w:tcPr>
                <w:p w14:paraId="01DF24B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0.</w:t>
                  </w:r>
                  <w:r>
                    <w:rPr>
                      <w:rFonts w:hint="eastAsia" w:cs="宋体"/>
                      <w:i w:val="0"/>
                      <w:iCs w:val="0"/>
                      <w:caps w:val="0"/>
                      <w:color w:val="auto"/>
                      <w:spacing w:val="0"/>
                      <w:sz w:val="21"/>
                      <w:szCs w:val="21"/>
                      <w:lang w:val="en-US" w:eastAsia="zh-CN"/>
                    </w:rPr>
                    <w:t>6</w:t>
                  </w:r>
                </w:p>
              </w:tc>
              <w:tc>
                <w:tcPr>
                  <w:tcW w:w="1312" w:type="dxa"/>
                  <w:tcBorders>
                    <w:tl2br w:val="nil"/>
                    <w:tr2bl w:val="nil"/>
                  </w:tcBorders>
                  <w:vAlign w:val="center"/>
                </w:tcPr>
                <w:p w14:paraId="416F0D87">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宋体"/>
                      <w:i w:val="0"/>
                      <w:iCs w:val="0"/>
                      <w:caps w:val="0"/>
                      <w:color w:val="auto"/>
                      <w:spacing w:val="0"/>
                      <w:sz w:val="21"/>
                      <w:szCs w:val="21"/>
                    </w:rPr>
                    <w:t>13</w:t>
                  </w:r>
                  <w:r>
                    <w:rPr>
                      <w:rFonts w:hint="eastAsia" w:cs="宋体"/>
                      <w:i w:val="0"/>
                      <w:iCs w:val="0"/>
                      <w:caps w:val="0"/>
                      <w:color w:val="auto"/>
                      <w:spacing w:val="0"/>
                      <w:sz w:val="21"/>
                      <w:szCs w:val="21"/>
                      <w:lang w:val="en-US" w:eastAsia="zh-CN"/>
                    </w:rPr>
                    <w:t>6</w:t>
                  </w:r>
                </w:p>
              </w:tc>
              <w:tc>
                <w:tcPr>
                  <w:tcW w:w="935" w:type="dxa"/>
                  <w:tcBorders>
                    <w:tl2br w:val="nil"/>
                    <w:tr2bl w:val="nil"/>
                  </w:tcBorders>
                  <w:vAlign w:val="center"/>
                </w:tcPr>
                <w:p w14:paraId="472FA95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臭氧</w:t>
                  </w:r>
                </w:p>
              </w:tc>
            </w:tr>
          </w:tbl>
          <w:p w14:paraId="395510DE">
            <w:pPr>
              <w:pStyle w:val="46"/>
              <w:bidi w:val="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详见附图</w:t>
            </w:r>
            <w:r>
              <w:rPr>
                <w:rFonts w:hint="eastAsia" w:cs="宋体"/>
                <w:color w:val="auto"/>
                <w:highlight w:val="none"/>
                <w:lang w:val="en-US" w:eastAsia="zh-CN"/>
              </w:rPr>
              <w:t>6</w:t>
            </w:r>
            <w:r>
              <w:rPr>
                <w:rFonts w:hint="eastAsia" w:ascii="Times New Roman" w:hAnsi="Times New Roman" w:eastAsia="宋体" w:cs="宋体"/>
                <w:color w:val="auto"/>
                <w:highlight w:val="none"/>
                <w:lang w:val="en-US" w:eastAsia="zh-CN"/>
              </w:rPr>
              <w:t>、附图</w:t>
            </w:r>
            <w:r>
              <w:rPr>
                <w:rFonts w:hint="eastAsia" w:cs="宋体"/>
                <w:color w:val="auto"/>
                <w:highlight w:val="none"/>
                <w:lang w:val="en-US" w:eastAsia="zh-CN"/>
              </w:rPr>
              <w:t>7）</w:t>
            </w:r>
            <w:r>
              <w:rPr>
                <w:rFonts w:hint="eastAsia" w:ascii="Times New Roman" w:hAnsi="Times New Roman" w:eastAsia="宋体" w:cs="宋体"/>
                <w:color w:val="auto"/>
                <w:highlight w:val="none"/>
                <w:lang w:val="en-US" w:eastAsia="zh-CN"/>
              </w:rPr>
              <w:t>。</w:t>
            </w:r>
          </w:p>
          <w:p w14:paraId="56B33D74">
            <w:pPr>
              <w:pStyle w:val="46"/>
              <w:numPr>
                <w:ilvl w:val="0"/>
                <w:numId w:val="0"/>
              </w:numPr>
              <w:bidi w:val="0"/>
              <w:ind w:left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（2）</w:t>
            </w:r>
            <w:r>
              <w:rPr>
                <w:rFonts w:hint="eastAsia" w:ascii="宋体" w:hAnsi="宋体" w:cs="宋体"/>
                <w:color w:val="auto"/>
                <w:sz w:val="24"/>
                <w:highlight w:val="none"/>
              </w:rPr>
              <w:t>特征</w:t>
            </w:r>
            <w:r>
              <w:rPr>
                <w:rFonts w:hint="eastAsia"/>
                <w:color w:val="auto"/>
                <w:sz w:val="24"/>
                <w:highlight w:val="none"/>
              </w:rPr>
              <w:t>污染</w:t>
            </w:r>
            <w:r>
              <w:rPr>
                <w:rFonts w:hint="eastAsia" w:ascii="宋体" w:hAnsi="宋体" w:cs="宋体"/>
                <w:color w:val="auto"/>
                <w:sz w:val="24"/>
                <w:highlight w:val="none"/>
              </w:rPr>
              <w:t>因子</w:t>
            </w:r>
          </w:p>
          <w:p w14:paraId="6B50300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建设项目环境影响报告表</w:t>
            </w:r>
            <w:r>
              <w:rPr>
                <w:rFonts w:hint="eastAsia" w:ascii="Times New Roman" w:hAnsi="Times New Roman" w:eastAsia="宋体" w:cs="Times New Roman"/>
                <w:color w:val="auto"/>
                <w:kern w:val="2"/>
                <w:sz w:val="24"/>
                <w:szCs w:val="24"/>
                <w:highlight w:val="none"/>
                <w:lang w:val="en-US" w:eastAsia="zh-CN" w:bidi="ar-SA"/>
              </w:rPr>
              <w:t>&gt;</w:t>
            </w:r>
            <w:r>
              <w:rPr>
                <w:rFonts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技术指南中提到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排放国家、地方环境空气质量标准中有标准限值要求的特征污染物</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，其中环境空气质量标准指《环境空气质量标准》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ascii="Times New Roman" w:hAnsi="Times New Roman" w:eastAsia="宋体" w:cs="Times New Roman"/>
                <w:color w:val="auto"/>
                <w:kern w:val="2"/>
                <w:sz w:val="24"/>
                <w:szCs w:val="24"/>
                <w:highlight w:val="none"/>
                <w:lang w:val="en-US" w:eastAsia="zh-CN" w:bidi="ar-SA"/>
              </w:rPr>
              <w:t>优先引用现有监测数据</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w:t>
            </w:r>
          </w:p>
          <w:p w14:paraId="48638679">
            <w:pPr>
              <w:adjustRightInd w:val="0"/>
              <w:spacing w:line="360" w:lineRule="auto"/>
              <w:ind w:firstLine="480" w:firstLineChars="200"/>
              <w:contextualSpacing/>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排放的其他污染物为非甲烷总烃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颗粒物</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其中非甲烷总烃</w:t>
            </w:r>
            <w:r>
              <w:rPr>
                <w:rFonts w:ascii="Times New Roman" w:hAnsi="Times New Roman" w:eastAsia="宋体" w:cs="Times New Roman"/>
                <w:color w:val="auto"/>
                <w:sz w:val="24"/>
                <w:highlight w:val="none"/>
              </w:rPr>
              <w:t>不属于《环境空气质量标准》</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GB3095</w:t>
            </w:r>
            <w:r>
              <w:rPr>
                <w:rFonts w:hint="eastAsia" w:ascii="Times New Roman" w:hAnsi="Times New Roman" w:eastAsia="宋体" w:cs="Times New Roman"/>
                <w:color w:val="auto"/>
                <w:sz w:val="24"/>
                <w:highlight w:val="none"/>
              </w:rPr>
              <w:t>-2012</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和地方的环境空气质量中有标准限值要求的污染物，因此</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ascii="Times New Roman" w:hAnsi="Times New Roman" w:eastAsia="宋体" w:cs="Times New Roman"/>
                <w:color w:val="auto"/>
                <w:sz w:val="24"/>
                <w:highlight w:val="none"/>
              </w:rPr>
              <w:t>进行</w:t>
            </w:r>
            <w:r>
              <w:rPr>
                <w:rFonts w:hint="eastAsia" w:ascii="Times New Roman" w:hAnsi="Times New Roman" w:eastAsia="宋体" w:cs="Times New Roman"/>
                <w:color w:val="auto"/>
                <w:sz w:val="24"/>
                <w:highlight w:val="none"/>
              </w:rPr>
              <w:t>特征污染物</w:t>
            </w:r>
            <w:r>
              <w:rPr>
                <w:rFonts w:ascii="Times New Roman" w:hAnsi="Times New Roman" w:eastAsia="宋体" w:cs="Times New Roman"/>
                <w:color w:val="auto"/>
                <w:sz w:val="24"/>
                <w:highlight w:val="none"/>
              </w:rPr>
              <w:t>现状检测评价。</w:t>
            </w:r>
          </w:p>
          <w:p w14:paraId="4ECE450F">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为了解项目所在区域环境空气中颗粒物情况，</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本项目引用福州奇联汽车零部件有限公司</w:t>
            </w:r>
            <w:r>
              <w:rPr>
                <w:rFonts w:hint="eastAsia" w:ascii="Times New Roman" w:hAnsi="Times New Roman" w:eastAsia="宋体" w:cs="Times New Roman"/>
                <w:color w:val="auto"/>
                <w:kern w:val="0"/>
                <w:sz w:val="24"/>
                <w:szCs w:val="24"/>
                <w:lang w:val="en-US" w:eastAsia="zh-CN" w:bidi="ar"/>
              </w:rPr>
              <w:t>委托</w:t>
            </w:r>
            <w:r>
              <w:rPr>
                <w:rFonts w:hint="default" w:ascii="Times New Roman" w:hAnsi="Times New Roman" w:eastAsia="宋体" w:cs="Times New Roman"/>
                <w:color w:val="auto"/>
                <w:kern w:val="0"/>
                <w:sz w:val="24"/>
                <w:szCs w:val="24"/>
                <w:lang w:val="en-US" w:eastAsia="zh-CN" w:bidi="ar"/>
              </w:rPr>
              <w:t>福建九五检测技术服务有限公司</w:t>
            </w:r>
            <w:r>
              <w:rPr>
                <w:rFonts w:hint="eastAsia" w:cs="Times New Roman"/>
                <w:color w:val="auto"/>
                <w:kern w:val="0"/>
                <w:sz w:val="24"/>
                <w:szCs w:val="24"/>
                <w:lang w:val="en-US" w:eastAsia="zh-CN" w:bidi="ar"/>
              </w:rPr>
              <w:t>（检测报告编号：JWJC250707004）</w:t>
            </w:r>
            <w:r>
              <w:rPr>
                <w:rFonts w:hint="eastAsia" w:ascii="Times New Roman" w:hAnsi="Times New Roman" w:eastAsia="宋体" w:cs="Times New Roman"/>
                <w:color w:val="auto"/>
                <w:kern w:val="0"/>
                <w:sz w:val="24"/>
                <w:szCs w:val="24"/>
                <w:lang w:val="en-US" w:eastAsia="zh-CN" w:bidi="ar"/>
              </w:rPr>
              <w:t>于2025年7月11日</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2025年7月14日对其进行监测，</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在厂区厂界周边共布设1个下风向大气采样监测点，距离</w:t>
            </w:r>
            <w:r>
              <w:rPr>
                <w:rFonts w:hint="eastAsia" w:cs="宋体"/>
                <w:color w:val="000000" w:themeColor="text1"/>
                <w:kern w:val="0"/>
                <w:sz w:val="24"/>
                <w:szCs w:val="20"/>
                <w:highlight w:val="none"/>
                <w:lang w:val="en-US" w:eastAsia="zh-CN" w:bidi="ar-SA"/>
                <w14:textFill>
                  <w14:solidFill>
                    <w14:schemeClr w14:val="tx1"/>
                  </w14:solidFill>
                </w14:textFill>
              </w:rPr>
              <w:t>本</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项目</w:t>
            </w:r>
            <w:r>
              <w:rPr>
                <w:rFonts w:hint="eastAsia" w:cs="宋体"/>
                <w:color w:val="000000" w:themeColor="text1"/>
                <w:kern w:val="0"/>
                <w:sz w:val="24"/>
                <w:szCs w:val="20"/>
                <w:highlight w:val="none"/>
                <w:lang w:val="en-US" w:eastAsia="zh-CN" w:bidi="ar-SA"/>
                <w14:textFill>
                  <w14:solidFill>
                    <w14:schemeClr w14:val="tx1"/>
                  </w14:solidFill>
                </w14:textFill>
              </w:rPr>
              <w:t>东</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侧约</w:t>
            </w:r>
            <w:r>
              <w:rPr>
                <w:rFonts w:hint="eastAsia" w:cs="宋体"/>
                <w:color w:val="000000" w:themeColor="text1"/>
                <w:kern w:val="0"/>
                <w:sz w:val="24"/>
                <w:szCs w:val="20"/>
                <w:highlight w:val="none"/>
                <w:lang w:val="en-US" w:eastAsia="zh-CN" w:bidi="ar-SA"/>
                <w14:textFill>
                  <w14:solidFill>
                    <w14:schemeClr w14:val="tx1"/>
                  </w14:solidFill>
                </w14:textFill>
              </w:rPr>
              <w:t>316</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m</w:t>
            </w:r>
            <w:r>
              <w:rPr>
                <w:rFonts w:hint="eastAsia" w:cs="宋体"/>
                <w:color w:val="000000" w:themeColor="text1"/>
                <w:kern w:val="0"/>
                <w:sz w:val="24"/>
                <w:szCs w:val="20"/>
                <w:highlight w:val="none"/>
                <w:lang w:val="en-US" w:eastAsia="zh-CN" w:bidi="ar-SA"/>
                <w14:textFill>
                  <w14:solidFill>
                    <w14:schemeClr w14:val="tx1"/>
                  </w14:solidFill>
                </w14:textFill>
              </w:rPr>
              <w:t>，</w:t>
            </w:r>
            <w:r>
              <w:rPr>
                <w:rFonts w:hint="eastAsia" w:cs="Times New Roman"/>
                <w:color w:val="auto"/>
                <w:kern w:val="0"/>
                <w:sz w:val="24"/>
                <w:szCs w:val="24"/>
                <w:lang w:val="en-US" w:eastAsia="zh-CN" w:bidi="ar"/>
              </w:rPr>
              <w:t>监测点位见图3.1-3，</w:t>
            </w:r>
            <w:r>
              <w:rPr>
                <w:rFonts w:hint="eastAsia" w:ascii="Times New Roman" w:hAnsi="Times New Roman" w:eastAsia="宋体" w:cs="Times New Roman"/>
                <w:color w:val="auto"/>
                <w:kern w:val="0"/>
                <w:sz w:val="24"/>
                <w:szCs w:val="24"/>
                <w:lang w:val="en-US" w:eastAsia="zh-CN" w:bidi="ar"/>
              </w:rPr>
              <w:t>监测结果见表</w:t>
            </w:r>
            <w:r>
              <w:rPr>
                <w:rFonts w:hint="eastAsia" w:ascii="Times New Roman" w:hAnsi="Times New Roman" w:eastAsia="宋体" w:cs="Times New Roman"/>
                <w:color w:val="auto"/>
                <w:kern w:val="0"/>
                <w:sz w:val="24"/>
                <w:szCs w:val="24"/>
                <w:highlight w:val="none"/>
                <w:lang w:val="en-US" w:eastAsia="zh-CN" w:bidi="ar"/>
              </w:rPr>
              <w:t>3.1-4</w:t>
            </w:r>
            <w:r>
              <w:rPr>
                <w:rFonts w:hint="eastAsia" w:ascii="Times New Roman" w:hAnsi="Times New Roman" w:eastAsia="宋体" w:cs="Times New Roman"/>
                <w:color w:val="auto"/>
                <w:kern w:val="0"/>
                <w:sz w:val="24"/>
                <w:szCs w:val="24"/>
                <w:lang w:val="en-US" w:eastAsia="zh-CN" w:bidi="ar"/>
              </w:rPr>
              <w:t>，检测报告见附</w:t>
            </w:r>
            <w:r>
              <w:rPr>
                <w:rFonts w:hint="eastAsia" w:ascii="Times New Roman" w:hAnsi="Times New Roman" w:eastAsia="宋体" w:cs="Times New Roman"/>
                <w:color w:val="auto"/>
                <w:kern w:val="0"/>
                <w:sz w:val="24"/>
                <w:szCs w:val="24"/>
                <w:highlight w:val="none"/>
                <w:lang w:val="en-US" w:eastAsia="zh-CN" w:bidi="ar"/>
              </w:rPr>
              <w:t>件1</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lang w:val="en-US" w:eastAsia="zh-CN" w:bidi="ar"/>
              </w:rPr>
              <w:t>。</w:t>
            </w:r>
          </w:p>
          <w:p w14:paraId="1A3BB9C2">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颗粒物现状情况一览表</w:t>
            </w:r>
          </w:p>
          <w:tbl>
            <w:tblPr>
              <w:tblStyle w:val="34"/>
              <w:tblW w:w="86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68"/>
              <w:gridCol w:w="2623"/>
              <w:gridCol w:w="1210"/>
              <w:gridCol w:w="813"/>
              <w:gridCol w:w="667"/>
              <w:gridCol w:w="667"/>
            </w:tblGrid>
            <w:tr w14:paraId="7D17E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6" w:type="dxa"/>
                  <w:tcBorders>
                    <w:bottom w:val="single" w:color="auto" w:sz="12" w:space="0"/>
                  </w:tcBorders>
                  <w:vAlign w:val="center"/>
                </w:tcPr>
                <w:p w14:paraId="0AC86FC4">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1568" w:type="dxa"/>
                  <w:tcBorders>
                    <w:bottom w:val="single" w:color="auto" w:sz="12" w:space="0"/>
                  </w:tcBorders>
                  <w:vAlign w:val="center"/>
                </w:tcPr>
                <w:p w14:paraId="2C45486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检测项目</w:t>
                  </w:r>
                </w:p>
              </w:tc>
              <w:tc>
                <w:tcPr>
                  <w:tcW w:w="2623" w:type="dxa"/>
                  <w:tcBorders>
                    <w:bottom w:val="single" w:color="auto" w:sz="12" w:space="0"/>
                  </w:tcBorders>
                  <w:vAlign w:val="center"/>
                </w:tcPr>
                <w:p w14:paraId="1AA3DD35">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采样日期</w:t>
                  </w:r>
                </w:p>
              </w:tc>
              <w:tc>
                <w:tcPr>
                  <w:tcW w:w="1210" w:type="dxa"/>
                  <w:tcBorders>
                    <w:bottom w:val="single" w:color="auto" w:sz="12" w:space="0"/>
                  </w:tcBorders>
                  <w:vAlign w:val="center"/>
                </w:tcPr>
                <w:p w14:paraId="736172D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813" w:type="dxa"/>
                  <w:tcBorders>
                    <w:bottom w:val="single" w:color="auto" w:sz="12" w:space="0"/>
                  </w:tcBorders>
                  <w:vAlign w:val="center"/>
                </w:tcPr>
                <w:p w14:paraId="57A8835B">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单位</w:t>
                  </w:r>
                </w:p>
              </w:tc>
              <w:tc>
                <w:tcPr>
                  <w:tcW w:w="667" w:type="dxa"/>
                  <w:tcBorders>
                    <w:bottom w:val="single" w:color="auto" w:sz="12" w:space="0"/>
                  </w:tcBorders>
                  <w:vAlign w:val="center"/>
                </w:tcPr>
                <w:p w14:paraId="2CD085A7">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667" w:type="dxa"/>
                  <w:tcBorders>
                    <w:bottom w:val="single" w:color="auto" w:sz="12" w:space="0"/>
                  </w:tcBorders>
                  <w:vAlign w:val="center"/>
                </w:tcPr>
                <w:p w14:paraId="15E4F7D5">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是否达标</w:t>
                  </w:r>
                </w:p>
              </w:tc>
            </w:tr>
            <w:tr w14:paraId="712B6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restart"/>
                  <w:tcBorders>
                    <w:top w:val="single" w:color="auto" w:sz="12" w:space="0"/>
                    <w:tl2br w:val="nil"/>
                    <w:tr2bl w:val="nil"/>
                  </w:tcBorders>
                  <w:vAlign w:val="center"/>
                </w:tcPr>
                <w:p w14:paraId="4818173E">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厂区下风向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上店村</w:t>
                  </w:r>
                  <w:r>
                    <w:rPr>
                      <w:rFonts w:hint="eastAsia" w:ascii="Times New Roman" w:hAnsi="Times New Roman" w:eastAsia="宋体" w:cs="Times New Roman"/>
                      <w:color w:val="auto"/>
                      <w:sz w:val="21"/>
                      <w:szCs w:val="21"/>
                      <w:highlight w:val="none"/>
                    </w:rPr>
                    <w:t>）Q1</w:t>
                  </w:r>
                </w:p>
              </w:tc>
              <w:tc>
                <w:tcPr>
                  <w:tcW w:w="1568" w:type="dxa"/>
                  <w:vMerge w:val="restart"/>
                  <w:tcBorders>
                    <w:top w:val="single" w:color="auto" w:sz="12" w:space="0"/>
                    <w:tl2br w:val="nil"/>
                    <w:tr2bl w:val="nil"/>
                  </w:tcBorders>
                  <w:vAlign w:val="center"/>
                </w:tcPr>
                <w:p w14:paraId="517DA28B">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总悬浮颗粒物（TSP）</w:t>
                  </w:r>
                </w:p>
              </w:tc>
              <w:tc>
                <w:tcPr>
                  <w:tcW w:w="2623" w:type="dxa"/>
                  <w:tcBorders>
                    <w:top w:val="single" w:color="auto" w:sz="12" w:space="0"/>
                    <w:tl2br w:val="nil"/>
                    <w:tr2bl w:val="nil"/>
                  </w:tcBorders>
                  <w:vAlign w:val="center"/>
                </w:tcPr>
                <w:p w14:paraId="7B96608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2025年7月11日—</w:t>
                  </w:r>
                  <w:r>
                    <w:rPr>
                      <w:rFonts w:hint="eastAsia" w:ascii="Times New Roman" w:hAnsi="Times New Roman" w:eastAsia="宋体"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rPr>
                    <w:t>日</w:t>
                  </w:r>
                </w:p>
              </w:tc>
              <w:tc>
                <w:tcPr>
                  <w:tcW w:w="1210" w:type="dxa"/>
                  <w:tcBorders>
                    <w:top w:val="single" w:color="auto" w:sz="12" w:space="0"/>
                    <w:tl2br w:val="nil"/>
                    <w:tr2bl w:val="nil"/>
                  </w:tcBorders>
                  <w:vAlign w:val="center"/>
                </w:tcPr>
                <w:p w14:paraId="61FB5E5A">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w:t>
                  </w:r>
                </w:p>
              </w:tc>
              <w:tc>
                <w:tcPr>
                  <w:tcW w:w="813" w:type="dxa"/>
                  <w:vMerge w:val="restart"/>
                  <w:tcBorders>
                    <w:top w:val="single" w:color="auto" w:sz="12" w:space="0"/>
                    <w:tl2br w:val="nil"/>
                    <w:tr2bl w:val="nil"/>
                  </w:tcBorders>
                  <w:vAlign w:val="center"/>
                </w:tcPr>
                <w:p w14:paraId="4CDA3564">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宋体"/>
                      <w:color w:val="auto"/>
                      <w:spacing w:val="-2"/>
                      <w:sz w:val="21"/>
                    </w:rPr>
                    <w:t>μg/m³</w:t>
                  </w:r>
                </w:p>
              </w:tc>
              <w:tc>
                <w:tcPr>
                  <w:tcW w:w="667" w:type="dxa"/>
                  <w:vMerge w:val="restart"/>
                  <w:tcBorders>
                    <w:top w:val="single" w:color="auto" w:sz="12" w:space="0"/>
                    <w:tl2br w:val="nil"/>
                    <w:tr2bl w:val="nil"/>
                  </w:tcBorders>
                  <w:vAlign w:val="center"/>
                </w:tcPr>
                <w:p w14:paraId="6739E740">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auto"/>
                      <w:spacing w:val="-2"/>
                      <w:sz w:val="21"/>
                      <w:lang w:val="en-US" w:eastAsia="zh-CN"/>
                    </w:rPr>
                  </w:pPr>
                  <w:r>
                    <w:rPr>
                      <w:rFonts w:hint="eastAsia" w:cs="宋体"/>
                      <w:color w:val="auto"/>
                      <w:spacing w:val="-2"/>
                      <w:sz w:val="21"/>
                      <w:lang w:val="en-US" w:eastAsia="zh-CN"/>
                    </w:rPr>
                    <w:t>300</w:t>
                  </w:r>
                </w:p>
              </w:tc>
              <w:tc>
                <w:tcPr>
                  <w:tcW w:w="667" w:type="dxa"/>
                  <w:tcBorders>
                    <w:top w:val="single" w:color="auto" w:sz="12" w:space="0"/>
                    <w:tl2br w:val="nil"/>
                    <w:tr2bl w:val="nil"/>
                  </w:tcBorders>
                  <w:vAlign w:val="center"/>
                </w:tcPr>
                <w:p w14:paraId="6ECA284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auto"/>
                      <w:spacing w:val="-2"/>
                      <w:sz w:val="21"/>
                    </w:rPr>
                  </w:pPr>
                  <w:r>
                    <w:rPr>
                      <w:rFonts w:hint="eastAsia" w:cs="Times New Roman"/>
                      <w:color w:val="auto"/>
                      <w:sz w:val="21"/>
                      <w:szCs w:val="21"/>
                      <w:highlight w:val="none"/>
                      <w:lang w:val="en-US" w:eastAsia="zh-CN"/>
                    </w:rPr>
                    <w:t>达标</w:t>
                  </w:r>
                </w:p>
              </w:tc>
            </w:tr>
            <w:tr w14:paraId="2F4D2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continue"/>
                  <w:tcBorders>
                    <w:tl2br w:val="nil"/>
                    <w:tr2bl w:val="nil"/>
                  </w:tcBorders>
                  <w:vAlign w:val="center"/>
                </w:tcPr>
                <w:p w14:paraId="16F3EE08">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1568" w:type="dxa"/>
                  <w:vMerge w:val="continue"/>
                  <w:tcBorders>
                    <w:tl2br w:val="nil"/>
                    <w:tr2bl w:val="nil"/>
                  </w:tcBorders>
                  <w:vAlign w:val="center"/>
                </w:tcPr>
                <w:p w14:paraId="08CFCF2D">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2623" w:type="dxa"/>
                  <w:tcBorders>
                    <w:tl2br w:val="nil"/>
                    <w:tr2bl w:val="nil"/>
                  </w:tcBorders>
                  <w:vAlign w:val="center"/>
                </w:tcPr>
                <w:p w14:paraId="171E275E">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2025年</w:t>
                  </w:r>
                  <w:r>
                    <w:rPr>
                      <w:rFonts w:hint="eastAsia" w:cs="Times New Roman"/>
                      <w:color w:val="auto"/>
                      <w:sz w:val="21"/>
                      <w:szCs w:val="21"/>
                      <w:highlight w:val="none"/>
                      <w:lang w:val="en-US" w:eastAsia="zh-CN"/>
                    </w:rPr>
                    <w:t>7</w:t>
                  </w:r>
                  <w:r>
                    <w:rPr>
                      <w:rFonts w:hint="eastAsia" w:cs="Times New Roman"/>
                      <w:color w:val="auto"/>
                      <w:sz w:val="21"/>
                      <w:szCs w:val="21"/>
                      <w:highlight w:val="none"/>
                      <w:lang w:eastAsia="zh-CN"/>
                    </w:rPr>
                    <w:t>月12日—</w:t>
                  </w:r>
                  <w:r>
                    <w:rPr>
                      <w:rFonts w:hint="eastAsia" w:ascii="Times New Roman" w:hAnsi="Times New Roman" w:eastAsia="宋体" w:cs="Times New Roman"/>
                      <w:color w:val="auto"/>
                      <w:sz w:val="21"/>
                      <w:szCs w:val="21"/>
                      <w:highlight w:val="none"/>
                      <w:lang w:val="en-US" w:eastAsia="zh-CN"/>
                    </w:rPr>
                    <w:t>13</w:t>
                  </w:r>
                  <w:r>
                    <w:rPr>
                      <w:rFonts w:hint="eastAsia" w:ascii="Times New Roman" w:hAnsi="Times New Roman" w:eastAsia="宋体" w:cs="Times New Roman"/>
                      <w:color w:val="auto"/>
                      <w:sz w:val="21"/>
                      <w:szCs w:val="21"/>
                      <w:highlight w:val="none"/>
                    </w:rPr>
                    <w:t>日</w:t>
                  </w:r>
                </w:p>
              </w:tc>
              <w:tc>
                <w:tcPr>
                  <w:tcW w:w="1210" w:type="dxa"/>
                  <w:tcBorders>
                    <w:tl2br w:val="nil"/>
                    <w:tr2bl w:val="nil"/>
                  </w:tcBorders>
                  <w:vAlign w:val="center"/>
                </w:tcPr>
                <w:p w14:paraId="708AA837">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813" w:type="dxa"/>
                  <w:vMerge w:val="continue"/>
                  <w:tcBorders>
                    <w:tl2br w:val="nil"/>
                    <w:tr2bl w:val="nil"/>
                  </w:tcBorders>
                  <w:vAlign w:val="center"/>
                </w:tcPr>
                <w:p w14:paraId="043CAC37">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vMerge w:val="continue"/>
                  <w:tcBorders>
                    <w:tl2br w:val="nil"/>
                    <w:tr2bl w:val="nil"/>
                  </w:tcBorders>
                  <w:vAlign w:val="center"/>
                </w:tcPr>
                <w:p w14:paraId="12CBAD0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tcBorders>
                    <w:tl2br w:val="nil"/>
                    <w:tr2bl w:val="nil"/>
                  </w:tcBorders>
                  <w:vAlign w:val="center"/>
                </w:tcPr>
                <w:p w14:paraId="343340F3">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71446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continue"/>
                  <w:tcBorders>
                    <w:tl2br w:val="nil"/>
                    <w:tr2bl w:val="nil"/>
                  </w:tcBorders>
                  <w:vAlign w:val="center"/>
                </w:tcPr>
                <w:p w14:paraId="391EBFDE">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1568" w:type="dxa"/>
                  <w:vMerge w:val="continue"/>
                  <w:tcBorders>
                    <w:tl2br w:val="nil"/>
                    <w:tr2bl w:val="nil"/>
                  </w:tcBorders>
                  <w:vAlign w:val="center"/>
                </w:tcPr>
                <w:p w14:paraId="4F426293">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2623" w:type="dxa"/>
                  <w:tcBorders>
                    <w:tl2br w:val="nil"/>
                    <w:tr2bl w:val="nil"/>
                  </w:tcBorders>
                  <w:vAlign w:val="center"/>
                </w:tcPr>
                <w:p w14:paraId="0CBCBC9C">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2025年</w:t>
                  </w:r>
                  <w:r>
                    <w:rPr>
                      <w:rFonts w:hint="eastAsia" w:cs="Times New Roman"/>
                      <w:color w:val="auto"/>
                      <w:sz w:val="21"/>
                      <w:szCs w:val="21"/>
                      <w:highlight w:val="none"/>
                      <w:lang w:val="en-US" w:eastAsia="zh-CN"/>
                    </w:rPr>
                    <w:t>7</w:t>
                  </w:r>
                  <w:r>
                    <w:rPr>
                      <w:rFonts w:hint="eastAsia" w:cs="Times New Roman"/>
                      <w:color w:val="auto"/>
                      <w:sz w:val="21"/>
                      <w:szCs w:val="21"/>
                      <w:highlight w:val="none"/>
                      <w:lang w:eastAsia="zh-CN"/>
                    </w:rPr>
                    <w:t>月13日—</w:t>
                  </w:r>
                  <w:r>
                    <w:rPr>
                      <w:rFonts w:hint="eastAsia" w:ascii="Times New Roman" w:hAnsi="Times New Roman"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rPr>
                    <w:t>日</w:t>
                  </w:r>
                </w:p>
              </w:tc>
              <w:tc>
                <w:tcPr>
                  <w:tcW w:w="1210" w:type="dxa"/>
                  <w:tcBorders>
                    <w:tl2br w:val="nil"/>
                    <w:tr2bl w:val="nil"/>
                  </w:tcBorders>
                  <w:vAlign w:val="center"/>
                </w:tcPr>
                <w:p w14:paraId="376BAED6">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813" w:type="dxa"/>
                  <w:vMerge w:val="continue"/>
                  <w:tcBorders>
                    <w:tl2br w:val="nil"/>
                    <w:tr2bl w:val="nil"/>
                  </w:tcBorders>
                  <w:vAlign w:val="center"/>
                </w:tcPr>
                <w:p w14:paraId="07EFA8EB">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vMerge w:val="continue"/>
                  <w:tcBorders>
                    <w:tl2br w:val="nil"/>
                    <w:tr2bl w:val="nil"/>
                  </w:tcBorders>
                  <w:vAlign w:val="center"/>
                </w:tcPr>
                <w:p w14:paraId="521AC5CC">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tcBorders>
                    <w:tl2br w:val="nil"/>
                    <w:tr2bl w:val="nil"/>
                  </w:tcBorders>
                  <w:vAlign w:val="center"/>
                </w:tcPr>
                <w:p w14:paraId="4E0EDEF8">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1BDA8F3C">
            <w:pPr>
              <w:adjustRightInd w:val="0"/>
              <w:spacing w:line="360" w:lineRule="auto"/>
              <w:ind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根据表3.1-4可知，项目所在区域内特征污染因子颗粒物的现状监测点的浓度值可符合</w:t>
            </w:r>
            <w:r>
              <w:rPr>
                <w:rFonts w:hint="default" w:ascii="Times New Roman" w:hAnsi="Times New Roman" w:eastAsia="宋体" w:cs="Times New Roman"/>
                <w:color w:val="auto"/>
                <w:sz w:val="24"/>
                <w:highlight w:val="none"/>
              </w:rPr>
              <w:t>《环境空气质量标准》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GB3095-2012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及其修改单中的二级标准</w:t>
            </w:r>
            <w:r>
              <w:rPr>
                <w:rFonts w:hint="eastAsia" w:ascii="Times New Roman" w:hAnsi="Times New Roman" w:eastAsia="宋体" w:cs="Times New Roman"/>
                <w:color w:val="auto"/>
                <w:sz w:val="24"/>
                <w:highlight w:val="none"/>
                <w:lang w:val="en-US" w:eastAsia="zh-CN"/>
              </w:rPr>
              <w:t>要求。</w:t>
            </w:r>
            <w:r>
              <w:drawing>
                <wp:anchor distT="0" distB="0" distL="114300" distR="114300" simplePos="0" relativeHeight="251671552" behindDoc="0" locked="0" layoutInCell="1" allowOverlap="1">
                  <wp:simplePos x="0" y="0"/>
                  <wp:positionH relativeFrom="column">
                    <wp:posOffset>11039475</wp:posOffset>
                  </wp:positionH>
                  <wp:positionV relativeFrom="paragraph">
                    <wp:posOffset>-7237730</wp:posOffset>
                  </wp:positionV>
                  <wp:extent cx="838835" cy="882650"/>
                  <wp:effectExtent l="0" t="0" r="18415" b="12700"/>
                  <wp:wrapNone/>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17"/>
                          <a:stretch>
                            <a:fillRect/>
                          </a:stretch>
                        </pic:blipFill>
                        <pic:spPr>
                          <a:xfrm>
                            <a:off x="0" y="0"/>
                            <a:ext cx="838835" cy="88265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10887075</wp:posOffset>
                  </wp:positionH>
                  <wp:positionV relativeFrom="paragraph">
                    <wp:posOffset>-7390130</wp:posOffset>
                  </wp:positionV>
                  <wp:extent cx="838835" cy="882650"/>
                  <wp:effectExtent l="0" t="0" r="18415" b="12700"/>
                  <wp:wrapNone/>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17"/>
                          <a:stretch>
                            <a:fillRect/>
                          </a:stretch>
                        </pic:blipFill>
                        <pic:spPr>
                          <a:xfrm>
                            <a:off x="0" y="0"/>
                            <a:ext cx="838835" cy="882650"/>
                          </a:xfrm>
                          <a:prstGeom prst="rect">
                            <a:avLst/>
                          </a:prstGeom>
                          <a:noFill/>
                          <a:ln>
                            <a:noFill/>
                          </a:ln>
                        </pic:spPr>
                      </pic:pic>
                    </a:graphicData>
                  </a:graphic>
                </wp:anchor>
              </w:drawing>
            </w:r>
          </w:p>
          <w:p w14:paraId="5F623E96">
            <w:pPr>
              <w:adjustRightInd w:val="0"/>
              <w:spacing w:line="360" w:lineRule="auto"/>
              <w:ind w:firstLine="420" w:firstLineChars="200"/>
              <w:contextualSpacing/>
              <w:rPr>
                <w:rFonts w:hint="default" w:ascii="Times New Roman" w:hAnsi="Times New Roman" w:eastAsia="宋体" w:cs="Times New Roman"/>
                <w:color w:val="auto"/>
                <w:sz w:val="24"/>
                <w:highlight w:val="none"/>
                <w:lang w:val="en-US" w:eastAsia="zh-CN"/>
              </w:rPr>
            </w:pPr>
            <w:r>
              <w:drawing>
                <wp:anchor distT="0" distB="0" distL="114300" distR="114300" simplePos="0" relativeHeight="251672576" behindDoc="0" locked="0" layoutInCell="1" allowOverlap="1">
                  <wp:simplePos x="0" y="0"/>
                  <wp:positionH relativeFrom="column">
                    <wp:posOffset>5134610</wp:posOffset>
                  </wp:positionH>
                  <wp:positionV relativeFrom="paragraph">
                    <wp:posOffset>-6985</wp:posOffset>
                  </wp:positionV>
                  <wp:extent cx="437515" cy="457835"/>
                  <wp:effectExtent l="0" t="0" r="635" b="18415"/>
                  <wp:wrapNone/>
                  <wp:docPr id="104" name="图片 104" descr="863663623f7a3eec4a60a11749eba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863663623f7a3eec4a60a11749eba143"/>
                          <pic:cNvPicPr>
                            <a:picLocks noChangeAspect="1"/>
                          </pic:cNvPicPr>
                        </pic:nvPicPr>
                        <pic:blipFill>
                          <a:blip r:embed="rId18"/>
                          <a:stretch>
                            <a:fillRect/>
                          </a:stretch>
                        </pic:blipFill>
                        <pic:spPr>
                          <a:xfrm>
                            <a:off x="0" y="0"/>
                            <a:ext cx="437515" cy="457835"/>
                          </a:xfrm>
                          <a:prstGeom prst="rect">
                            <a:avLst/>
                          </a:prstGeom>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1315720</wp:posOffset>
                      </wp:positionH>
                      <wp:positionV relativeFrom="paragraph">
                        <wp:posOffset>2160270</wp:posOffset>
                      </wp:positionV>
                      <wp:extent cx="266700" cy="599440"/>
                      <wp:effectExtent l="0" t="0" r="0" b="0"/>
                      <wp:wrapNone/>
                      <wp:docPr id="79" name="文本框 79"/>
                      <wp:cNvGraphicFramePr/>
                      <a:graphic xmlns:a="http://schemas.openxmlformats.org/drawingml/2006/main">
                        <a:graphicData uri="http://schemas.microsoft.com/office/word/2010/wordprocessingShape">
                          <wps:wsp>
                            <wps:cNvSpPr txBox="1"/>
                            <wps:spPr>
                              <a:xfrm>
                                <a:off x="2522220" y="3072765"/>
                                <a:ext cx="266700" cy="59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F0F5F">
                                  <w:pPr>
                                    <w:rPr>
                                      <w:rFonts w:hint="eastAsia" w:eastAsia="宋体"/>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6pt;margin-top:170.1pt;height:47.2pt;width:21pt;z-index:251669504;mso-width-relative:page;mso-height-relative:page;" filled="f" stroked="f" coordsize="21600,21600" o:gfxdata="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rXAJHbAAAACwEAAA8AAAAAAAAA&#10;AQAgAAAAIgAAAGRycy9kb3ducmV2LnhtbFBLAQIUABQAAAAIAIdO4kBCq1CZRwIAAHMEAAAOAAAA&#10;AAAAAAEAIAAAACoBAABkcnMvZTJvRG9jLnhtbFBLBQYAAAAABgAGAFkBAADjBQAAAAA=&#10;">
                      <v:fill on="f" focussize="0,0"/>
                      <v:stroke on="f" weight="0.5pt"/>
                      <v:imagedata o:title=""/>
                      <o:lock v:ext="edit" aspectratio="f"/>
                      <v:textbox>
                        <w:txbxContent>
                          <w:p w14:paraId="073F0F5F">
                            <w:pPr>
                              <w:rPr>
                                <w:rFonts w:hint="eastAsia" w:eastAsia="宋体"/>
                                <w:lang w:val="en-US" w:eastAsia="zh-CN"/>
                              </w:rPr>
                            </w:pPr>
                            <w:r>
                              <w:rPr>
                                <w:rFonts w:hint="eastAsia"/>
                                <w:b/>
                                <w:bCs/>
                                <w:lang w:val="en-US" w:eastAsia="zh-CN"/>
                              </w:rPr>
                              <w:t>本项目</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1615440</wp:posOffset>
                      </wp:positionH>
                      <wp:positionV relativeFrom="paragraph">
                        <wp:posOffset>1827530</wp:posOffset>
                      </wp:positionV>
                      <wp:extent cx="399415" cy="24511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9941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2CE41">
                                  <w:pPr>
                                    <w:rPr>
                                      <w:rFonts w:hint="default" w:eastAsia="宋体"/>
                                      <w:color w:val="F509D1"/>
                                      <w:sz w:val="18"/>
                                      <w:szCs w:val="18"/>
                                      <w:lang w:val="en-US" w:eastAsia="zh-CN"/>
                                    </w:rPr>
                                  </w:pPr>
                                  <w:r>
                                    <w:rPr>
                                      <w:rFonts w:hint="eastAsia"/>
                                      <w:color w:val="F509D1"/>
                                      <w:sz w:val="18"/>
                                      <w:szCs w:val="18"/>
                                      <w:lang w:val="en-US" w:eastAsia="zh-CN"/>
                                    </w:rPr>
                                    <w:t>11m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pt;margin-top:143.9pt;height:19.3pt;width:31.45pt;z-index:251668480;mso-width-relative:page;mso-height-relative:page;" filled="f" stroked="f" coordsize="21600,21600" o:gfxdata="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enE3AAAAAsBAAAPAAAAAAAAAAEAIAAAACIA&#10;AABkcnMvZG93bnJldi54bWxQSwECFAAUAAAACACHTuJAwbIB2D4CAABnBAAADgAAAAAAAAABACAA&#10;AAArAQAAZHJzL2Uyb0RvYy54bWxQSwUGAAAAAAYABgBZAQAA2wUAAAAA&#10;">
                      <v:fill on="f" focussize="0,0"/>
                      <v:stroke on="f" weight="0.5pt"/>
                      <v:imagedata o:title=""/>
                      <o:lock v:ext="edit" aspectratio="f"/>
                      <v:textbox>
                        <w:txbxContent>
                          <w:p w14:paraId="70D2CE41">
                            <w:pPr>
                              <w:rPr>
                                <w:rFonts w:hint="default" w:eastAsia="宋体"/>
                                <w:color w:val="F509D1"/>
                                <w:sz w:val="18"/>
                                <w:szCs w:val="18"/>
                                <w:lang w:val="en-US" w:eastAsia="zh-CN"/>
                              </w:rPr>
                            </w:pPr>
                            <w:r>
                              <w:rPr>
                                <w:rFonts w:hint="eastAsia"/>
                                <w:color w:val="F509D1"/>
                                <w:sz w:val="18"/>
                                <w:szCs w:val="18"/>
                                <w:lang w:val="en-US" w:eastAsia="zh-CN"/>
                              </w:rPr>
                              <w:t>11m</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1628775</wp:posOffset>
                      </wp:positionH>
                      <wp:positionV relativeFrom="paragraph">
                        <wp:posOffset>1877695</wp:posOffset>
                      </wp:positionV>
                      <wp:extent cx="35560" cy="107315"/>
                      <wp:effectExtent l="8255" t="0" r="13335" b="6985"/>
                      <wp:wrapNone/>
                      <wp:docPr id="75" name="直接箭头连接符 75"/>
                      <wp:cNvGraphicFramePr/>
                      <a:graphic xmlns:a="http://schemas.openxmlformats.org/drawingml/2006/main">
                        <a:graphicData uri="http://schemas.microsoft.com/office/word/2010/wordprocessingShape">
                          <wps:wsp>
                            <wps:cNvCnPr/>
                            <wps:spPr>
                              <a:xfrm flipV="1">
                                <a:off x="2797175" y="2790190"/>
                                <a:ext cx="35560" cy="107315"/>
                              </a:xfrm>
                              <a:prstGeom prst="straightConnector1">
                                <a:avLst/>
                              </a:prstGeom>
                              <a:ln w="9525">
                                <a:solidFill>
                                  <a:srgbClr val="F509D1"/>
                                </a:solidFill>
                                <a:headEnd type="stealth" w="sm" len="sm"/>
                                <a:tailEnd type="stealth" w="sm" len="sm"/>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8.25pt;margin-top:147.85pt;height:8.45pt;width:2.8pt;z-index:251667456;mso-width-relative:page;mso-height-relative:page;" filled="f" stroked="t" coordsize="21600,21600" o:gfxdata="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Yzul9sAAAALAQAADwAAAAAAAAABACAAAAAiAAAAZHJzL2Rvd25yZXYueG1sUEsBAhQAFAAAAAgA&#10;h07iQJku84QiAgAAHwQAAA4AAAAAAAAAAQAgAAAAKgEAAGRycy9lMm9Eb2MueG1sUEsFBgAAAAAG&#10;AAYAWQEAAL4FAAAAAA==&#10;">
                      <v:fill on="f" focussize="0,0"/>
                      <v:stroke color="#F509D1 [3204]" joinstyle="round" startarrow="classic" startarrowwidth="narrow" startarrowlength="short" endarrow="classic" endarrowwidth="narrow" endarrowlength="short"/>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401955</wp:posOffset>
                      </wp:positionH>
                      <wp:positionV relativeFrom="paragraph">
                        <wp:posOffset>3115945</wp:posOffset>
                      </wp:positionV>
                      <wp:extent cx="1183640" cy="262890"/>
                      <wp:effectExtent l="0" t="0" r="0" b="0"/>
                      <wp:wrapNone/>
                      <wp:docPr id="72" name="文本框 72"/>
                      <wp:cNvGraphicFramePr/>
                      <a:graphic xmlns:a="http://schemas.openxmlformats.org/drawingml/2006/main">
                        <a:graphicData uri="http://schemas.microsoft.com/office/word/2010/wordprocessingShape">
                          <wps:wsp>
                            <wps:cNvSpPr txBox="1"/>
                            <wps:spPr>
                              <a:xfrm>
                                <a:off x="1624330" y="4076065"/>
                                <a:ext cx="1183640" cy="262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7D645">
                                  <w:pPr>
                                    <w:rPr>
                                      <w:rFonts w:hint="default" w:eastAsia="宋体"/>
                                      <w:sz w:val="18"/>
                                      <w:szCs w:val="18"/>
                                      <w:lang w:val="en-US" w:eastAsia="zh-CN"/>
                                    </w:rPr>
                                  </w:pPr>
                                  <w:r>
                                    <w:rPr>
                                      <w:rFonts w:hint="eastAsia"/>
                                      <w:sz w:val="18"/>
                                      <w:szCs w:val="18"/>
                                      <w:lang w:val="en-US" w:eastAsia="zh-CN"/>
                                    </w:rPr>
                                    <w:t>颗粒物监测点位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5pt;margin-top:245.35pt;height:20.7pt;width:93.2pt;z-index:251666432;mso-width-relative:page;mso-height-relative:page;" filled="f" stroked="f" coordsize="21600,21600" o:gfxdata="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1YKWA3AAAAAoBAAAPAAAA&#10;AAAAAAEAIAAAACIAAABkcnMvZG93bnJldi54bWxQSwECFAAUAAAACACHTuJAq/gG1koCAAB0BAAA&#10;DgAAAAAAAAABACAAAAArAQAAZHJzL2Uyb0RvYy54bWxQSwUGAAAAAAYABgBZAQAA5wUAAAAA&#10;">
                      <v:fill on="f" focussize="0,0"/>
                      <v:stroke on="f" weight="0.5pt"/>
                      <v:imagedata o:title=""/>
                      <o:lock v:ext="edit" aspectratio="f"/>
                      <v:textbox>
                        <w:txbxContent>
                          <w:p w14:paraId="0B07D645">
                            <w:pPr>
                              <w:rPr>
                                <w:rFonts w:hint="default" w:eastAsia="宋体"/>
                                <w:sz w:val="18"/>
                                <w:szCs w:val="18"/>
                                <w:lang w:val="en-US" w:eastAsia="zh-CN"/>
                              </w:rPr>
                            </w:pPr>
                            <w:r>
                              <w:rPr>
                                <w:rFonts w:hint="eastAsia"/>
                                <w:sz w:val="18"/>
                                <w:szCs w:val="18"/>
                                <w:lang w:val="en-US" w:eastAsia="zh-CN"/>
                              </w:rPr>
                              <w:t>颗粒物监测点位</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300990</wp:posOffset>
                      </wp:positionH>
                      <wp:positionV relativeFrom="paragraph">
                        <wp:posOffset>3193415</wp:posOffset>
                      </wp:positionV>
                      <wp:extent cx="75565" cy="75565"/>
                      <wp:effectExtent l="4445" t="4445" r="15240" b="15240"/>
                      <wp:wrapNone/>
                      <wp:docPr id="43" name="椭圆 43"/>
                      <wp:cNvGraphicFramePr/>
                      <a:graphic xmlns:a="http://schemas.openxmlformats.org/drawingml/2006/main">
                        <a:graphicData uri="http://schemas.microsoft.com/office/word/2010/wordprocessingShape">
                          <wps:wsp>
                            <wps:cNvSpPr/>
                            <wps:spPr>
                              <a:xfrm>
                                <a:off x="1469390" y="4105910"/>
                                <a:ext cx="75565" cy="75565"/>
                              </a:xfrm>
                              <a:prstGeom prst="ellipse">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7pt;margin-top:251.45pt;height:5.95pt;width:5.95pt;z-index:251665408;v-text-anchor:middle;mso-width-relative:page;mso-height-relative:page;" fillcolor="#FFFF00" filled="t" stroked="t" coordsize="21600,21600" o:gfxdata="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L2BTvaAAAACQEAAA8AAAAAAAAAAQAgAAAAIgAAAGRycy9kb3du&#10;cmV2LnhtbFBLAQIUABQAAAAIAIdO4kDpsqo/bwIAAOoEAAAOAAAAAAAAAAEAIAAAACkBAABkcnMv&#10;ZTJvRG9jLnhtbFBLBQYAAAAABgAGAFkBAAAKBgAAAAA=&#10;">
                      <v:fill on="t" focussize="0,0"/>
                      <v:stroke weight="0.5pt" color="#FF0000 [2404]" joinstyle="round"/>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265430</wp:posOffset>
                      </wp:positionH>
                      <wp:positionV relativeFrom="paragraph">
                        <wp:posOffset>3098165</wp:posOffset>
                      </wp:positionV>
                      <wp:extent cx="1083945" cy="244475"/>
                      <wp:effectExtent l="12700" t="12700" r="27305" b="28575"/>
                      <wp:wrapNone/>
                      <wp:docPr id="12" name="矩形 12"/>
                      <wp:cNvGraphicFramePr/>
                      <a:graphic xmlns:a="http://schemas.openxmlformats.org/drawingml/2006/main">
                        <a:graphicData uri="http://schemas.microsoft.com/office/word/2010/wordprocessingShape">
                          <wps:wsp>
                            <wps:cNvSpPr/>
                            <wps:spPr>
                              <a:xfrm>
                                <a:off x="1433830" y="3939540"/>
                                <a:ext cx="1083945" cy="2444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243.95pt;height:19.25pt;width:85.35pt;z-index:251664384;v-text-anchor:middle;mso-width-relative:page;mso-height-relative:page;" fillcolor="#FFFFFF [3212]" filled="t" stroked="t" coordsize="21600,21600" o:gfxdata="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I5OjzbAAAACgEAAA8AAAAAAAAAAQAgAAAAIgAAAGRycy9kb3ducmV2&#10;LnhtbFBLAQIUABQAAAAIAIdO4kA8FXgwawIAAOsEAAAOAAAAAAAAAAEAIAAAACoBAABkcnMvZTJv&#10;RG9jLnhtbFBLBQYAAAAABgAGAFkBAAAHBgAAAAA=&#10;">
                      <v:fill on="t" focussize="0,0"/>
                      <v:stroke weight="2pt" color="#FFFFFF [3212]" joinstyle="round"/>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2153285</wp:posOffset>
                      </wp:positionH>
                      <wp:positionV relativeFrom="paragraph">
                        <wp:posOffset>2080260</wp:posOffset>
                      </wp:positionV>
                      <wp:extent cx="636905" cy="245110"/>
                      <wp:effectExtent l="0" t="0" r="0" b="0"/>
                      <wp:wrapNone/>
                      <wp:docPr id="11" name="文本框 11"/>
                      <wp:cNvGraphicFramePr/>
                      <a:graphic xmlns:a="http://schemas.openxmlformats.org/drawingml/2006/main">
                        <a:graphicData uri="http://schemas.microsoft.com/office/word/2010/wordprocessingShape">
                          <wps:wsp>
                            <wps:cNvSpPr txBox="1"/>
                            <wps:spPr>
                              <a:xfrm>
                                <a:off x="4368800" y="3034665"/>
                                <a:ext cx="63690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126CE">
                                  <w:pPr>
                                    <w:rPr>
                                      <w:rFonts w:hint="default" w:eastAsia="宋体"/>
                                      <w:color w:val="FF0000"/>
                                      <w:lang w:val="en-US" w:eastAsia="zh-CN"/>
                                    </w:rPr>
                                  </w:pPr>
                                  <w:r>
                                    <w:rPr>
                                      <w:rFonts w:hint="eastAsia"/>
                                      <w:color w:val="FF0000"/>
                                      <w:lang w:val="en-US" w:eastAsia="zh-CN"/>
                                    </w:rPr>
                                    <w:t>316m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55pt;margin-top:163.8pt;height:19.3pt;width:50.15pt;z-index:251663360;mso-width-relative:page;mso-height-relative:page;" filled="f" stroked="f" coordsize="21600,21600" o:gfxdata="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iEPQ3AAAAAsBAAAPAAAAAAAA&#10;AAEAIAAAACIAAABkcnMvZG93bnJldi54bWxQSwECFAAUAAAACACHTuJAJbuJP0cCAABzBAAADgAA&#10;AAAAAAABACAAAAArAQAAZHJzL2Uyb0RvYy54bWxQSwUGAAAAAAYABgBZAQAA5AUAAAAA&#10;">
                      <v:fill on="f" focussize="0,0"/>
                      <v:stroke on="f" weight="0.5pt"/>
                      <v:imagedata o:title=""/>
                      <o:lock v:ext="edit" aspectratio="f"/>
                      <v:textbox>
                        <w:txbxContent>
                          <w:p w14:paraId="710126CE">
                            <w:pPr>
                              <w:rPr>
                                <w:rFonts w:hint="default" w:eastAsia="宋体"/>
                                <w:color w:val="FF0000"/>
                                <w:lang w:val="en-US" w:eastAsia="zh-CN"/>
                              </w:rPr>
                            </w:pPr>
                            <w:r>
                              <w:rPr>
                                <w:rFonts w:hint="eastAsia"/>
                                <w:color w:val="FF0000"/>
                                <w:lang w:val="en-US" w:eastAsia="zh-CN"/>
                              </w:rPr>
                              <w:t>316m</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1655445</wp:posOffset>
                      </wp:positionH>
                      <wp:positionV relativeFrom="paragraph">
                        <wp:posOffset>2255520</wp:posOffset>
                      </wp:positionV>
                      <wp:extent cx="3171825" cy="9525"/>
                      <wp:effectExtent l="0" t="50800" r="9525" b="53975"/>
                      <wp:wrapNone/>
                      <wp:docPr id="4" name="直接箭头连接符 4"/>
                      <wp:cNvGraphicFramePr/>
                      <a:graphic xmlns:a="http://schemas.openxmlformats.org/drawingml/2006/main">
                        <a:graphicData uri="http://schemas.microsoft.com/office/word/2010/wordprocessingShape">
                          <wps:wsp>
                            <wps:cNvCnPr/>
                            <wps:spPr>
                              <a:xfrm flipV="1">
                                <a:off x="2890520" y="3183255"/>
                                <a:ext cx="3171825" cy="9525"/>
                              </a:xfrm>
                              <a:prstGeom prst="straightConnector1">
                                <a:avLst/>
                              </a:prstGeom>
                              <a:ln w="12700">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0.35pt;margin-top:177.6pt;height:0.75pt;width:249.75pt;z-index:251662336;mso-width-relative:page;mso-height-relative:page;" filled="f" stroked="t" coordsize="21600,21600" o:gfxdata="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zdAIdgAAAALAQAA&#10;DwAAAAAAAAABACAAAAAiAAAAZHJzL2Rvd25yZXYueG1sUEsBAhQAFAAAAAgAh07iQG6fQ08ZAgAA&#10;+gMAAA4AAAAAAAAAAQAgAAAAJwEAAGRycy9lMm9Eb2MueG1sUEsFBgAAAAAGAAYAWQEAALIFAAAA&#10;AA==&#10;">
                      <v:fill on="f" focussize="0,0"/>
                      <v:stroke weight="1pt" color="#FF0000 [3204]" joinstyle="round" startarrow="open" endarrow="open"/>
                      <v:imagedata o:title=""/>
                      <o:lock v:ext="edit" aspectratio="f"/>
                    </v:shape>
                  </w:pict>
                </mc:Fallback>
              </mc:AlternateContent>
            </w:r>
            <w:r>
              <w:drawing>
                <wp:inline distT="0" distB="0" distL="114300" distR="114300">
                  <wp:extent cx="5262880" cy="3349625"/>
                  <wp:effectExtent l="0" t="0" r="1397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9"/>
                          <a:stretch>
                            <a:fillRect/>
                          </a:stretch>
                        </pic:blipFill>
                        <pic:spPr>
                          <a:xfrm>
                            <a:off x="0" y="0"/>
                            <a:ext cx="5262880" cy="3349625"/>
                          </a:xfrm>
                          <a:prstGeom prst="rect">
                            <a:avLst/>
                          </a:prstGeom>
                          <a:noFill/>
                          <a:ln>
                            <a:noFill/>
                          </a:ln>
                        </pic:spPr>
                      </pic:pic>
                    </a:graphicData>
                  </a:graphic>
                </wp:inline>
              </w:drawing>
            </w:r>
          </w:p>
          <w:p w14:paraId="6AD43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000000" w:themeColor="text1"/>
                <w:kern w:val="2"/>
                <w:sz w:val="24"/>
                <w:szCs w:val="20"/>
                <w:highlight w:val="none"/>
                <w:lang w:val="en-US"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图3.1-3引用的大气监测点位图</w:t>
            </w:r>
          </w:p>
          <w:p w14:paraId="6D09F957">
            <w:pPr>
              <w:pStyle w:val="47"/>
              <w:spacing w:after="0"/>
              <w:ind w:left="0" w:leftChars="0" w:firstLine="0" w:firstLineChars="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引用数据的有效性分析</w:t>
            </w:r>
          </w:p>
          <w:p w14:paraId="0503CC23">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的6.2.1.1要求：“项目所在区域达标判定，优先采用国家或地方生态环境主管部门发布的评价基准年环境质量公告或环境质量报告中的数据或结论”，根据</w:t>
            </w:r>
            <w:r>
              <w:rPr>
                <w:rFonts w:hint="eastAsia" w:ascii="Times New Roman" w:hAnsi="Times New Roman" w:eastAsia="宋体" w:cs="Times New Roman"/>
                <w:color w:val="auto"/>
                <w:kern w:val="0"/>
                <w:sz w:val="24"/>
                <w:szCs w:val="24"/>
                <w:lang w:val="en-US" w:eastAsia="zh-CN" w:bidi="ar"/>
              </w:rPr>
              <w:t>《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3B5B7B56">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本次评价选取福建省生态环境厅</w:t>
            </w:r>
            <w:r>
              <w:rPr>
                <w:rFonts w:hint="eastAsia" w:ascii="Times New Roman" w:hAnsi="Times New Roman" w:eastAsia="宋体" w:cs="Times New Roman"/>
                <w:color w:val="auto"/>
                <w:kern w:val="0"/>
                <w:sz w:val="24"/>
                <w:szCs w:val="24"/>
                <w:lang w:val="en-US" w:eastAsia="zh-CN" w:bidi="ar"/>
              </w:rPr>
              <w:t>发</w:t>
            </w:r>
            <w:r>
              <w:rPr>
                <w:rFonts w:hint="default" w:ascii="Times New Roman" w:hAnsi="Times New Roman" w:eastAsia="宋体" w:cs="Times New Roman"/>
                <w:color w:val="auto"/>
                <w:kern w:val="0"/>
                <w:sz w:val="24"/>
                <w:szCs w:val="24"/>
                <w:lang w:val="en-US" w:eastAsia="zh-CN" w:bidi="ar"/>
              </w:rPr>
              <w:t>布的环境空气质量</w:t>
            </w:r>
            <w:r>
              <w:rPr>
                <w:rFonts w:hint="eastAsia" w:ascii="Times New Roman" w:hAnsi="Times New Roman" w:eastAsia="宋体" w:cs="Times New Roman"/>
                <w:color w:val="auto"/>
                <w:kern w:val="0"/>
                <w:sz w:val="24"/>
                <w:szCs w:val="24"/>
                <w:lang w:val="en-US" w:eastAsia="zh-CN" w:bidi="ar"/>
              </w:rPr>
              <w:t>数据</w:t>
            </w:r>
            <w:r>
              <w:rPr>
                <w:rFonts w:hint="default" w:ascii="Times New Roman" w:hAnsi="Times New Roman" w:eastAsia="宋体" w:cs="Times New Roman"/>
                <w:color w:val="auto"/>
                <w:kern w:val="0"/>
                <w:sz w:val="24"/>
                <w:szCs w:val="24"/>
                <w:lang w:val="en-US" w:eastAsia="zh-CN" w:bidi="ar"/>
              </w:rPr>
              <w:t>，符合《环境影响评价技术导则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、《建设项目环境影响报告表编制技术指南（污染影响类）（试行）》的要求，环境现状监测数据可行。</w:t>
            </w:r>
          </w:p>
          <w:p w14:paraId="56EC7165">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声环境质量现状</w:t>
            </w:r>
          </w:p>
          <w:p w14:paraId="2EF9FCA5">
            <w:pPr>
              <w:pStyle w:val="46"/>
              <w:numPr>
                <w:ilvl w:val="0"/>
                <w:numId w:val="12"/>
              </w:numPr>
              <w:autoSpaceDE w:val="0"/>
              <w:autoSpaceDN w:val="0"/>
              <w:spacing w:before="120" w:beforeLines="50"/>
              <w:ind w:left="425" w:leftChars="0" w:hanging="425" w:firstLineChars="0"/>
              <w:rPr>
                <w:rFonts w:hint="eastAsia"/>
                <w:color w:val="auto"/>
                <w:highlight w:val="none"/>
              </w:rPr>
            </w:pPr>
            <w:r>
              <w:rPr>
                <w:rFonts w:hint="eastAsia"/>
                <w:color w:val="auto"/>
                <w:highlight w:val="none"/>
              </w:rPr>
              <w:t>声环境功能区</w:t>
            </w:r>
          </w:p>
          <w:p w14:paraId="3F19B5EF">
            <w:pPr>
              <w:pStyle w:val="46"/>
              <w:shd w:val="clear"/>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本项目位于</w:t>
            </w:r>
            <w:r>
              <w:rPr>
                <w:rFonts w:hint="eastAsia"/>
                <w:color w:val="auto"/>
                <w:lang w:val="en-US" w:eastAsia="zh-CN"/>
              </w:rPr>
              <w:t>福建省福州市福清市镜洋镇工业区（租赁福州鼎力机械有限公司内铸造车间1号）</w:t>
            </w:r>
            <w:r>
              <w:rPr>
                <w:rFonts w:hint="eastAsia" w:ascii="Times New Roman" w:hAnsi="Times New Roman" w:eastAsia="宋体" w:cs="宋体"/>
                <w:color w:val="auto"/>
                <w:highlight w:val="none"/>
                <w:lang w:val="en-US" w:eastAsia="zh-CN"/>
              </w:rPr>
              <w:t>，根据调查，</w:t>
            </w:r>
            <w:r>
              <w:rPr>
                <w:rFonts w:hint="eastAsia" w:cs="宋体"/>
                <w:color w:val="auto"/>
                <w:highlight w:val="none"/>
                <w:lang w:val="en-US" w:eastAsia="zh-CN"/>
              </w:rPr>
              <w:t>项目周边</w:t>
            </w:r>
            <w:r>
              <w:rPr>
                <w:rFonts w:hint="eastAsia" w:ascii="Times New Roman" w:hAnsi="Times New Roman" w:eastAsia="宋体" w:cs="宋体"/>
                <w:color w:val="auto"/>
                <w:highlight w:val="none"/>
                <w:lang w:val="en-US" w:eastAsia="zh-CN"/>
              </w:rPr>
              <w:t>以工业生产、仓储物流为主要功能，需要防止工业噪声对周围环境产生严重影响的区域。项目所在区域声环境为</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类功能区，声环境功能执行《声环境质量标准》</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GB3096-2008</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表1中</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类标准；</w:t>
            </w:r>
          </w:p>
          <w:p w14:paraId="14602D48">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摘录</w:t>
            </w:r>
            <w:r>
              <w:rPr>
                <w:rFonts w:hint="eastAsia"/>
                <w:color w:val="auto"/>
                <w:highlight w:val="none"/>
                <w:lang w:eastAsia="zh-CN"/>
              </w:rPr>
              <w:t>）</w:t>
            </w:r>
          </w:p>
          <w:tbl>
            <w:tblPr>
              <w:tblStyle w:val="34"/>
              <w:tblW w:w="8774" w:type="dxa"/>
              <w:tblInd w:w="-79"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0" w:type="dxa"/>
                <w:bottom w:w="0" w:type="dxa"/>
                <w:right w:w="0" w:type="dxa"/>
              </w:tblCellMar>
            </w:tblPr>
            <w:tblGrid>
              <w:gridCol w:w="1021"/>
              <w:gridCol w:w="4651"/>
              <w:gridCol w:w="1536"/>
              <w:gridCol w:w="1566"/>
            </w:tblGrid>
            <w:tr w14:paraId="20BAC321">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1021" w:type="dxa"/>
                  <w:vMerge w:val="restart"/>
                  <w:tcBorders>
                    <w:bottom w:val="single" w:color="000000" w:sz="4" w:space="0"/>
                  </w:tcBorders>
                  <w:vAlign w:val="center"/>
                </w:tcPr>
                <w:p w14:paraId="478967FE">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1"/>
                    </w:rPr>
                  </w:pPr>
                  <w:r>
                    <w:rPr>
                      <w:rFonts w:ascii="Times New Roman" w:hAnsi="Times New Roman" w:eastAsia="宋体"/>
                      <w:color w:val="auto"/>
                      <w:spacing w:val="-6"/>
                      <w:sz w:val="21"/>
                    </w:rPr>
                    <w:t>标准</w:t>
                  </w:r>
                  <w:r>
                    <w:rPr>
                      <w:rFonts w:ascii="Times New Roman" w:hAnsi="Times New Roman" w:eastAsia="宋体"/>
                      <w:color w:val="auto"/>
                      <w:spacing w:val="-8"/>
                      <w:sz w:val="21"/>
                    </w:rPr>
                    <w:t>类别</w:t>
                  </w:r>
                </w:p>
              </w:tc>
              <w:tc>
                <w:tcPr>
                  <w:tcW w:w="4651" w:type="dxa"/>
                  <w:vMerge w:val="restart"/>
                  <w:tcBorders>
                    <w:bottom w:val="single" w:color="000000" w:sz="4" w:space="0"/>
                  </w:tcBorders>
                  <w:vAlign w:val="center"/>
                </w:tcPr>
                <w:p w14:paraId="062B520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pacing w:val="-7"/>
                      <w:sz w:val="21"/>
                    </w:rPr>
                    <w:t>适用区域</w:t>
                  </w:r>
                </w:p>
              </w:tc>
              <w:tc>
                <w:tcPr>
                  <w:tcW w:w="3102" w:type="dxa"/>
                  <w:gridSpan w:val="2"/>
                  <w:tcBorders>
                    <w:bottom w:val="single" w:color="000000" w:sz="4" w:space="0"/>
                  </w:tcBorders>
                  <w:vAlign w:val="center"/>
                </w:tcPr>
                <w:p w14:paraId="680FB94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12"/>
                      <w:position w:val="2"/>
                      <w:sz w:val="21"/>
                    </w:rPr>
                  </w:pPr>
                  <w:r>
                    <w:rPr>
                      <w:rFonts w:ascii="Times New Roman" w:hAnsi="Times New Roman" w:eastAsia="宋体"/>
                      <w:color w:val="auto"/>
                      <w:spacing w:val="-12"/>
                      <w:position w:val="2"/>
                      <w:sz w:val="21"/>
                    </w:rPr>
                    <w:t xml:space="preserve">等效声级 </w:t>
                  </w:r>
                  <w:r>
                    <w:rPr>
                      <w:rFonts w:ascii="Times New Roman" w:hAnsi="Times New Roman" w:eastAsia="宋体"/>
                      <w:color w:val="auto"/>
                      <w:spacing w:val="-4"/>
                      <w:position w:val="2"/>
                      <w:sz w:val="21"/>
                    </w:rPr>
                    <w:t>L</w:t>
                  </w:r>
                  <w:r>
                    <w:rPr>
                      <w:rFonts w:ascii="Times New Roman" w:hAnsi="Times New Roman" w:eastAsia="宋体"/>
                      <w:color w:val="auto"/>
                      <w:spacing w:val="-4"/>
                      <w:sz w:val="13"/>
                    </w:rPr>
                    <w:t>eq</w:t>
                  </w:r>
                  <w:r>
                    <w:rPr>
                      <w:rFonts w:ascii="Times New Roman" w:hAnsi="Times New Roman" w:eastAsia="宋体"/>
                      <w:color w:val="auto"/>
                      <w:spacing w:val="-4"/>
                      <w:position w:val="2"/>
                      <w:sz w:val="21"/>
                    </w:rPr>
                    <w:t>(dB(A))</w:t>
                  </w:r>
                </w:p>
              </w:tc>
            </w:tr>
            <w:tr w14:paraId="7CDEAD35">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1021" w:type="dxa"/>
                  <w:vMerge w:val="continue"/>
                  <w:tcBorders>
                    <w:top w:val="single" w:color="000000" w:sz="4" w:space="0"/>
                    <w:tl2br w:val="nil"/>
                    <w:tr2bl w:val="nil"/>
                  </w:tcBorders>
                  <w:vAlign w:val="center"/>
                </w:tcPr>
                <w:p w14:paraId="40195E2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
                      <w:szCs w:val="2"/>
                    </w:rPr>
                  </w:pPr>
                </w:p>
              </w:tc>
              <w:tc>
                <w:tcPr>
                  <w:tcW w:w="4651" w:type="dxa"/>
                  <w:vMerge w:val="continue"/>
                  <w:tcBorders>
                    <w:top w:val="single" w:color="000000" w:sz="4" w:space="0"/>
                    <w:tl2br w:val="nil"/>
                    <w:tr2bl w:val="nil"/>
                  </w:tcBorders>
                  <w:vAlign w:val="center"/>
                </w:tcPr>
                <w:p w14:paraId="6B925E1D">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
                      <w:szCs w:val="2"/>
                    </w:rPr>
                  </w:pPr>
                </w:p>
              </w:tc>
              <w:tc>
                <w:tcPr>
                  <w:tcW w:w="1536" w:type="dxa"/>
                  <w:tcBorders>
                    <w:top w:val="single" w:color="000000" w:sz="4" w:space="0"/>
                    <w:tl2br w:val="nil"/>
                    <w:tr2bl w:val="nil"/>
                  </w:tcBorders>
                  <w:vAlign w:val="center"/>
                </w:tcPr>
                <w:p w14:paraId="43639CA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pacing w:val="-8"/>
                      <w:sz w:val="21"/>
                    </w:rPr>
                    <w:t>昼间</w:t>
                  </w:r>
                </w:p>
              </w:tc>
              <w:tc>
                <w:tcPr>
                  <w:tcW w:w="1566" w:type="dxa"/>
                  <w:tcBorders>
                    <w:top w:val="single" w:color="000000" w:sz="4" w:space="0"/>
                    <w:tl2br w:val="nil"/>
                    <w:tr2bl w:val="nil"/>
                  </w:tcBorders>
                  <w:vAlign w:val="center"/>
                </w:tcPr>
                <w:p w14:paraId="1A671EA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8"/>
                      <w:sz w:val="21"/>
                      <w:lang w:val="en-US" w:eastAsia="zh-CN"/>
                    </w:rPr>
                  </w:pPr>
                  <w:r>
                    <w:rPr>
                      <w:rFonts w:hint="eastAsia" w:ascii="Times New Roman" w:hAnsi="Times New Roman" w:eastAsia="宋体"/>
                      <w:color w:val="auto"/>
                      <w:spacing w:val="-8"/>
                      <w:sz w:val="21"/>
                      <w:lang w:val="en-US" w:eastAsia="zh-CN"/>
                    </w:rPr>
                    <w:t>夜间</w:t>
                  </w:r>
                </w:p>
              </w:tc>
            </w:tr>
            <w:tr w14:paraId="75165D75">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679" w:hRule="atLeast"/>
              </w:trPr>
              <w:tc>
                <w:tcPr>
                  <w:tcW w:w="1021" w:type="dxa"/>
                  <w:tcBorders>
                    <w:tl2br w:val="nil"/>
                    <w:tr2bl w:val="nil"/>
                  </w:tcBorders>
                  <w:vAlign w:val="center"/>
                </w:tcPr>
                <w:p w14:paraId="6BDAC52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10"/>
                      <w:sz w:val="21"/>
                      <w:lang w:val="en-US" w:eastAsia="zh-CN"/>
                    </w:rPr>
                  </w:pPr>
                  <w:r>
                    <w:rPr>
                      <w:rFonts w:hint="eastAsia" w:ascii="Times New Roman" w:hAnsi="Times New Roman"/>
                      <w:color w:val="auto"/>
                      <w:spacing w:val="-10"/>
                      <w:sz w:val="21"/>
                      <w:lang w:val="en-US" w:eastAsia="zh-CN"/>
                    </w:rPr>
                    <w:t>3</w:t>
                  </w:r>
                </w:p>
              </w:tc>
              <w:tc>
                <w:tcPr>
                  <w:tcW w:w="4651" w:type="dxa"/>
                  <w:tcBorders>
                    <w:tl2br w:val="nil"/>
                    <w:tr2bl w:val="nil"/>
                  </w:tcBorders>
                  <w:vAlign w:val="center"/>
                </w:tcPr>
                <w:p w14:paraId="7E4DD6B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3"/>
                      <w:sz w:val="21"/>
                    </w:rPr>
                  </w:pPr>
                  <w:r>
                    <w:rPr>
                      <w:rFonts w:hint="eastAsia" w:ascii="Times New Roman" w:hAnsi="Times New Roman" w:eastAsia="宋体"/>
                      <w:color w:val="auto"/>
                      <w:spacing w:val="-3"/>
                      <w:sz w:val="21"/>
                    </w:rPr>
                    <w:t>指</w:t>
                  </w:r>
                  <w:r>
                    <w:rPr>
                      <w:rFonts w:hint="eastAsia" w:ascii="Times New Roman" w:hAnsi="Times New Roman" w:eastAsia="宋体"/>
                      <w:color w:val="auto"/>
                      <w:spacing w:val="-3"/>
                      <w:sz w:val="21"/>
                      <w:lang w:val="en-US" w:eastAsia="zh-CN"/>
                    </w:rPr>
                    <w:t>以工业生产、仓储物流为主要功能，需要防止工业噪声对周围环境产生严重影响的区域。</w:t>
                  </w:r>
                </w:p>
              </w:tc>
              <w:tc>
                <w:tcPr>
                  <w:tcW w:w="1536" w:type="dxa"/>
                  <w:tcBorders>
                    <w:tl2br w:val="nil"/>
                    <w:tr2bl w:val="nil"/>
                  </w:tcBorders>
                  <w:vAlign w:val="center"/>
                </w:tcPr>
                <w:p w14:paraId="276E46A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5"/>
                      <w:sz w:val="21"/>
                      <w:lang w:eastAsia="zh-CN"/>
                    </w:rPr>
                  </w:pPr>
                  <w:r>
                    <w:rPr>
                      <w:rFonts w:ascii="Times New Roman" w:hAnsi="Times New Roman" w:eastAsia="宋体"/>
                      <w:color w:val="auto"/>
                      <w:spacing w:val="-5"/>
                      <w:sz w:val="21"/>
                    </w:rPr>
                    <w:t>≤6</w:t>
                  </w:r>
                  <w:r>
                    <w:rPr>
                      <w:rFonts w:hint="eastAsia" w:ascii="Times New Roman" w:hAnsi="Times New Roman"/>
                      <w:color w:val="auto"/>
                      <w:spacing w:val="-5"/>
                      <w:sz w:val="21"/>
                      <w:lang w:val="en-US" w:eastAsia="zh-CN"/>
                    </w:rPr>
                    <w:t>5</w:t>
                  </w:r>
                </w:p>
              </w:tc>
              <w:tc>
                <w:tcPr>
                  <w:tcW w:w="1566" w:type="dxa"/>
                  <w:tcBorders>
                    <w:tl2br w:val="nil"/>
                    <w:tr2bl w:val="nil"/>
                  </w:tcBorders>
                  <w:vAlign w:val="center"/>
                </w:tcPr>
                <w:p w14:paraId="532481A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5</w:t>
                  </w:r>
                  <w:r>
                    <w:rPr>
                      <w:rFonts w:hint="eastAsia" w:ascii="Times New Roman" w:hAnsi="Times New Roman"/>
                      <w:color w:val="auto"/>
                      <w:spacing w:val="-5"/>
                      <w:sz w:val="21"/>
                      <w:lang w:val="en-US" w:eastAsia="zh-CN"/>
                    </w:rPr>
                    <w:t>5</w:t>
                  </w:r>
                </w:p>
              </w:tc>
            </w:tr>
          </w:tbl>
          <w:p w14:paraId="0552A844">
            <w:pPr>
              <w:pStyle w:val="46"/>
              <w:numPr>
                <w:ilvl w:val="0"/>
                <w:numId w:val="12"/>
              </w:numPr>
              <w:autoSpaceDE w:val="0"/>
              <w:autoSpaceDN w:val="0"/>
              <w:spacing w:before="120" w:beforeLines="50"/>
              <w:ind w:left="425" w:leftChars="0" w:hanging="425" w:firstLineChars="0"/>
              <w:rPr>
                <w:rFonts w:hint="eastAsia"/>
                <w:color w:val="auto"/>
                <w:highlight w:val="none"/>
              </w:rPr>
            </w:pPr>
            <w:r>
              <w:rPr>
                <w:rFonts w:hint="eastAsia"/>
                <w:color w:val="auto"/>
                <w:highlight w:val="none"/>
              </w:rPr>
              <w:t>声环境质量现状</w:t>
            </w:r>
          </w:p>
          <w:p w14:paraId="5063A781">
            <w:pPr>
              <w:pStyle w:val="46"/>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3AABA899">
            <w:pPr>
              <w:pStyle w:val="46"/>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根据现场踏勘可知，项目周边50米范围内无声环境保护目标，可不进行声环境质量现状的监测。</w:t>
            </w:r>
          </w:p>
          <w:p w14:paraId="7B87EE8F">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生态环境</w:t>
            </w:r>
          </w:p>
          <w:p w14:paraId="231B875F">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根据《建设项目环境影响报告表编制技术指南（污染影响类）（试行）》</w:t>
            </w:r>
            <w:r>
              <w:rPr>
                <w:rFonts w:hint="eastAsia"/>
                <w:color w:val="auto"/>
                <w:highlight w:val="none"/>
                <w:lang w:eastAsia="zh-CN"/>
              </w:rPr>
              <w:t>，</w:t>
            </w:r>
            <w:r>
              <w:rPr>
                <w:rFonts w:hint="eastAsia"/>
                <w:color w:val="auto"/>
                <w:highlight w:val="none"/>
              </w:rPr>
              <w:t>“产业园区外建设项目新增用地且用地范围内含生态环境保护目标时，应进行生态现状调查”。本项目位于</w:t>
            </w:r>
            <w:r>
              <w:rPr>
                <w:rFonts w:hint="eastAsia"/>
                <w:color w:val="auto"/>
                <w:highlight w:val="none"/>
                <w:lang w:eastAsia="zh-CN"/>
              </w:rPr>
              <w:t>福建省福州市福清市镜洋镇工业区（租赁福州鼎力机械有限公司内铸造车间1号）</w:t>
            </w:r>
            <w:r>
              <w:rPr>
                <w:rFonts w:hint="eastAsia"/>
                <w:color w:val="auto"/>
                <w:highlight w:val="none"/>
              </w:rPr>
              <w:t>，</w:t>
            </w:r>
            <w:r>
              <w:rPr>
                <w:rFonts w:hint="eastAsia"/>
                <w:color w:val="auto"/>
                <w:highlight w:val="none"/>
                <w:lang w:val="en-US" w:eastAsia="zh-CN"/>
              </w:rPr>
              <w:t>厂房已建设，</w:t>
            </w:r>
            <w:r>
              <w:rPr>
                <w:rFonts w:hint="eastAsia"/>
                <w:color w:val="auto"/>
                <w:highlight w:val="none"/>
              </w:rPr>
              <w:t>用地范围内无生态环境保护目标，无需进行生态现状调查。</w:t>
            </w:r>
          </w:p>
          <w:p w14:paraId="5ED42D0B">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地下水、土壤环境</w:t>
            </w:r>
          </w:p>
          <w:p w14:paraId="7B9E1FCC">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color w:val="auto"/>
                <w:highlight w:val="none"/>
              </w:rPr>
              <w:t>根据</w:t>
            </w:r>
            <w:r>
              <w:rPr>
                <w:rFonts w:hint="eastAsia"/>
                <w:color w:val="auto"/>
                <w:highlight w:val="none"/>
              </w:rPr>
              <w:t>《建设项目环境影响报告表编制技术指南（污染影响类）</w:t>
            </w:r>
            <w:r>
              <w:rPr>
                <w:rFonts w:hint="eastAsia"/>
                <w:color w:val="auto"/>
                <w:highlight w:val="none"/>
                <w:lang w:eastAsia="zh-CN"/>
              </w:rPr>
              <w:t>（试行）》</w:t>
            </w:r>
            <w:r>
              <w:rPr>
                <w:color w:val="auto"/>
                <w:highlight w:val="none"/>
              </w:rPr>
              <w:t>中表明：原则上不开展地下水、土壤环境质量现状调查</w:t>
            </w:r>
            <w:r>
              <w:rPr>
                <w:rFonts w:hint="eastAsia"/>
                <w:color w:val="auto"/>
                <w:highlight w:val="none"/>
              </w:rPr>
              <w:t>。本项目厂区车间经分区防渗后，项目基本不会对土壤、地下水产生影响</w:t>
            </w:r>
            <w:r>
              <w:rPr>
                <w:rFonts w:hint="eastAsia"/>
                <w:color w:val="auto"/>
                <w:highlight w:val="none"/>
                <w:lang w:eastAsia="zh-CN"/>
              </w:rPr>
              <w:t>且</w:t>
            </w:r>
            <w:r>
              <w:rPr>
                <w:rFonts w:hint="eastAsia"/>
                <w:color w:val="auto"/>
                <w:highlight w:val="none"/>
              </w:rPr>
              <w:t>项目</w:t>
            </w:r>
            <w:r>
              <w:rPr>
                <w:color w:val="auto"/>
                <w:highlight w:val="none"/>
              </w:rPr>
              <w:t>厂界外500</w:t>
            </w:r>
            <w:r>
              <w:rPr>
                <w:rFonts w:hint="eastAsia"/>
                <w:color w:val="auto"/>
                <w:highlight w:val="none"/>
              </w:rPr>
              <w:t>m</w:t>
            </w:r>
            <w:r>
              <w:rPr>
                <w:color w:val="auto"/>
                <w:highlight w:val="none"/>
              </w:rPr>
              <w:t>范围内无地下水集中式饮用水水源和热水、矿泉水、泉水等特殊地下水资源。因此，本项目不</w:t>
            </w:r>
            <w:r>
              <w:rPr>
                <w:rFonts w:hint="eastAsia"/>
                <w:color w:val="auto"/>
                <w:highlight w:val="none"/>
              </w:rPr>
              <w:t>开展</w:t>
            </w:r>
            <w:r>
              <w:rPr>
                <w:color w:val="auto"/>
                <w:highlight w:val="none"/>
              </w:rPr>
              <w:t>地下水、土壤环境质量现状</w:t>
            </w:r>
            <w:r>
              <w:rPr>
                <w:rFonts w:hint="eastAsia"/>
                <w:color w:val="auto"/>
                <w:highlight w:val="none"/>
              </w:rPr>
              <w:t>调查</w:t>
            </w:r>
            <w:r>
              <w:rPr>
                <w:color w:val="auto"/>
                <w:highlight w:val="none"/>
              </w:rPr>
              <w:t>。</w:t>
            </w:r>
          </w:p>
        </w:tc>
      </w:tr>
    </w:tbl>
    <w:p w14:paraId="52D95726">
      <w:pPr>
        <w:rPr>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AEF5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8" w:hRule="atLeast"/>
          <w:jc w:val="center"/>
        </w:trPr>
        <w:tc>
          <w:tcPr>
            <w:tcW w:w="800" w:type="dxa"/>
            <w:vAlign w:val="center"/>
          </w:tcPr>
          <w:p w14:paraId="1A978282">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5D172A9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5B8BA521">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14:paraId="5839800C">
            <w:pPr>
              <w:pStyle w:val="3"/>
              <w:numPr>
                <w:ilvl w:val="1"/>
                <w:numId w:val="1"/>
              </w:numPr>
              <w:bidi w:val="0"/>
              <w:ind w:left="0" w:leftChars="0" w:firstLine="0" w:firstLineChars="0"/>
              <w:rPr>
                <w:color w:val="auto"/>
                <w:highlight w:val="none"/>
              </w:rPr>
            </w:pPr>
            <w:bookmarkStart w:id="29" w:name="_Toc15528"/>
            <w:r>
              <w:rPr>
                <w:rFonts w:hint="eastAsia"/>
                <w:color w:val="auto"/>
                <w:highlight w:val="none"/>
              </w:rPr>
              <w:t>环境保护目标</w:t>
            </w:r>
            <w:bookmarkEnd w:id="29"/>
          </w:p>
          <w:p w14:paraId="5BC40B51">
            <w:pPr>
              <w:pStyle w:val="4"/>
              <w:bidi w:val="0"/>
              <w:rPr>
                <w:rFonts w:hint="default"/>
                <w:color w:val="auto"/>
                <w:highlight w:val="none"/>
                <w:lang w:val="en-US" w:eastAsia="zh-CN"/>
              </w:rPr>
            </w:pPr>
            <w:r>
              <w:rPr>
                <w:rFonts w:hint="eastAsia"/>
                <w:color w:val="auto"/>
                <w:highlight w:val="none"/>
                <w:lang w:val="en-US" w:eastAsia="zh-CN"/>
              </w:rPr>
              <w:t>环境敏感目标</w:t>
            </w:r>
          </w:p>
          <w:p w14:paraId="1E05A80C">
            <w:pPr>
              <w:pStyle w:val="46"/>
              <w:bidi w:val="0"/>
              <w:rPr>
                <w:color w:val="auto"/>
                <w:highlight w:val="none"/>
              </w:rPr>
            </w:pPr>
            <w:r>
              <w:rPr>
                <w:rFonts w:hint="default" w:ascii="Times New Roman" w:hAnsi="Times New Roman" w:cs="Times New Roman"/>
                <w:color w:val="auto"/>
                <w:highlight w:val="none"/>
                <w:lang w:val="en-US" w:eastAsia="zh-CN"/>
              </w:rPr>
              <w:t>本项目位于</w:t>
            </w:r>
            <w:r>
              <w:rPr>
                <w:rFonts w:hint="eastAsia"/>
                <w:color w:val="auto"/>
                <w:lang w:val="en-US" w:eastAsia="zh-CN"/>
              </w:rPr>
              <w:t>福建省福州市福清市镜洋镇工业区（租赁福州鼎力机械有限公司内铸造车间1号）</w:t>
            </w:r>
            <w:r>
              <w:rPr>
                <w:rFonts w:hint="eastAsia" w:ascii="Times New Roman" w:hAnsi="Times New Roman" w:cs="Times New Roman"/>
                <w:color w:val="auto"/>
                <w:highlight w:val="none"/>
                <w:lang w:val="en-US" w:eastAsia="zh-CN"/>
              </w:rPr>
              <w:t>，</w:t>
            </w:r>
            <w:r>
              <w:rPr>
                <w:rFonts w:hint="eastAsia"/>
                <w:color w:val="auto"/>
                <w:highlight w:val="none"/>
              </w:rPr>
              <w:t>项目评价范围内不涉及自然保护区、风景名胜区、文物古迹等敏感目标。本项目周边环境敏感目标详见</w:t>
            </w:r>
            <w:r>
              <w:rPr>
                <w:rFonts w:hint="eastAsia"/>
                <w:color w:val="auto"/>
                <w:highlight w:val="none"/>
                <w:lang w:val="en-US" w:eastAsia="zh-CN"/>
              </w:rPr>
              <w:t>下表</w:t>
            </w:r>
            <w:r>
              <w:rPr>
                <w:rFonts w:hint="eastAsia"/>
                <w:color w:val="auto"/>
                <w:highlight w:val="none"/>
              </w:rPr>
              <w:t>和附图2。</w:t>
            </w:r>
          </w:p>
          <w:p w14:paraId="106616DC">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color w:val="auto"/>
                <w:highlight w:val="none"/>
              </w:rPr>
            </w:pPr>
            <w:bookmarkStart w:id="30" w:name="_Ref4901"/>
            <w:r>
              <w:rPr>
                <w:rFonts w:hint="eastAsia"/>
                <w:color w:val="auto"/>
                <w:highlight w:val="none"/>
              </w:rPr>
              <w:t>本项目周边环境敏感目标一览表</w:t>
            </w:r>
            <w:bookmarkEnd w:id="30"/>
          </w:p>
          <w:tbl>
            <w:tblPr>
              <w:tblStyle w:val="86"/>
              <w:tblW w:w="7971"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2"/>
              <w:gridCol w:w="1472"/>
              <w:gridCol w:w="1658"/>
              <w:gridCol w:w="1435"/>
              <w:gridCol w:w="2454"/>
            </w:tblGrid>
            <w:tr w14:paraId="4CDDA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52" w:type="dxa"/>
                  <w:tcBorders>
                    <w:bottom w:val="single" w:color="000000" w:sz="12" w:space="0"/>
                  </w:tcBorders>
                  <w:vAlign w:val="center"/>
                </w:tcPr>
                <w:p w14:paraId="51063CA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环境要素</w:t>
                  </w:r>
                </w:p>
              </w:tc>
              <w:tc>
                <w:tcPr>
                  <w:tcW w:w="1472" w:type="dxa"/>
                  <w:tcBorders>
                    <w:bottom w:val="single" w:color="000000" w:sz="12" w:space="0"/>
                  </w:tcBorders>
                  <w:vAlign w:val="center"/>
                </w:tcPr>
                <w:p w14:paraId="1016598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环境保护对象名称</w:t>
                  </w:r>
                </w:p>
              </w:tc>
              <w:tc>
                <w:tcPr>
                  <w:tcW w:w="1658" w:type="dxa"/>
                  <w:tcBorders>
                    <w:bottom w:val="single" w:color="000000" w:sz="12" w:space="0"/>
                  </w:tcBorders>
                  <w:vAlign w:val="center"/>
                </w:tcPr>
                <w:p w14:paraId="76EB84F0">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与项目厂界的方位和最近距离</w:t>
                  </w:r>
                </w:p>
              </w:tc>
              <w:tc>
                <w:tcPr>
                  <w:tcW w:w="1435" w:type="dxa"/>
                  <w:tcBorders>
                    <w:bottom w:val="single" w:color="000000" w:sz="12" w:space="0"/>
                  </w:tcBorders>
                  <w:vAlign w:val="center"/>
                </w:tcPr>
                <w:p w14:paraId="4EC3BFF2">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基本特征</w:t>
                  </w:r>
                </w:p>
              </w:tc>
              <w:tc>
                <w:tcPr>
                  <w:tcW w:w="2454" w:type="dxa"/>
                  <w:tcBorders>
                    <w:bottom w:val="single" w:color="000000" w:sz="12" w:space="0"/>
                  </w:tcBorders>
                  <w:vAlign w:val="center"/>
                </w:tcPr>
                <w:p w14:paraId="22B2FA66">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环境功能</w:t>
                  </w:r>
                </w:p>
              </w:tc>
            </w:tr>
            <w:tr w14:paraId="48F41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52" w:type="dxa"/>
                  <w:vMerge w:val="restart"/>
                  <w:tcBorders>
                    <w:top w:val="single" w:color="000000" w:sz="12" w:space="0"/>
                    <w:tl2br w:val="nil"/>
                    <w:tr2bl w:val="nil"/>
                  </w:tcBorders>
                  <w:vAlign w:val="center"/>
                </w:tcPr>
                <w:p w14:paraId="2EF8AAD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环境空气</w:t>
                  </w:r>
                </w:p>
              </w:tc>
              <w:tc>
                <w:tcPr>
                  <w:tcW w:w="1472" w:type="dxa"/>
                  <w:tcBorders>
                    <w:top w:val="single" w:color="000000" w:sz="12" w:space="0"/>
                    <w:tl2br w:val="nil"/>
                    <w:tr2bl w:val="nil"/>
                  </w:tcBorders>
                  <w:vAlign w:val="center"/>
                </w:tcPr>
                <w:p w14:paraId="22425C1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上井</w:t>
                  </w:r>
                </w:p>
              </w:tc>
              <w:tc>
                <w:tcPr>
                  <w:tcW w:w="1658" w:type="dxa"/>
                  <w:tcBorders>
                    <w:top w:val="single" w:color="000000" w:sz="12" w:space="0"/>
                    <w:tl2br w:val="nil"/>
                    <w:tr2bl w:val="nil"/>
                  </w:tcBorders>
                  <w:vAlign w:val="center"/>
                </w:tcPr>
                <w:p w14:paraId="30E5540E">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北</w:t>
                  </w:r>
                  <w:r>
                    <w:rPr>
                      <w:rFonts w:hint="eastAsia" w:ascii="Times New Roman" w:hAnsi="Times New Roman" w:eastAsia="宋体" w:cs="Times New Roman"/>
                      <w:snapToGrid/>
                      <w:color w:val="auto"/>
                      <w:kern w:val="2"/>
                      <w:sz w:val="21"/>
                      <w:szCs w:val="21"/>
                      <w:lang w:val="en-US" w:eastAsia="zh-CN"/>
                    </w:rPr>
                    <w:t>侧</w:t>
                  </w:r>
                  <w:r>
                    <w:rPr>
                      <w:rFonts w:hint="eastAsia" w:cs="Times New Roman"/>
                      <w:snapToGrid/>
                      <w:color w:val="auto"/>
                      <w:kern w:val="2"/>
                      <w:sz w:val="21"/>
                      <w:szCs w:val="21"/>
                      <w:lang w:val="en-US" w:eastAsia="zh-CN"/>
                    </w:rPr>
                    <w:t>230</w:t>
                  </w:r>
                  <w:r>
                    <w:rPr>
                      <w:rFonts w:hint="eastAsia" w:ascii="Times New Roman" w:hAnsi="Times New Roman" w:eastAsia="宋体" w:cs="Times New Roman"/>
                      <w:snapToGrid/>
                      <w:color w:val="auto"/>
                      <w:kern w:val="2"/>
                      <w:sz w:val="21"/>
                      <w:szCs w:val="21"/>
                      <w:lang w:val="en-US" w:eastAsia="zh-CN"/>
                    </w:rPr>
                    <w:t>m</w:t>
                  </w:r>
                </w:p>
              </w:tc>
              <w:tc>
                <w:tcPr>
                  <w:tcW w:w="1435" w:type="dxa"/>
                  <w:tcBorders>
                    <w:top w:val="single" w:color="000000" w:sz="12" w:space="0"/>
                    <w:tl2br w:val="nil"/>
                    <w:tr2bl w:val="nil"/>
                  </w:tcBorders>
                  <w:vAlign w:val="center"/>
                </w:tcPr>
                <w:p w14:paraId="6A2F2653">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2454" w:type="dxa"/>
                  <w:vMerge w:val="restart"/>
                  <w:tcBorders>
                    <w:top w:val="single" w:color="000000" w:sz="12" w:space="0"/>
                    <w:tl2br w:val="nil"/>
                    <w:tr2bl w:val="nil"/>
                  </w:tcBorders>
                  <w:vAlign w:val="center"/>
                </w:tcPr>
                <w:p w14:paraId="32023E88">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《环境空气质量标准》</w:t>
                  </w:r>
                </w:p>
                <w:p w14:paraId="105FC7E3">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GB3095-2012</w:t>
                  </w: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及其修改单中的二级标准</w:t>
                  </w:r>
                </w:p>
              </w:tc>
            </w:tr>
            <w:tr w14:paraId="42DAB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52" w:type="dxa"/>
                  <w:vMerge w:val="continue"/>
                  <w:tcBorders>
                    <w:tl2br w:val="nil"/>
                    <w:tr2bl w:val="nil"/>
                  </w:tcBorders>
                  <w:vAlign w:val="center"/>
                </w:tcPr>
                <w:p w14:paraId="3085A810">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c>
                <w:tcPr>
                  <w:tcW w:w="1472" w:type="dxa"/>
                  <w:tcBorders>
                    <w:tl2br w:val="nil"/>
                    <w:tr2bl w:val="nil"/>
                  </w:tcBorders>
                  <w:vAlign w:val="center"/>
                </w:tcPr>
                <w:p w14:paraId="2D3F3F16">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过洋</w:t>
                  </w:r>
                </w:p>
              </w:tc>
              <w:tc>
                <w:tcPr>
                  <w:tcW w:w="1658" w:type="dxa"/>
                  <w:tcBorders>
                    <w:tl2br w:val="nil"/>
                    <w:tr2bl w:val="nil"/>
                  </w:tcBorders>
                  <w:vAlign w:val="center"/>
                </w:tcPr>
                <w:p w14:paraId="4A21C57D">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东侧</w:t>
                  </w:r>
                  <w:r>
                    <w:rPr>
                      <w:rFonts w:hint="eastAsia" w:cs="Times New Roman"/>
                      <w:snapToGrid/>
                      <w:color w:val="auto"/>
                      <w:kern w:val="2"/>
                      <w:sz w:val="21"/>
                      <w:szCs w:val="21"/>
                      <w:lang w:val="en-US" w:eastAsia="zh-CN"/>
                    </w:rPr>
                    <w:t>207</w:t>
                  </w:r>
                  <w:r>
                    <w:rPr>
                      <w:rFonts w:hint="eastAsia" w:ascii="Times New Roman" w:hAnsi="Times New Roman" w:eastAsia="宋体" w:cs="Times New Roman"/>
                      <w:snapToGrid/>
                      <w:color w:val="auto"/>
                      <w:kern w:val="2"/>
                      <w:sz w:val="21"/>
                      <w:szCs w:val="21"/>
                      <w:lang w:val="en-US" w:eastAsia="zh-CN"/>
                    </w:rPr>
                    <w:t>m</w:t>
                  </w:r>
                </w:p>
              </w:tc>
              <w:tc>
                <w:tcPr>
                  <w:tcW w:w="1435" w:type="dxa"/>
                  <w:tcBorders>
                    <w:tl2br w:val="nil"/>
                    <w:tr2bl w:val="nil"/>
                  </w:tcBorders>
                  <w:vAlign w:val="center"/>
                </w:tcPr>
                <w:p w14:paraId="3FD07F00">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2454" w:type="dxa"/>
                  <w:vMerge w:val="continue"/>
                  <w:tcBorders>
                    <w:tl2br w:val="nil"/>
                    <w:tr2bl w:val="nil"/>
                  </w:tcBorders>
                  <w:vAlign w:val="center"/>
                </w:tcPr>
                <w:p w14:paraId="05FEAE83">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r>
            <w:tr w14:paraId="0A324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52" w:type="dxa"/>
                  <w:vMerge w:val="continue"/>
                  <w:tcBorders>
                    <w:tl2br w:val="nil"/>
                    <w:tr2bl w:val="nil"/>
                  </w:tcBorders>
                  <w:vAlign w:val="center"/>
                </w:tcPr>
                <w:p w14:paraId="526F9B0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c>
                <w:tcPr>
                  <w:tcW w:w="1472" w:type="dxa"/>
                  <w:tcBorders>
                    <w:tl2br w:val="nil"/>
                    <w:tr2bl w:val="nil"/>
                  </w:tcBorders>
                  <w:vAlign w:val="center"/>
                </w:tcPr>
                <w:p w14:paraId="3697CDC2">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出水村</w:t>
                  </w:r>
                </w:p>
              </w:tc>
              <w:tc>
                <w:tcPr>
                  <w:tcW w:w="1658" w:type="dxa"/>
                  <w:tcBorders>
                    <w:tl2br w:val="nil"/>
                    <w:tr2bl w:val="nil"/>
                  </w:tcBorders>
                  <w:vAlign w:val="center"/>
                </w:tcPr>
                <w:p w14:paraId="42F841D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南侧410m</w:t>
                  </w:r>
                </w:p>
              </w:tc>
              <w:tc>
                <w:tcPr>
                  <w:tcW w:w="1435" w:type="dxa"/>
                  <w:tcBorders>
                    <w:tl2br w:val="nil"/>
                    <w:tr2bl w:val="nil"/>
                  </w:tcBorders>
                  <w:vAlign w:val="center"/>
                </w:tcPr>
                <w:p w14:paraId="7C4031E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2454" w:type="dxa"/>
                  <w:vMerge w:val="continue"/>
                  <w:tcBorders>
                    <w:tl2br w:val="nil"/>
                    <w:tr2bl w:val="nil"/>
                  </w:tcBorders>
                  <w:vAlign w:val="center"/>
                </w:tcPr>
                <w:p w14:paraId="22993CD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r>
            <w:tr w14:paraId="6F1009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952" w:type="dxa"/>
                  <w:tcBorders>
                    <w:tl2br w:val="nil"/>
                    <w:tr2bl w:val="nil"/>
                  </w:tcBorders>
                  <w:vAlign w:val="center"/>
                </w:tcPr>
                <w:p w14:paraId="386914A6">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地表水</w:t>
                  </w:r>
                </w:p>
              </w:tc>
              <w:tc>
                <w:tcPr>
                  <w:tcW w:w="1472" w:type="dxa"/>
                  <w:tcBorders>
                    <w:tl2br w:val="nil"/>
                    <w:tr2bl w:val="nil"/>
                  </w:tcBorders>
                  <w:vAlign w:val="center"/>
                </w:tcPr>
                <w:p w14:paraId="2B648AD6">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宋体"/>
                      <w:color w:val="auto"/>
                      <w:sz w:val="21"/>
                      <w:szCs w:val="21"/>
                      <w:lang w:val="en-US" w:eastAsia="zh-CN"/>
                    </w:rPr>
                    <w:t>太城溪</w:t>
                  </w:r>
                </w:p>
              </w:tc>
              <w:tc>
                <w:tcPr>
                  <w:tcW w:w="1658" w:type="dxa"/>
                  <w:tcBorders>
                    <w:tl2br w:val="nil"/>
                    <w:tr2bl w:val="nil"/>
                  </w:tcBorders>
                  <w:vAlign w:val="center"/>
                </w:tcPr>
                <w:p w14:paraId="71ED4957">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东侧</w:t>
                  </w:r>
                  <w:r>
                    <w:rPr>
                      <w:rFonts w:hint="eastAsia" w:cs="Times New Roman"/>
                      <w:snapToGrid/>
                      <w:color w:val="auto"/>
                      <w:kern w:val="2"/>
                      <w:sz w:val="21"/>
                      <w:szCs w:val="21"/>
                      <w:lang w:val="en-US" w:eastAsia="zh-CN"/>
                    </w:rPr>
                    <w:t>166</w:t>
                  </w:r>
                  <w:r>
                    <w:rPr>
                      <w:rFonts w:hint="default" w:ascii="Times New Roman" w:hAnsi="Times New Roman" w:eastAsia="宋体" w:cs="Times New Roman"/>
                      <w:snapToGrid/>
                      <w:color w:val="auto"/>
                      <w:kern w:val="2"/>
                      <w:sz w:val="21"/>
                      <w:szCs w:val="21"/>
                      <w:lang w:val="en-US" w:eastAsia="zh-CN"/>
                    </w:rPr>
                    <w:t>m</w:t>
                  </w:r>
                </w:p>
              </w:tc>
              <w:tc>
                <w:tcPr>
                  <w:tcW w:w="1435" w:type="dxa"/>
                  <w:tcBorders>
                    <w:tl2br w:val="nil"/>
                    <w:tr2bl w:val="nil"/>
                  </w:tcBorders>
                  <w:vAlign w:val="center"/>
                </w:tcPr>
                <w:p w14:paraId="6BAEBDE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小型河流</w:t>
                  </w:r>
                </w:p>
              </w:tc>
              <w:tc>
                <w:tcPr>
                  <w:tcW w:w="2454" w:type="dxa"/>
                  <w:tcBorders>
                    <w:tl2br w:val="nil"/>
                    <w:tr2bl w:val="nil"/>
                  </w:tcBorders>
                  <w:vAlign w:val="center"/>
                </w:tcPr>
                <w:p w14:paraId="23C8BCB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《地表水环境质量标准》</w:t>
                  </w: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GB3838-2002</w:t>
                  </w: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Ⅲ类标准</w:t>
                  </w:r>
                </w:p>
              </w:tc>
            </w:tr>
            <w:tr w14:paraId="4F8D93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52" w:type="dxa"/>
                  <w:tcBorders>
                    <w:tl2br w:val="nil"/>
                    <w:tr2bl w:val="nil"/>
                  </w:tcBorders>
                  <w:vAlign w:val="center"/>
                </w:tcPr>
                <w:p w14:paraId="5FA18C6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声环境</w:t>
                  </w:r>
                </w:p>
              </w:tc>
              <w:tc>
                <w:tcPr>
                  <w:tcW w:w="4565" w:type="dxa"/>
                  <w:gridSpan w:val="3"/>
                  <w:tcBorders>
                    <w:tl2br w:val="nil"/>
                    <w:tr2bl w:val="nil"/>
                  </w:tcBorders>
                  <w:vAlign w:val="center"/>
                </w:tcPr>
                <w:p w14:paraId="62253509">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厂界外50米范围内无声环境保护目标</w:t>
                  </w:r>
                </w:p>
              </w:tc>
              <w:tc>
                <w:tcPr>
                  <w:tcW w:w="2454" w:type="dxa"/>
                  <w:tcBorders>
                    <w:tl2br w:val="nil"/>
                    <w:tr2bl w:val="nil"/>
                  </w:tcBorders>
                  <w:vAlign w:val="center"/>
                </w:tcPr>
                <w:p w14:paraId="68C86988">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《声环境质量标准》（GB3096-2008）中</w:t>
                  </w:r>
                  <w:r>
                    <w:rPr>
                      <w:rFonts w:hint="eastAsia" w:cs="Times New Roman"/>
                      <w:snapToGrid/>
                      <w:color w:val="auto"/>
                      <w:kern w:val="2"/>
                      <w:sz w:val="21"/>
                      <w:szCs w:val="21"/>
                      <w:lang w:val="en-US" w:eastAsia="zh-CN"/>
                    </w:rPr>
                    <w:t>3</w:t>
                  </w:r>
                  <w:r>
                    <w:rPr>
                      <w:rFonts w:hint="default" w:ascii="Times New Roman" w:hAnsi="Times New Roman" w:eastAsia="宋体" w:cs="Times New Roman"/>
                      <w:snapToGrid/>
                      <w:color w:val="auto"/>
                      <w:kern w:val="2"/>
                      <w:sz w:val="21"/>
                      <w:szCs w:val="21"/>
                      <w:lang w:val="en-US" w:eastAsia="zh-CN"/>
                    </w:rPr>
                    <w:t>类功能区标准</w:t>
                  </w:r>
                </w:p>
              </w:tc>
            </w:tr>
            <w:tr w14:paraId="08571F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52" w:type="dxa"/>
                  <w:tcBorders>
                    <w:tl2br w:val="nil"/>
                    <w:tr2bl w:val="nil"/>
                  </w:tcBorders>
                  <w:vAlign w:val="center"/>
                </w:tcPr>
                <w:p w14:paraId="79E7135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地下水</w:t>
                  </w:r>
                </w:p>
              </w:tc>
              <w:tc>
                <w:tcPr>
                  <w:tcW w:w="7019" w:type="dxa"/>
                  <w:gridSpan w:val="4"/>
                  <w:tcBorders>
                    <w:tl2br w:val="nil"/>
                    <w:tr2bl w:val="nil"/>
                  </w:tcBorders>
                  <w:vAlign w:val="center"/>
                </w:tcPr>
                <w:p w14:paraId="5168099D">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项目厂界外500米范围内无地下水集中式饮用水水源和热水、矿泉水、温泉等特殊地下水资源</w:t>
                  </w:r>
                </w:p>
              </w:tc>
            </w:tr>
          </w:tbl>
          <w:p w14:paraId="131CBB68">
            <w:pPr>
              <w:pStyle w:val="4"/>
              <w:bidi w:val="0"/>
              <w:rPr>
                <w:rFonts w:hint="default"/>
                <w:color w:val="auto"/>
                <w:lang w:val="en-US" w:eastAsia="zh-CN"/>
              </w:rPr>
            </w:pPr>
            <w:r>
              <w:rPr>
                <w:rFonts w:hint="eastAsia"/>
                <w:color w:val="auto"/>
                <w:lang w:val="en-US" w:eastAsia="zh-CN"/>
              </w:rPr>
              <w:t>生态环境保护目标</w:t>
            </w:r>
          </w:p>
          <w:p w14:paraId="26401000">
            <w:pPr>
              <w:pStyle w:val="9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cs="宋体"/>
                <w:color w:val="auto"/>
                <w:kern w:val="0"/>
                <w:szCs w:val="21"/>
                <w:highlight w:val="none"/>
              </w:rPr>
            </w:pPr>
            <w:r>
              <w:rPr>
                <w:rFonts w:hint="eastAsia" w:ascii="Times New Roman" w:hAnsi="Times New Roman" w:eastAsia="宋体" w:cs="宋体"/>
                <w:color w:val="auto"/>
                <w:kern w:val="0"/>
                <w:sz w:val="24"/>
                <w:szCs w:val="20"/>
                <w:highlight w:val="none"/>
                <w:lang w:val="en-US" w:eastAsia="zh-CN" w:bidi="ar-SA"/>
              </w:rPr>
              <w:t>根据《建设项目环境影响报告表编制技术指南</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污染影响类</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试行</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环办环评〔2020〕33号</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“产业园区外建设项目新增用地的，应明确新增用地范围内生态环境保护目标”。本项目位于</w:t>
            </w:r>
            <w:r>
              <w:rPr>
                <w:rFonts w:hint="eastAsia" w:ascii="Times New Roman" w:hAnsi="Times New Roman" w:cs="宋体"/>
                <w:color w:val="auto"/>
                <w:kern w:val="0"/>
                <w:sz w:val="24"/>
                <w:szCs w:val="20"/>
                <w:highlight w:val="none"/>
                <w:lang w:val="en-US" w:eastAsia="zh-CN" w:bidi="ar-SA"/>
              </w:rPr>
              <w:t>福清融侨经济技术开发区</w:t>
            </w:r>
            <w:r>
              <w:rPr>
                <w:rFonts w:hint="eastAsia" w:ascii="Times New Roman" w:hAnsi="Times New Roman" w:eastAsia="宋体" w:cs="宋体"/>
                <w:color w:val="auto"/>
                <w:kern w:val="0"/>
                <w:sz w:val="24"/>
                <w:szCs w:val="20"/>
                <w:highlight w:val="none"/>
                <w:lang w:val="en-US" w:eastAsia="zh-CN" w:bidi="ar-SA"/>
              </w:rPr>
              <w:t>内，根据调查，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5D4AE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0" w:type="dxa"/>
            <w:tcMar>
              <w:left w:w="28" w:type="dxa"/>
              <w:right w:w="28" w:type="dxa"/>
            </w:tcMar>
            <w:vAlign w:val="center"/>
          </w:tcPr>
          <w:p w14:paraId="24AB8AC7">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14:paraId="58BE293D">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14:paraId="2C45E4F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14:paraId="508390C1">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14:paraId="6AB81F22">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vAlign w:val="center"/>
          </w:tcPr>
          <w:p w14:paraId="7609AA07">
            <w:pPr>
              <w:pStyle w:val="3"/>
              <w:numPr>
                <w:ilvl w:val="1"/>
                <w:numId w:val="1"/>
              </w:numPr>
              <w:bidi w:val="0"/>
              <w:ind w:left="0" w:leftChars="0" w:firstLine="0" w:firstLineChars="0"/>
              <w:rPr>
                <w:rFonts w:hint="eastAsia"/>
                <w:color w:val="auto"/>
                <w:highlight w:val="none"/>
              </w:rPr>
            </w:pPr>
            <w:r>
              <w:rPr>
                <w:rFonts w:hint="eastAsia"/>
                <w:color w:val="auto"/>
                <w:highlight w:val="none"/>
              </w:rPr>
              <w:t>污染物排放控制标准</w:t>
            </w:r>
          </w:p>
          <w:p w14:paraId="6131CFF8">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废气排放标准</w:t>
            </w:r>
          </w:p>
          <w:p w14:paraId="674D61B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bookmarkStart w:id="31" w:name="_Ref11732"/>
            <w:r>
              <w:rPr>
                <w:rFonts w:hint="default" w:ascii="Times New Roman" w:hAnsi="Times New Roman" w:eastAsia="宋体" w:cs="宋体"/>
                <w:color w:val="auto"/>
                <w:kern w:val="0"/>
                <w:sz w:val="24"/>
                <w:szCs w:val="20"/>
                <w:highlight w:val="none"/>
                <w:lang w:val="en-US" w:eastAsia="zh-CN" w:bidi="ar-SA"/>
              </w:rPr>
              <w:t>焊接</w:t>
            </w:r>
            <w:r>
              <w:rPr>
                <w:rFonts w:hint="eastAsia" w:cs="宋体"/>
                <w:color w:val="auto"/>
                <w:kern w:val="0"/>
                <w:sz w:val="24"/>
                <w:szCs w:val="20"/>
                <w:highlight w:val="none"/>
                <w:lang w:val="en-US" w:eastAsia="zh-CN" w:bidi="ar-SA"/>
              </w:rPr>
              <w:t>废气、喷粉废物</w:t>
            </w:r>
            <w:r>
              <w:rPr>
                <w:rFonts w:hint="default" w:ascii="Times New Roman" w:hAnsi="Times New Roman" w:eastAsia="宋体" w:cs="宋体"/>
                <w:color w:val="auto"/>
                <w:kern w:val="0"/>
                <w:sz w:val="24"/>
                <w:szCs w:val="20"/>
                <w:highlight w:val="none"/>
                <w:lang w:val="en-US" w:eastAsia="zh-CN" w:bidi="ar-SA"/>
              </w:rPr>
              <w:t>颗粒物排放执行《大气污染物综合排放标准》（GB 16297-1996）表2标准；电泳和</w:t>
            </w:r>
            <w:r>
              <w:rPr>
                <w:rFonts w:hint="eastAsia" w:cs="宋体"/>
                <w:color w:val="auto"/>
                <w:kern w:val="0"/>
                <w:sz w:val="24"/>
                <w:szCs w:val="20"/>
                <w:highlight w:val="none"/>
                <w:lang w:val="en-US" w:eastAsia="zh-CN" w:bidi="ar-SA"/>
              </w:rPr>
              <w:t>电泳</w:t>
            </w:r>
            <w:r>
              <w:rPr>
                <w:rFonts w:hint="default" w:ascii="Times New Roman" w:hAnsi="Times New Roman" w:eastAsia="宋体" w:cs="宋体"/>
                <w:color w:val="auto"/>
                <w:kern w:val="0"/>
                <w:sz w:val="24"/>
                <w:szCs w:val="20"/>
                <w:highlight w:val="none"/>
                <w:lang w:val="en-US" w:eastAsia="zh-CN" w:bidi="ar-SA"/>
              </w:rPr>
              <w:t>烘干</w:t>
            </w:r>
            <w:r>
              <w:rPr>
                <w:rFonts w:hint="eastAsia" w:cs="宋体"/>
                <w:color w:val="auto"/>
                <w:kern w:val="0"/>
                <w:sz w:val="24"/>
                <w:szCs w:val="20"/>
                <w:highlight w:val="none"/>
                <w:lang w:val="en-US" w:eastAsia="zh-CN" w:bidi="ar-SA"/>
              </w:rPr>
              <w:t>废气、喷粉固化废气、调漆、喷漆、喷漆固化废气</w:t>
            </w:r>
            <w:r>
              <w:rPr>
                <w:rFonts w:hint="default" w:ascii="Times New Roman" w:hAnsi="Times New Roman" w:eastAsia="宋体" w:cs="宋体"/>
                <w:color w:val="auto"/>
                <w:kern w:val="0"/>
                <w:sz w:val="24"/>
                <w:szCs w:val="20"/>
                <w:highlight w:val="none"/>
                <w:lang w:val="en-US" w:eastAsia="zh-CN" w:bidi="ar-SA"/>
              </w:rPr>
              <w:t>非甲烷总烃有组织排放执行《工业涂装工序挥发性有机物排放标准》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DB35/1783-2018</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中表1标准限值</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同时，无组织排放的非甲烷总烃执行《工业涂装工序挥发性有机物排放标准》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DB35/1783-2018</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中表3、表4标准限值及《挥发性有机物无组织排放控制标准》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GB 37822-2019</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中附录A表A.1标准限值；</w:t>
            </w:r>
            <w:r>
              <w:rPr>
                <w:rFonts w:hint="eastAsia" w:cs="宋体"/>
                <w:color w:val="auto"/>
                <w:kern w:val="0"/>
                <w:sz w:val="24"/>
                <w:szCs w:val="20"/>
                <w:highlight w:val="none"/>
                <w:lang w:val="en-US" w:eastAsia="zh-CN" w:bidi="ar-SA"/>
              </w:rPr>
              <w:t>天然气燃烧废气</w:t>
            </w:r>
            <w:r>
              <w:rPr>
                <w:rFonts w:hint="default" w:ascii="Times New Roman" w:hAnsi="Times New Roman" w:eastAsia="宋体" w:cs="宋体"/>
                <w:color w:val="auto"/>
                <w:kern w:val="0"/>
                <w:sz w:val="24"/>
                <w:szCs w:val="20"/>
                <w:highlight w:val="none"/>
                <w:lang w:val="en-US" w:eastAsia="zh-CN" w:bidi="ar-SA"/>
              </w:rPr>
              <w:t>烟（粉）尘、二氧化硫、氮氧化物</w:t>
            </w:r>
            <w:r>
              <w:rPr>
                <w:rFonts w:hint="eastAsia" w:cs="宋体"/>
                <w:color w:val="auto"/>
                <w:kern w:val="0"/>
                <w:sz w:val="24"/>
                <w:szCs w:val="20"/>
                <w:highlight w:val="none"/>
                <w:lang w:val="en-US" w:eastAsia="zh-CN" w:bidi="ar-SA"/>
              </w:rPr>
              <w:t>、林格曼黑度</w:t>
            </w:r>
            <w:r>
              <w:rPr>
                <w:rFonts w:hint="default" w:ascii="Times New Roman" w:hAnsi="Times New Roman" w:eastAsia="宋体" w:cs="宋体"/>
                <w:color w:val="auto"/>
                <w:kern w:val="0"/>
                <w:sz w:val="24"/>
                <w:szCs w:val="20"/>
                <w:highlight w:val="none"/>
                <w:lang w:val="en-US" w:eastAsia="zh-CN" w:bidi="ar-SA"/>
              </w:rPr>
              <w:t>排放标准执行《福建省工业炉窑大气污染综合治理方案》（闽环保大气〔2019〕10号）中明确规定的重点区域限值；氨、硫化氢和臭气浓度排放执行《恶臭污染物排放标准》（GB14554-93）表1标准，详见下表。</w:t>
            </w:r>
          </w:p>
          <w:p w14:paraId="08D3B3D6">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大气污染物排放限值</w:t>
            </w:r>
          </w:p>
          <w:tbl>
            <w:tblPr>
              <w:tblStyle w:val="35"/>
              <w:tblW w:w="79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57"/>
              <w:gridCol w:w="1192"/>
              <w:gridCol w:w="861"/>
              <w:gridCol w:w="1242"/>
              <w:gridCol w:w="2374"/>
            </w:tblGrid>
            <w:tr w14:paraId="07D98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tcBorders>
                    <w:bottom w:val="single" w:color="000000" w:sz="12" w:space="0"/>
                    <w:tl2br w:val="nil"/>
                    <w:tr2bl w:val="nil"/>
                  </w:tcBorders>
                  <w:shd w:val="clear" w:color="auto" w:fill="auto"/>
                  <w:vAlign w:val="center"/>
                </w:tcPr>
                <w:p w14:paraId="6944CF96">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排气筒编号</w:t>
                  </w:r>
                </w:p>
              </w:tc>
              <w:tc>
                <w:tcPr>
                  <w:tcW w:w="1257" w:type="dxa"/>
                  <w:tcBorders>
                    <w:bottom w:val="single" w:color="000000" w:sz="12" w:space="0"/>
                    <w:tl2br w:val="nil"/>
                    <w:tr2bl w:val="nil"/>
                  </w:tcBorders>
                  <w:shd w:val="clear" w:color="auto" w:fill="auto"/>
                  <w:vAlign w:val="center"/>
                </w:tcPr>
                <w:p w14:paraId="642BAD49">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污染物</w:t>
                  </w:r>
                </w:p>
              </w:tc>
              <w:tc>
                <w:tcPr>
                  <w:tcW w:w="1192" w:type="dxa"/>
                  <w:tcBorders>
                    <w:bottom w:val="single" w:color="000000" w:sz="12" w:space="0"/>
                    <w:tl2br w:val="nil"/>
                    <w:tr2bl w:val="nil"/>
                  </w:tcBorders>
                  <w:shd w:val="clear" w:color="auto" w:fill="auto"/>
                  <w:vAlign w:val="center"/>
                </w:tcPr>
                <w:p w14:paraId="1AFAD4F0">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最高允许排放浓度（mg/</w:t>
                  </w:r>
                  <w:r>
                    <w:rPr>
                      <w:rFonts w:ascii="Times New Roman" w:hAnsi="Times New Roman" w:eastAsia="Times New Roman"/>
                      <w:color w:val="auto"/>
                      <w:spacing w:val="0"/>
                      <w:sz w:val="21"/>
                    </w:rPr>
                    <w:t>m</w:t>
                  </w:r>
                  <w:r>
                    <w:rPr>
                      <w:rFonts w:ascii="Times New Roman" w:hAnsi="Times New Roman" w:eastAsia="Times New Roman"/>
                      <w:color w:val="auto"/>
                      <w:spacing w:val="0"/>
                      <w:position w:val="7"/>
                      <w:sz w:val="13"/>
                    </w:rPr>
                    <w:t>3</w:t>
                  </w:r>
                  <w:r>
                    <w:rPr>
                      <w:rFonts w:hint="default" w:ascii="Times New Roman" w:hAnsi="Times New Roman" w:eastAsia="宋体" w:cs="Times New Roman"/>
                      <w:color w:val="auto"/>
                      <w:spacing w:val="0"/>
                      <w:sz w:val="21"/>
                      <w:szCs w:val="21"/>
                    </w:rPr>
                    <w:t>）</w:t>
                  </w:r>
                </w:p>
              </w:tc>
              <w:tc>
                <w:tcPr>
                  <w:tcW w:w="861" w:type="dxa"/>
                  <w:tcBorders>
                    <w:bottom w:val="single" w:color="000000" w:sz="12" w:space="0"/>
                    <w:tl2br w:val="nil"/>
                    <w:tr2bl w:val="nil"/>
                  </w:tcBorders>
                  <w:shd w:val="clear" w:color="auto" w:fill="auto"/>
                  <w:vAlign w:val="center"/>
                </w:tcPr>
                <w:p w14:paraId="4FEB7D78">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排气筒高度（m）</w:t>
                  </w:r>
                </w:p>
              </w:tc>
              <w:tc>
                <w:tcPr>
                  <w:tcW w:w="1242" w:type="dxa"/>
                  <w:tcBorders>
                    <w:bottom w:val="single" w:color="000000" w:sz="12" w:space="0"/>
                    <w:tl2br w:val="nil"/>
                    <w:tr2bl w:val="nil"/>
                  </w:tcBorders>
                  <w:shd w:val="clear" w:color="auto" w:fill="auto"/>
                  <w:vAlign w:val="center"/>
                </w:tcPr>
                <w:p w14:paraId="4EC51C02">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最高允许排放速率（kg/h）</w:t>
                  </w:r>
                </w:p>
              </w:tc>
              <w:tc>
                <w:tcPr>
                  <w:tcW w:w="2374" w:type="dxa"/>
                  <w:tcBorders>
                    <w:bottom w:val="single" w:color="000000" w:sz="12" w:space="0"/>
                    <w:tl2br w:val="nil"/>
                    <w:tr2bl w:val="nil"/>
                  </w:tcBorders>
                  <w:shd w:val="clear" w:color="auto" w:fill="auto"/>
                  <w:vAlign w:val="center"/>
                </w:tcPr>
                <w:p w14:paraId="06267EB2">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标准</w:t>
                  </w:r>
                  <w:r>
                    <w:rPr>
                      <w:rFonts w:hint="eastAsia" w:ascii="Times New Roman" w:hAnsi="Times New Roman" w:cs="Times New Roman"/>
                      <w:color w:val="auto"/>
                      <w:spacing w:val="0"/>
                      <w:sz w:val="21"/>
                      <w:szCs w:val="21"/>
                      <w:lang w:val="en-US" w:eastAsia="zh-CN"/>
                    </w:rPr>
                    <w:t>来源</w:t>
                  </w:r>
                </w:p>
              </w:tc>
            </w:tr>
            <w:tr w14:paraId="6D0E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vMerge w:val="restart"/>
                  <w:tcBorders>
                    <w:top w:val="single" w:color="000000" w:sz="12" w:space="0"/>
                    <w:tl2br w:val="nil"/>
                    <w:tr2bl w:val="nil"/>
                  </w:tcBorders>
                  <w:shd w:val="clear" w:color="auto" w:fill="auto"/>
                  <w:vAlign w:val="center"/>
                </w:tcPr>
                <w:p w14:paraId="0365E3C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DA00</w:t>
                  </w:r>
                  <w:r>
                    <w:rPr>
                      <w:rFonts w:hint="eastAsia" w:ascii="Times New Roman" w:hAnsi="Times New Roman" w:eastAsia="宋体" w:cs="Times New Roman"/>
                      <w:color w:val="auto"/>
                      <w:spacing w:val="0"/>
                      <w:sz w:val="21"/>
                      <w:szCs w:val="21"/>
                      <w:lang w:val="en-US" w:eastAsia="zh-CN"/>
                    </w:rPr>
                    <w:t>1、DA004</w:t>
                  </w:r>
                </w:p>
              </w:tc>
              <w:tc>
                <w:tcPr>
                  <w:tcW w:w="1257" w:type="dxa"/>
                  <w:tcBorders>
                    <w:top w:val="single" w:color="000000" w:sz="12" w:space="0"/>
                    <w:tl2br w:val="nil"/>
                    <w:tr2bl w:val="nil"/>
                  </w:tcBorders>
                  <w:shd w:val="clear" w:color="auto" w:fill="auto"/>
                  <w:vAlign w:val="center"/>
                </w:tcPr>
                <w:p w14:paraId="44A9BA19">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非甲烷总烃</w:t>
                  </w:r>
                </w:p>
              </w:tc>
              <w:tc>
                <w:tcPr>
                  <w:tcW w:w="1192" w:type="dxa"/>
                  <w:tcBorders>
                    <w:top w:val="single" w:color="000000" w:sz="12" w:space="0"/>
                    <w:tl2br w:val="nil"/>
                    <w:tr2bl w:val="nil"/>
                  </w:tcBorders>
                  <w:shd w:val="clear" w:color="auto" w:fill="auto"/>
                  <w:vAlign w:val="center"/>
                </w:tcPr>
                <w:p w14:paraId="63EC396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2"/>
                      <w:sz w:val="21"/>
                      <w:szCs w:val="21"/>
                    </w:rPr>
                    <w:t>60</w:t>
                  </w:r>
                </w:p>
              </w:tc>
              <w:tc>
                <w:tcPr>
                  <w:tcW w:w="861" w:type="dxa"/>
                  <w:tcBorders>
                    <w:top w:val="single" w:color="000000" w:sz="12" w:space="0"/>
                    <w:tl2br w:val="nil"/>
                    <w:tr2bl w:val="nil"/>
                  </w:tcBorders>
                  <w:shd w:val="clear" w:color="auto" w:fill="auto"/>
                  <w:vAlign w:val="center"/>
                </w:tcPr>
                <w:p w14:paraId="117E3F6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5"/>
                      <w:sz w:val="21"/>
                      <w:szCs w:val="21"/>
                    </w:rPr>
                    <w:t>15</w:t>
                  </w:r>
                </w:p>
              </w:tc>
              <w:tc>
                <w:tcPr>
                  <w:tcW w:w="1242" w:type="dxa"/>
                  <w:tcBorders>
                    <w:top w:val="single" w:color="000000" w:sz="12" w:space="0"/>
                    <w:tl2br w:val="nil"/>
                    <w:tr2bl w:val="nil"/>
                  </w:tcBorders>
                  <w:shd w:val="clear" w:color="auto" w:fill="auto"/>
                  <w:vAlign w:val="center"/>
                </w:tcPr>
                <w:p w14:paraId="0A1A88F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2"/>
                      <w:sz w:val="21"/>
                      <w:szCs w:val="21"/>
                    </w:rPr>
                    <w:t>2.5</w:t>
                  </w:r>
                </w:p>
              </w:tc>
              <w:tc>
                <w:tcPr>
                  <w:tcW w:w="2374" w:type="dxa"/>
                  <w:tcBorders>
                    <w:top w:val="single" w:color="000000" w:sz="12" w:space="0"/>
                    <w:tl2br w:val="nil"/>
                    <w:tr2bl w:val="nil"/>
                  </w:tcBorders>
                  <w:shd w:val="clear" w:color="auto" w:fill="auto"/>
                  <w:vAlign w:val="center"/>
                </w:tcPr>
                <w:p w14:paraId="3DB795B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z w:val="21"/>
                      <w:szCs w:val="21"/>
                      <w:highlight w:val="none"/>
                      <w:lang w:val="en-US" w:eastAsia="zh-CN"/>
                    </w:rPr>
                    <w:t>《工业涂装工序挥发性有机物排放标准》</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DB35/1783-2018</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表1涉涂装工序的其它行业</w:t>
                  </w:r>
                </w:p>
              </w:tc>
            </w:tr>
            <w:tr w14:paraId="6333D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vMerge w:val="continue"/>
                  <w:tcBorders>
                    <w:tl2br w:val="nil"/>
                    <w:tr2bl w:val="nil"/>
                  </w:tcBorders>
                  <w:shd w:val="clear" w:color="auto" w:fill="auto"/>
                  <w:vAlign w:val="center"/>
                </w:tcPr>
                <w:p w14:paraId="28E4B3F3">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1257" w:type="dxa"/>
                  <w:tcBorders>
                    <w:tl2br w:val="nil"/>
                    <w:tr2bl w:val="nil"/>
                  </w:tcBorders>
                  <w:shd w:val="clear" w:color="auto" w:fill="auto"/>
                  <w:vAlign w:val="center"/>
                </w:tcPr>
                <w:p w14:paraId="3B159B8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颗粒物</w:t>
                  </w:r>
                </w:p>
              </w:tc>
              <w:tc>
                <w:tcPr>
                  <w:tcW w:w="1192" w:type="dxa"/>
                  <w:tcBorders>
                    <w:tl2br w:val="nil"/>
                    <w:tr2bl w:val="nil"/>
                  </w:tcBorders>
                  <w:shd w:val="clear" w:color="auto" w:fill="auto"/>
                  <w:vAlign w:val="center"/>
                </w:tcPr>
                <w:p w14:paraId="71BEE3E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30</w:t>
                  </w:r>
                </w:p>
              </w:tc>
              <w:tc>
                <w:tcPr>
                  <w:tcW w:w="861" w:type="dxa"/>
                  <w:tcBorders>
                    <w:tl2br w:val="nil"/>
                    <w:tr2bl w:val="nil"/>
                  </w:tcBorders>
                  <w:shd w:val="clear" w:color="auto" w:fill="auto"/>
                  <w:vAlign w:val="center"/>
                </w:tcPr>
                <w:p w14:paraId="62D5C34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242" w:type="dxa"/>
                  <w:tcBorders>
                    <w:tl2br w:val="nil"/>
                    <w:tr2bl w:val="nil"/>
                  </w:tcBorders>
                  <w:shd w:val="clear" w:color="auto" w:fill="auto"/>
                  <w:vAlign w:val="center"/>
                </w:tcPr>
                <w:p w14:paraId="2D09E5B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2374" w:type="dxa"/>
                  <w:vMerge w:val="restart"/>
                  <w:tcBorders>
                    <w:tl2br w:val="nil"/>
                    <w:tr2bl w:val="nil"/>
                  </w:tcBorders>
                  <w:shd w:val="clear" w:color="auto" w:fill="auto"/>
                  <w:vAlign w:val="center"/>
                </w:tcPr>
                <w:p w14:paraId="5AEB48D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p>
              </w:tc>
            </w:tr>
            <w:tr w14:paraId="27264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vMerge w:val="continue"/>
                  <w:tcBorders>
                    <w:tl2br w:val="nil"/>
                    <w:tr2bl w:val="nil"/>
                  </w:tcBorders>
                  <w:shd w:val="clear" w:color="auto" w:fill="auto"/>
                  <w:vAlign w:val="center"/>
                </w:tcPr>
                <w:p w14:paraId="106E1428">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1257" w:type="dxa"/>
                  <w:tcBorders>
                    <w:tl2br w:val="nil"/>
                    <w:tr2bl w:val="nil"/>
                  </w:tcBorders>
                  <w:shd w:val="clear" w:color="auto" w:fill="auto"/>
                  <w:vAlign w:val="center"/>
                </w:tcPr>
                <w:p w14:paraId="395C8FE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二氧化硫</w:t>
                  </w:r>
                </w:p>
              </w:tc>
              <w:tc>
                <w:tcPr>
                  <w:tcW w:w="1192" w:type="dxa"/>
                  <w:tcBorders>
                    <w:tl2br w:val="nil"/>
                    <w:tr2bl w:val="nil"/>
                  </w:tcBorders>
                  <w:shd w:val="clear" w:color="auto" w:fill="auto"/>
                  <w:vAlign w:val="center"/>
                </w:tcPr>
                <w:p w14:paraId="6A1C5E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200</w:t>
                  </w:r>
                </w:p>
              </w:tc>
              <w:tc>
                <w:tcPr>
                  <w:tcW w:w="861" w:type="dxa"/>
                  <w:tcBorders>
                    <w:tl2br w:val="nil"/>
                    <w:tr2bl w:val="nil"/>
                  </w:tcBorders>
                  <w:shd w:val="clear" w:color="auto" w:fill="auto"/>
                  <w:vAlign w:val="center"/>
                </w:tcPr>
                <w:p w14:paraId="2E4CA915">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242" w:type="dxa"/>
                  <w:tcBorders>
                    <w:tl2br w:val="nil"/>
                    <w:tr2bl w:val="nil"/>
                  </w:tcBorders>
                  <w:shd w:val="clear" w:color="auto" w:fill="auto"/>
                  <w:vAlign w:val="center"/>
                </w:tcPr>
                <w:p w14:paraId="5D6AFD46">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2374" w:type="dxa"/>
                  <w:vMerge w:val="continue"/>
                  <w:tcBorders>
                    <w:tl2br w:val="nil"/>
                    <w:tr2bl w:val="nil"/>
                  </w:tcBorders>
                  <w:shd w:val="clear" w:color="auto" w:fill="auto"/>
                  <w:vAlign w:val="center"/>
                </w:tcPr>
                <w:p w14:paraId="665B883A">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r>
            <w:tr w14:paraId="3FD74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vMerge w:val="continue"/>
                  <w:tcBorders>
                    <w:tl2br w:val="nil"/>
                    <w:tr2bl w:val="nil"/>
                  </w:tcBorders>
                  <w:shd w:val="clear" w:color="auto" w:fill="auto"/>
                  <w:vAlign w:val="center"/>
                </w:tcPr>
                <w:p w14:paraId="4BF237E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1257" w:type="dxa"/>
                  <w:tcBorders>
                    <w:tl2br w:val="nil"/>
                    <w:tr2bl w:val="nil"/>
                  </w:tcBorders>
                  <w:shd w:val="clear" w:color="auto" w:fill="auto"/>
                  <w:vAlign w:val="center"/>
                </w:tcPr>
                <w:p w14:paraId="22F9B56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氮氧化物</w:t>
                  </w:r>
                </w:p>
              </w:tc>
              <w:tc>
                <w:tcPr>
                  <w:tcW w:w="1192" w:type="dxa"/>
                  <w:tcBorders>
                    <w:tl2br w:val="nil"/>
                    <w:tr2bl w:val="nil"/>
                  </w:tcBorders>
                  <w:shd w:val="clear" w:color="auto" w:fill="auto"/>
                  <w:vAlign w:val="center"/>
                </w:tcPr>
                <w:p w14:paraId="74C3477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300</w:t>
                  </w:r>
                </w:p>
              </w:tc>
              <w:tc>
                <w:tcPr>
                  <w:tcW w:w="861" w:type="dxa"/>
                  <w:tcBorders>
                    <w:tl2br w:val="nil"/>
                    <w:tr2bl w:val="nil"/>
                  </w:tcBorders>
                  <w:shd w:val="clear" w:color="auto" w:fill="auto"/>
                  <w:vAlign w:val="center"/>
                </w:tcPr>
                <w:p w14:paraId="35D4B6B4">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242" w:type="dxa"/>
                  <w:tcBorders>
                    <w:tl2br w:val="nil"/>
                    <w:tr2bl w:val="nil"/>
                  </w:tcBorders>
                  <w:shd w:val="clear" w:color="auto" w:fill="auto"/>
                  <w:vAlign w:val="center"/>
                </w:tcPr>
                <w:p w14:paraId="2C2B2B2E">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2374" w:type="dxa"/>
                  <w:vMerge w:val="continue"/>
                  <w:tcBorders>
                    <w:tl2br w:val="nil"/>
                    <w:tr2bl w:val="nil"/>
                  </w:tcBorders>
                  <w:shd w:val="clear" w:color="auto" w:fill="auto"/>
                  <w:vAlign w:val="center"/>
                </w:tcPr>
                <w:p w14:paraId="29C213A5">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r>
            <w:tr w14:paraId="2D632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shd w:val="clear" w:color="auto" w:fill="auto"/>
                  <w:vAlign w:val="center"/>
                </w:tcPr>
                <w:p w14:paraId="0123B3BA">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DA00</w:t>
                  </w:r>
                  <w:r>
                    <w:rPr>
                      <w:rFonts w:hint="eastAsia" w:ascii="Times New Roman" w:hAnsi="Times New Roman" w:eastAsia="宋体" w:cs="Times New Roman"/>
                      <w:color w:val="auto"/>
                      <w:spacing w:val="0"/>
                      <w:sz w:val="21"/>
                      <w:szCs w:val="21"/>
                      <w:lang w:val="en-US" w:eastAsia="zh-CN"/>
                    </w:rPr>
                    <w:t>2</w:t>
                  </w:r>
                </w:p>
              </w:tc>
              <w:tc>
                <w:tcPr>
                  <w:tcW w:w="1257" w:type="dxa"/>
                  <w:shd w:val="clear" w:color="auto" w:fill="auto"/>
                  <w:vAlign w:val="center"/>
                </w:tcPr>
                <w:p w14:paraId="718404E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sz w:val="21"/>
                      <w:szCs w:val="21"/>
                    </w:rPr>
                    <w:t>颗粒物</w:t>
                  </w:r>
                </w:p>
              </w:tc>
              <w:tc>
                <w:tcPr>
                  <w:tcW w:w="1192" w:type="dxa"/>
                  <w:vMerge w:val="restart"/>
                  <w:shd w:val="clear" w:color="auto" w:fill="auto"/>
                  <w:vAlign w:val="center"/>
                </w:tcPr>
                <w:p w14:paraId="6A3562FF">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sz w:val="21"/>
                      <w:szCs w:val="21"/>
                    </w:rPr>
                    <w:t>120</w:t>
                  </w:r>
                </w:p>
              </w:tc>
              <w:tc>
                <w:tcPr>
                  <w:tcW w:w="861" w:type="dxa"/>
                  <w:shd w:val="clear" w:color="auto" w:fill="auto"/>
                  <w:vAlign w:val="center"/>
                </w:tcPr>
                <w:p w14:paraId="63D44DC0">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eastAsia" w:ascii="Times New Roman" w:hAnsi="Times New Roman" w:eastAsia="宋体" w:cs="Times New Roman"/>
                      <w:color w:val="auto"/>
                      <w:spacing w:val="0"/>
                      <w:sz w:val="21"/>
                      <w:szCs w:val="21"/>
                      <w:lang w:val="en-US" w:eastAsia="zh-CN"/>
                    </w:rPr>
                    <w:t>20</w:t>
                  </w:r>
                </w:p>
              </w:tc>
              <w:tc>
                <w:tcPr>
                  <w:tcW w:w="1242" w:type="dxa"/>
                  <w:shd w:val="clear" w:color="auto" w:fill="auto"/>
                  <w:vAlign w:val="center"/>
                </w:tcPr>
                <w:p w14:paraId="3DB5AF2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eastAsia" w:ascii="Times New Roman" w:hAnsi="Times New Roman" w:eastAsia="宋体" w:cs="Times New Roman"/>
                      <w:color w:val="auto"/>
                      <w:spacing w:val="0"/>
                      <w:sz w:val="21"/>
                      <w:szCs w:val="21"/>
                      <w:lang w:val="en-US" w:eastAsia="zh-CN"/>
                    </w:rPr>
                    <w:t>5.9</w:t>
                  </w: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2.95严格50%执行</w:t>
                  </w:r>
                  <w:r>
                    <w:rPr>
                      <w:rFonts w:hint="eastAsia" w:ascii="Times New Roman" w:hAnsi="Times New Roman" w:cs="Times New Roman"/>
                      <w:color w:val="auto"/>
                      <w:spacing w:val="0"/>
                      <w:sz w:val="21"/>
                      <w:szCs w:val="21"/>
                      <w:lang w:eastAsia="zh-CN"/>
                    </w:rPr>
                    <w:t>）</w:t>
                  </w:r>
                </w:p>
              </w:tc>
              <w:tc>
                <w:tcPr>
                  <w:tcW w:w="2374" w:type="dxa"/>
                  <w:vMerge w:val="restart"/>
                  <w:shd w:val="clear" w:color="auto" w:fill="auto"/>
                  <w:vAlign w:val="center"/>
                </w:tcPr>
                <w:p w14:paraId="5E99DBDA">
                  <w:pPr>
                    <w:pStyle w:val="15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he-IL"/>
                    </w:rPr>
                    <w:t>《大气污染物综合排放标准》</w:t>
                  </w:r>
                  <w:r>
                    <w:rPr>
                      <w:rFonts w:hint="eastAsia" w:cs="Times New Roman"/>
                      <w:color w:val="auto"/>
                      <w:sz w:val="21"/>
                      <w:szCs w:val="21"/>
                      <w:highlight w:val="none"/>
                      <w:lang w:val="en-US" w:eastAsia="zh-CN" w:bidi="he-IL"/>
                    </w:rPr>
                    <w:t>（</w:t>
                  </w:r>
                  <w:r>
                    <w:rPr>
                      <w:rFonts w:hint="default" w:ascii="Times New Roman" w:hAnsi="Times New Roman" w:eastAsia="宋体" w:cs="Times New Roman"/>
                      <w:color w:val="auto"/>
                      <w:sz w:val="21"/>
                      <w:szCs w:val="21"/>
                      <w:highlight w:val="none"/>
                      <w:lang w:val="en-US" w:eastAsia="zh-CN" w:bidi="he-IL"/>
                    </w:rPr>
                    <w:t>GB16297－1996</w:t>
                  </w:r>
                  <w:r>
                    <w:rPr>
                      <w:rFonts w:hint="eastAsia" w:cs="Times New Roman"/>
                      <w:color w:val="auto"/>
                      <w:sz w:val="21"/>
                      <w:szCs w:val="21"/>
                      <w:highlight w:val="none"/>
                      <w:lang w:val="en-US" w:eastAsia="zh-CN" w:bidi="he-IL"/>
                    </w:rPr>
                    <w:t>）</w:t>
                  </w:r>
                  <w:r>
                    <w:rPr>
                      <w:rFonts w:hint="default" w:ascii="Times New Roman" w:hAnsi="Times New Roman" w:eastAsia="宋体" w:cs="Times New Roman"/>
                      <w:color w:val="auto"/>
                      <w:sz w:val="21"/>
                      <w:szCs w:val="21"/>
                      <w:highlight w:val="none"/>
                      <w:lang w:val="en-US" w:eastAsia="zh-CN" w:bidi="he-IL"/>
                    </w:rPr>
                    <w:t>表2</w:t>
                  </w:r>
                </w:p>
              </w:tc>
            </w:tr>
            <w:tr w14:paraId="18AF3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45" w:type="dxa"/>
                  <w:shd w:val="clear" w:color="auto" w:fill="auto"/>
                  <w:vAlign w:val="center"/>
                </w:tcPr>
                <w:p w14:paraId="59BBB30F">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DA003</w:t>
                  </w:r>
                </w:p>
              </w:tc>
              <w:tc>
                <w:tcPr>
                  <w:tcW w:w="1257" w:type="dxa"/>
                  <w:shd w:val="clear" w:color="auto" w:fill="auto"/>
                  <w:vAlign w:val="center"/>
                </w:tcPr>
                <w:p w14:paraId="097DB30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颗粒物</w:t>
                  </w:r>
                </w:p>
              </w:tc>
              <w:tc>
                <w:tcPr>
                  <w:tcW w:w="1192" w:type="dxa"/>
                  <w:vMerge w:val="continue"/>
                  <w:shd w:val="clear" w:color="auto" w:fill="auto"/>
                  <w:vAlign w:val="center"/>
                </w:tcPr>
                <w:p w14:paraId="29BCE7F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szCs w:val="21"/>
                    </w:rPr>
                  </w:pPr>
                </w:p>
              </w:tc>
              <w:tc>
                <w:tcPr>
                  <w:tcW w:w="861" w:type="dxa"/>
                  <w:shd w:val="clear" w:color="auto" w:fill="auto"/>
                  <w:vAlign w:val="center"/>
                </w:tcPr>
                <w:p w14:paraId="113A78F7">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15</w:t>
                  </w:r>
                </w:p>
              </w:tc>
              <w:tc>
                <w:tcPr>
                  <w:tcW w:w="1242" w:type="dxa"/>
                  <w:shd w:val="clear" w:color="auto" w:fill="auto"/>
                  <w:vAlign w:val="center"/>
                </w:tcPr>
                <w:p w14:paraId="27F65FE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3.5（1.75</w:t>
                  </w:r>
                  <w:r>
                    <w:rPr>
                      <w:rFonts w:hint="eastAsia" w:ascii="Times New Roman" w:hAnsi="Times New Roman" w:cs="Times New Roman"/>
                      <w:color w:val="auto"/>
                      <w:spacing w:val="0"/>
                      <w:sz w:val="21"/>
                      <w:szCs w:val="21"/>
                      <w:lang w:val="en-US" w:eastAsia="zh-CN"/>
                    </w:rPr>
                    <w:t>严格50%执行</w:t>
                  </w:r>
                  <w:r>
                    <w:rPr>
                      <w:rFonts w:hint="eastAsia" w:ascii="Times New Roman" w:hAnsi="Times New Roman" w:cs="Times New Roman"/>
                      <w:color w:val="auto"/>
                      <w:spacing w:val="0"/>
                      <w:sz w:val="21"/>
                      <w:szCs w:val="21"/>
                      <w:lang w:eastAsia="zh-CN"/>
                    </w:rPr>
                    <w:t>）</w:t>
                  </w:r>
                </w:p>
              </w:tc>
              <w:tc>
                <w:tcPr>
                  <w:tcW w:w="2374" w:type="dxa"/>
                  <w:vMerge w:val="continue"/>
                  <w:shd w:val="clear" w:color="auto" w:fill="auto"/>
                  <w:vAlign w:val="center"/>
                </w:tcPr>
                <w:p w14:paraId="328CF8D2">
                  <w:pPr>
                    <w:pStyle w:val="15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he-IL"/>
                    </w:rPr>
                  </w:pPr>
                </w:p>
              </w:tc>
            </w:tr>
            <w:tr w14:paraId="6F167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71" w:type="dxa"/>
                  <w:gridSpan w:val="6"/>
                  <w:shd w:val="clear" w:color="auto" w:fill="auto"/>
                  <w:vAlign w:val="center"/>
                </w:tcPr>
                <w:p w14:paraId="764A021F">
                  <w:pPr>
                    <w:pStyle w:val="15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bidi="he-IL"/>
                    </w:rPr>
                  </w:pPr>
                  <w:r>
                    <w:rPr>
                      <w:rFonts w:hint="eastAsia" w:ascii="Times New Roman" w:hAnsi="Times New Roman" w:eastAsia="宋体" w:cs="Times New Roman"/>
                      <w:color w:val="auto"/>
                      <w:sz w:val="21"/>
                      <w:szCs w:val="21"/>
                      <w:highlight w:val="none"/>
                      <w:lang w:val="en-US" w:eastAsia="zh-CN" w:bidi="he-IL"/>
                    </w:rPr>
                    <w:t>注：</w:t>
                  </w:r>
                  <w:r>
                    <w:rPr>
                      <w:rFonts w:hint="eastAsia" w:ascii="Times New Roman" w:hAnsi="Times New Roman" w:eastAsia="宋体"/>
                      <w:spacing w:val="-2"/>
                      <w:sz w:val="21"/>
                    </w:rPr>
                    <w:t>根据项目周边建筑物高度情况，项目拟设置排气筒高度无法高出周围200米半径范围的建筑5米以上，本项目排气筒高度</w:t>
                  </w:r>
                  <w:r>
                    <w:rPr>
                      <w:rFonts w:hint="eastAsia" w:ascii="Times New Roman" w:hAnsi="Times New Roman" w:eastAsia="宋体"/>
                      <w:spacing w:val="-2"/>
                      <w:sz w:val="21"/>
                      <w:lang w:val="en-US" w:eastAsia="zh-CN"/>
                    </w:rPr>
                    <w:t>1</w:t>
                  </w:r>
                  <w:r>
                    <w:rPr>
                      <w:rFonts w:hint="eastAsia" w:ascii="Times New Roman" w:hAnsi="Times New Roman" w:eastAsia="宋体"/>
                      <w:spacing w:val="-2"/>
                      <w:sz w:val="21"/>
                    </w:rPr>
                    <w:t>5m</w:t>
                  </w:r>
                  <w:r>
                    <w:rPr>
                      <w:rFonts w:hint="eastAsia" w:ascii="Times New Roman" w:hAnsi="Times New Roman" w:eastAsia="宋体"/>
                      <w:spacing w:val="-2"/>
                      <w:sz w:val="21"/>
                      <w:lang w:val="en-US" w:eastAsia="zh-CN"/>
                    </w:rPr>
                    <w:t>和20m</w:t>
                  </w:r>
                  <w:r>
                    <w:rPr>
                      <w:rFonts w:hint="eastAsia" w:ascii="Times New Roman" w:hAnsi="Times New Roman" w:eastAsia="宋体"/>
                      <w:spacing w:val="-2"/>
                      <w:sz w:val="21"/>
                    </w:rPr>
                    <w:t>，根据《大气污染物综合排放标准》</w:t>
                  </w:r>
                  <w:r>
                    <w:rPr>
                      <w:rFonts w:hint="eastAsia" w:ascii="Times New Roman" w:hAnsi="Times New Roman" w:eastAsia="宋体"/>
                      <w:spacing w:val="-2"/>
                      <w:sz w:val="21"/>
                      <w:lang w:eastAsia="zh-CN"/>
                    </w:rPr>
                    <w:t>（</w:t>
                  </w:r>
                  <w:r>
                    <w:rPr>
                      <w:rFonts w:hint="eastAsia" w:ascii="Times New Roman" w:hAnsi="Times New Roman" w:eastAsia="宋体"/>
                      <w:spacing w:val="-2"/>
                      <w:sz w:val="21"/>
                    </w:rPr>
                    <w:t>GB16297-1996</w:t>
                  </w:r>
                  <w:r>
                    <w:rPr>
                      <w:rFonts w:hint="eastAsia" w:ascii="Times New Roman" w:hAnsi="Times New Roman" w:eastAsia="宋体"/>
                      <w:spacing w:val="-2"/>
                      <w:sz w:val="21"/>
                      <w:lang w:eastAsia="zh-CN"/>
                    </w:rPr>
                    <w:t>）</w:t>
                  </w:r>
                  <w:r>
                    <w:rPr>
                      <w:rFonts w:hint="eastAsia" w:ascii="Times New Roman" w:hAnsi="Times New Roman" w:eastAsia="宋体"/>
                      <w:spacing w:val="-2"/>
                      <w:sz w:val="21"/>
                    </w:rPr>
                    <w:t>要求，不能达到该要求的排气筒，应按其高度对应的表列排放速率标准值严格50%执行。因此，项目颗粒物排放速率按上述限值的50%执行。</w:t>
                  </w:r>
                </w:p>
              </w:tc>
            </w:tr>
          </w:tbl>
          <w:p w14:paraId="17B5A678">
            <w:pPr>
              <w:rPr>
                <w:rFonts w:hint="default"/>
                <w:lang w:val="en-US" w:eastAsia="zh-CN"/>
              </w:rPr>
            </w:pPr>
          </w:p>
          <w:p w14:paraId="6AA8B755">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lang w:val="en-US" w:eastAsia="zh-CN"/>
              </w:rPr>
            </w:pPr>
            <w:r>
              <w:rPr>
                <w:rFonts w:hint="eastAsia" w:cs="宋体"/>
                <w:color w:val="auto"/>
                <w:lang w:val="en-US" w:eastAsia="zh-CN"/>
              </w:rPr>
              <w:t>废气</w:t>
            </w:r>
            <w:r>
              <w:rPr>
                <w:rFonts w:hint="default" w:ascii="Times New Roman" w:hAnsi="Times New Roman" w:eastAsia="宋体" w:cs="宋体"/>
                <w:color w:val="auto"/>
                <w:lang w:val="en-US" w:eastAsia="zh-CN"/>
              </w:rPr>
              <w:t>无组织排放限制</w:t>
            </w:r>
          </w:p>
          <w:tbl>
            <w:tblPr>
              <w:tblStyle w:val="34"/>
              <w:tblW w:w="782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8"/>
              <w:gridCol w:w="891"/>
              <w:gridCol w:w="2492"/>
              <w:gridCol w:w="3564"/>
            </w:tblGrid>
            <w:tr w14:paraId="6D7D32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878" w:type="dxa"/>
                  <w:vMerge w:val="restart"/>
                  <w:tcBorders>
                    <w:left w:val="nil"/>
                    <w:bottom w:val="single" w:color="000000" w:sz="4" w:space="0"/>
                    <w:right w:val="single" w:color="000000" w:sz="4" w:space="0"/>
                  </w:tcBorders>
                  <w:vAlign w:val="center"/>
                </w:tcPr>
                <w:p w14:paraId="210C721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1011267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污染物</w:t>
                  </w:r>
                </w:p>
              </w:tc>
              <w:tc>
                <w:tcPr>
                  <w:tcW w:w="3383" w:type="dxa"/>
                  <w:gridSpan w:val="2"/>
                  <w:tcBorders>
                    <w:left w:val="single" w:color="000000" w:sz="4" w:space="0"/>
                    <w:bottom w:val="single" w:color="000000" w:sz="4" w:space="0"/>
                    <w:right w:val="single" w:color="000000" w:sz="4" w:space="0"/>
                  </w:tcBorders>
                  <w:vAlign w:val="center"/>
                </w:tcPr>
                <w:p w14:paraId="7C920FD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无组织排放监控浓度限值</w:t>
                  </w:r>
                </w:p>
              </w:tc>
              <w:tc>
                <w:tcPr>
                  <w:tcW w:w="3564" w:type="dxa"/>
                  <w:vMerge w:val="restart"/>
                  <w:tcBorders>
                    <w:left w:val="single" w:color="000000" w:sz="4" w:space="0"/>
                    <w:bottom w:val="single" w:color="000000" w:sz="4" w:space="0"/>
                    <w:right w:val="nil"/>
                  </w:tcBorders>
                  <w:vAlign w:val="center"/>
                </w:tcPr>
                <w:p w14:paraId="6F55C3A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3E91DC1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标准依据</w:t>
                  </w:r>
                </w:p>
              </w:tc>
            </w:tr>
            <w:tr w14:paraId="2242D1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878" w:type="dxa"/>
                  <w:vMerge w:val="continue"/>
                  <w:tcBorders>
                    <w:top w:val="nil"/>
                    <w:left w:val="nil"/>
                    <w:bottom w:val="single" w:color="000000" w:sz="4" w:space="0"/>
                    <w:right w:val="single" w:color="000000" w:sz="4" w:space="0"/>
                  </w:tcBorders>
                  <w:vAlign w:val="center"/>
                </w:tcPr>
                <w:p w14:paraId="2C5A094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891" w:type="dxa"/>
                  <w:tcBorders>
                    <w:top w:val="single" w:color="000000" w:sz="4" w:space="0"/>
                    <w:left w:val="single" w:color="000000" w:sz="4" w:space="0"/>
                    <w:bottom w:val="single" w:color="000000" w:sz="4" w:space="0"/>
                    <w:right w:val="single" w:color="000000" w:sz="4" w:space="0"/>
                  </w:tcBorders>
                  <w:vAlign w:val="center"/>
                </w:tcPr>
                <w:p w14:paraId="1664C63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监控点</w:t>
                  </w:r>
                </w:p>
              </w:tc>
              <w:tc>
                <w:tcPr>
                  <w:tcW w:w="2492" w:type="dxa"/>
                  <w:tcBorders>
                    <w:top w:val="single" w:color="000000" w:sz="4" w:space="0"/>
                    <w:left w:val="single" w:color="000000" w:sz="4" w:space="0"/>
                    <w:bottom w:val="single" w:color="000000" w:sz="4" w:space="0"/>
                    <w:right w:val="single" w:color="000000" w:sz="4" w:space="0"/>
                  </w:tcBorders>
                  <w:vAlign w:val="center"/>
                </w:tcPr>
                <w:p w14:paraId="1312094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浓度</w:t>
                  </w:r>
                </w:p>
              </w:tc>
              <w:tc>
                <w:tcPr>
                  <w:tcW w:w="3564" w:type="dxa"/>
                  <w:vMerge w:val="continue"/>
                  <w:tcBorders>
                    <w:top w:val="nil"/>
                    <w:left w:val="single" w:color="000000" w:sz="4" w:space="0"/>
                    <w:bottom w:val="single" w:color="000000" w:sz="4" w:space="0"/>
                    <w:right w:val="nil"/>
                  </w:tcBorders>
                  <w:vAlign w:val="center"/>
                </w:tcPr>
                <w:p w14:paraId="2CAC2F5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r>
            <w:tr w14:paraId="2601C5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878" w:type="dxa"/>
                  <w:vMerge w:val="restart"/>
                  <w:tcBorders>
                    <w:top w:val="single" w:color="000000" w:sz="4" w:space="0"/>
                    <w:left w:val="nil"/>
                    <w:bottom w:val="single" w:color="000000" w:sz="4" w:space="0"/>
                    <w:right w:val="single" w:color="000000" w:sz="4" w:space="0"/>
                  </w:tcBorders>
                  <w:vAlign w:val="center"/>
                </w:tcPr>
                <w:p w14:paraId="580DE16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6488DB6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1D5B60D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非甲烷总烃</w:t>
                  </w:r>
                </w:p>
              </w:tc>
              <w:tc>
                <w:tcPr>
                  <w:tcW w:w="891" w:type="dxa"/>
                  <w:tcBorders>
                    <w:top w:val="single" w:color="000000" w:sz="4" w:space="0"/>
                    <w:left w:val="single" w:color="000000" w:sz="4" w:space="0"/>
                    <w:bottom w:val="single" w:color="000000" w:sz="4" w:space="0"/>
                    <w:right w:val="single" w:color="000000" w:sz="4" w:space="0"/>
                  </w:tcBorders>
                  <w:vAlign w:val="center"/>
                </w:tcPr>
                <w:p w14:paraId="536CE15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企业边界</w:t>
                  </w:r>
                </w:p>
              </w:tc>
              <w:tc>
                <w:tcPr>
                  <w:tcW w:w="2492" w:type="dxa"/>
                  <w:tcBorders>
                    <w:top w:val="single" w:color="000000" w:sz="4" w:space="0"/>
                    <w:left w:val="single" w:color="000000" w:sz="4" w:space="0"/>
                    <w:bottom w:val="single" w:color="000000" w:sz="4" w:space="0"/>
                    <w:right w:val="single" w:color="000000" w:sz="4" w:space="0"/>
                  </w:tcBorders>
                  <w:vAlign w:val="center"/>
                </w:tcPr>
                <w:p w14:paraId="6A69581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≤2.0mg/m</w:t>
                  </w:r>
                  <w:r>
                    <w:rPr>
                      <w:rFonts w:ascii="Times New Roman" w:hAnsi="Times New Roman" w:eastAsia="宋体"/>
                      <w:color w:val="auto"/>
                      <w:spacing w:val="-5"/>
                      <w:sz w:val="21"/>
                      <w:vertAlign w:val="superscript"/>
                    </w:rPr>
                    <w:t>3</w:t>
                  </w:r>
                </w:p>
              </w:tc>
              <w:tc>
                <w:tcPr>
                  <w:tcW w:w="3564" w:type="dxa"/>
                  <w:tcBorders>
                    <w:top w:val="nil"/>
                    <w:left w:val="single" w:color="000000" w:sz="4" w:space="0"/>
                    <w:bottom w:val="single" w:color="000000" w:sz="4" w:space="0"/>
                    <w:right w:val="nil"/>
                  </w:tcBorders>
                  <w:vAlign w:val="center"/>
                </w:tcPr>
                <w:p w14:paraId="4970B86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《工业涂装工序挥发性有机物排放标准》</w:t>
                  </w:r>
                </w:p>
                <w:p w14:paraId="2452A55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DB35/1783-2018</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表4</w:t>
                  </w:r>
                </w:p>
              </w:tc>
            </w:tr>
            <w:tr w14:paraId="54B0AB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vMerge w:val="continue"/>
                  <w:tcBorders>
                    <w:top w:val="nil"/>
                    <w:left w:val="nil"/>
                    <w:bottom w:val="single" w:color="000000" w:sz="4" w:space="0"/>
                    <w:right w:val="single" w:color="000000" w:sz="4" w:space="0"/>
                  </w:tcBorders>
                  <w:vAlign w:val="center"/>
                </w:tcPr>
                <w:p w14:paraId="2DF9EBC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891" w:type="dxa"/>
                  <w:vMerge w:val="restart"/>
                  <w:tcBorders>
                    <w:top w:val="single" w:color="000000" w:sz="4" w:space="0"/>
                    <w:left w:val="single" w:color="000000" w:sz="4" w:space="0"/>
                    <w:bottom w:val="single" w:color="000000" w:sz="4" w:space="0"/>
                    <w:right w:val="single" w:color="000000" w:sz="4" w:space="0"/>
                  </w:tcBorders>
                  <w:vAlign w:val="center"/>
                </w:tcPr>
                <w:p w14:paraId="192B531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1EA0F24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7C8E247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厂区内</w:t>
                  </w:r>
                </w:p>
              </w:tc>
              <w:tc>
                <w:tcPr>
                  <w:tcW w:w="2492" w:type="dxa"/>
                  <w:tcBorders>
                    <w:top w:val="single" w:color="000000" w:sz="4" w:space="0"/>
                    <w:left w:val="single" w:color="000000" w:sz="4" w:space="0"/>
                    <w:bottom w:val="single" w:color="000000" w:sz="4" w:space="0"/>
                    <w:right w:val="single" w:color="000000" w:sz="4" w:space="0"/>
                  </w:tcBorders>
                  <w:vAlign w:val="center"/>
                </w:tcPr>
                <w:p w14:paraId="721BBC6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厂内监控点1h平均浓度值</w:t>
                  </w:r>
                </w:p>
                <w:p w14:paraId="6FDBB6D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≤8.0mg/m</w:t>
                  </w:r>
                  <w:r>
                    <w:rPr>
                      <w:rFonts w:ascii="Times New Roman" w:hAnsi="Times New Roman" w:eastAsia="宋体"/>
                      <w:color w:val="auto"/>
                      <w:spacing w:val="-5"/>
                      <w:sz w:val="21"/>
                      <w:vertAlign w:val="superscript"/>
                    </w:rPr>
                    <w:t>3</w:t>
                  </w:r>
                </w:p>
              </w:tc>
              <w:tc>
                <w:tcPr>
                  <w:tcW w:w="3564" w:type="dxa"/>
                  <w:tcBorders>
                    <w:top w:val="single" w:color="000000" w:sz="4" w:space="0"/>
                    <w:left w:val="single" w:color="000000" w:sz="4" w:space="0"/>
                    <w:bottom w:val="single" w:color="000000" w:sz="4" w:space="0"/>
                    <w:right w:val="nil"/>
                  </w:tcBorders>
                  <w:vAlign w:val="center"/>
                </w:tcPr>
                <w:p w14:paraId="6308C41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《工业涂装工序挥发性有机物排放标准》</w:t>
                  </w:r>
                </w:p>
                <w:p w14:paraId="48BCF57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DB35/1783-2018</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表3</w:t>
                  </w:r>
                </w:p>
              </w:tc>
            </w:tr>
            <w:tr w14:paraId="79CE15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vMerge w:val="continue"/>
                  <w:tcBorders>
                    <w:top w:val="nil"/>
                    <w:left w:val="nil"/>
                    <w:bottom w:val="single" w:color="000000" w:sz="6" w:space="0"/>
                    <w:right w:val="single" w:color="000000" w:sz="4" w:space="0"/>
                  </w:tcBorders>
                  <w:vAlign w:val="center"/>
                </w:tcPr>
                <w:p w14:paraId="29EF821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891" w:type="dxa"/>
                  <w:vMerge w:val="continue"/>
                  <w:tcBorders>
                    <w:top w:val="nil"/>
                    <w:left w:val="single" w:color="000000" w:sz="4" w:space="0"/>
                    <w:bottom w:val="single" w:color="000000" w:sz="6" w:space="0"/>
                    <w:right w:val="single" w:color="000000" w:sz="4" w:space="0"/>
                  </w:tcBorders>
                  <w:vAlign w:val="center"/>
                </w:tcPr>
                <w:p w14:paraId="2A6BC42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2492" w:type="dxa"/>
                  <w:tcBorders>
                    <w:top w:val="single" w:color="000000" w:sz="4" w:space="0"/>
                    <w:left w:val="single" w:color="000000" w:sz="4" w:space="0"/>
                    <w:bottom w:val="single" w:color="000000" w:sz="6" w:space="0"/>
                    <w:right w:val="single" w:color="000000" w:sz="4" w:space="0"/>
                  </w:tcBorders>
                  <w:vAlign w:val="center"/>
                </w:tcPr>
                <w:p w14:paraId="3EBA4BA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厂内监控点任意一次浓度值≤30mg/m</w:t>
                  </w:r>
                  <w:r>
                    <w:rPr>
                      <w:rFonts w:ascii="Times New Roman" w:hAnsi="Times New Roman" w:eastAsia="宋体"/>
                      <w:color w:val="auto"/>
                      <w:spacing w:val="-5"/>
                      <w:sz w:val="21"/>
                      <w:vertAlign w:val="superscript"/>
                    </w:rPr>
                    <w:t>3</w:t>
                  </w:r>
                </w:p>
              </w:tc>
              <w:tc>
                <w:tcPr>
                  <w:tcW w:w="3564" w:type="dxa"/>
                  <w:tcBorders>
                    <w:top w:val="single" w:color="000000" w:sz="4" w:space="0"/>
                    <w:left w:val="single" w:color="000000" w:sz="4" w:space="0"/>
                    <w:bottom w:val="single" w:color="000000" w:sz="4" w:space="0"/>
                    <w:right w:val="nil"/>
                  </w:tcBorders>
                  <w:vAlign w:val="center"/>
                </w:tcPr>
                <w:p w14:paraId="6F1F1CB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《挥发性有机物无组织排放控制标准》</w:t>
                  </w:r>
                </w:p>
                <w:p w14:paraId="46E92E4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GB37822-2019</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附录A表A.1</w:t>
                  </w:r>
                </w:p>
              </w:tc>
            </w:tr>
            <w:tr w14:paraId="24B907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tcBorders>
                    <w:top w:val="single" w:color="000000" w:sz="6" w:space="0"/>
                    <w:left w:val="nil"/>
                    <w:bottom w:val="single" w:color="000000" w:sz="6" w:space="0"/>
                    <w:right w:val="single" w:color="000000" w:sz="4" w:space="0"/>
                  </w:tcBorders>
                  <w:vAlign w:val="center"/>
                </w:tcPr>
                <w:p w14:paraId="7836733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颗粒物</w:t>
                  </w:r>
                </w:p>
              </w:tc>
              <w:tc>
                <w:tcPr>
                  <w:tcW w:w="891" w:type="dxa"/>
                  <w:tcBorders>
                    <w:top w:val="single" w:color="000000" w:sz="6" w:space="0"/>
                    <w:left w:val="single" w:color="000000" w:sz="4" w:space="0"/>
                    <w:bottom w:val="single" w:color="000000" w:sz="6" w:space="0"/>
                    <w:right w:val="single" w:color="000000" w:sz="4" w:space="0"/>
                  </w:tcBorders>
                  <w:vAlign w:val="center"/>
                </w:tcPr>
                <w:p w14:paraId="66FBDA3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color w:val="auto"/>
                      <w:spacing w:val="0"/>
                      <w:sz w:val="21"/>
                      <w:szCs w:val="21"/>
                    </w:rPr>
                    <w:t>周界外浓度最高点</w:t>
                  </w:r>
                </w:p>
              </w:tc>
              <w:tc>
                <w:tcPr>
                  <w:tcW w:w="2492" w:type="dxa"/>
                  <w:tcBorders>
                    <w:top w:val="single" w:color="000000" w:sz="6" w:space="0"/>
                    <w:left w:val="single" w:color="000000" w:sz="4" w:space="0"/>
                    <w:bottom w:val="single" w:color="000000" w:sz="6" w:space="0"/>
                    <w:right w:val="single" w:color="000000" w:sz="4" w:space="0"/>
                  </w:tcBorders>
                  <w:vAlign w:val="center"/>
                </w:tcPr>
                <w:p w14:paraId="49FFBFC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1</w:t>
                  </w:r>
                  <w:r>
                    <w:rPr>
                      <w:rFonts w:ascii="Times New Roman" w:hAnsi="Times New Roman" w:eastAsia="宋体"/>
                      <w:color w:val="auto"/>
                      <w:spacing w:val="-5"/>
                      <w:sz w:val="21"/>
                    </w:rPr>
                    <w:t>.0mg/m</w:t>
                  </w:r>
                  <w:r>
                    <w:rPr>
                      <w:rFonts w:ascii="Times New Roman" w:hAnsi="Times New Roman" w:eastAsia="宋体"/>
                      <w:color w:val="auto"/>
                      <w:spacing w:val="-5"/>
                      <w:sz w:val="21"/>
                      <w:vertAlign w:val="superscript"/>
                    </w:rPr>
                    <w:t>3</w:t>
                  </w:r>
                </w:p>
              </w:tc>
              <w:tc>
                <w:tcPr>
                  <w:tcW w:w="3564" w:type="dxa"/>
                  <w:tcBorders>
                    <w:top w:val="single" w:color="000000" w:sz="4" w:space="0"/>
                    <w:left w:val="single" w:color="000000" w:sz="4" w:space="0"/>
                    <w:bottom w:val="single" w:color="000000" w:sz="4" w:space="0"/>
                    <w:right w:val="nil"/>
                  </w:tcBorders>
                  <w:vAlign w:val="center"/>
                </w:tcPr>
                <w:p w14:paraId="707B934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color w:val="auto"/>
                      <w:spacing w:val="0"/>
                      <w:sz w:val="21"/>
                      <w:szCs w:val="21"/>
                    </w:rPr>
                    <w:t>《大气污染物综合排放标准》</w:t>
                  </w:r>
                  <w:r>
                    <w:rPr>
                      <w:rFonts w:hint="eastAsia" w:ascii="Times New Roman" w:hAnsi="Times New Roman"/>
                      <w:color w:val="auto"/>
                      <w:spacing w:val="0"/>
                      <w:sz w:val="21"/>
                      <w:szCs w:val="21"/>
                      <w:lang w:eastAsia="zh-CN"/>
                    </w:rPr>
                    <w:t>（</w:t>
                  </w:r>
                  <w:r>
                    <w:rPr>
                      <w:rFonts w:hint="default" w:ascii="Times New Roman" w:hAnsi="Times New Roman" w:eastAsia="宋体" w:cs="Times New Roman"/>
                      <w:color w:val="auto"/>
                      <w:sz w:val="21"/>
                      <w:szCs w:val="21"/>
                      <w:highlight w:val="none"/>
                      <w:lang w:val="en-US" w:eastAsia="zh-CN" w:bidi="he-IL"/>
                    </w:rPr>
                    <w:t>GB16297－1996</w:t>
                  </w:r>
                  <w:r>
                    <w:rPr>
                      <w:rFonts w:hint="eastAsia" w:ascii="Times New Roman" w:hAnsi="Times New Roman" w:cs="Times New Roman"/>
                      <w:color w:val="auto"/>
                      <w:sz w:val="21"/>
                      <w:szCs w:val="21"/>
                      <w:highlight w:val="none"/>
                      <w:lang w:val="en-US" w:eastAsia="zh-CN" w:bidi="he-IL"/>
                    </w:rPr>
                    <w:t>）</w:t>
                  </w:r>
                  <w:r>
                    <w:rPr>
                      <w:rFonts w:ascii="Times New Roman" w:hAnsi="Times New Roman"/>
                      <w:color w:val="auto"/>
                      <w:spacing w:val="0"/>
                      <w:sz w:val="21"/>
                      <w:szCs w:val="21"/>
                    </w:rPr>
                    <w:t>表</w:t>
                  </w:r>
                  <w:r>
                    <w:rPr>
                      <w:rFonts w:ascii="Times New Roman" w:hAnsi="Times New Roman" w:eastAsia="Times New Roman"/>
                      <w:color w:val="auto"/>
                      <w:sz w:val="21"/>
                      <w:szCs w:val="21"/>
                    </w:rPr>
                    <w:t>2</w:t>
                  </w:r>
                </w:p>
              </w:tc>
            </w:tr>
            <w:tr w14:paraId="0D7AC5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tcBorders>
                    <w:top w:val="single" w:color="000000" w:sz="6" w:space="0"/>
                    <w:left w:val="nil"/>
                    <w:bottom w:val="single" w:color="000000" w:sz="6" w:space="0"/>
                    <w:right w:val="single" w:color="000000" w:sz="4" w:space="0"/>
                  </w:tcBorders>
                  <w:vAlign w:val="center"/>
                </w:tcPr>
                <w:p w14:paraId="19C84CE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氨</w:t>
                  </w:r>
                </w:p>
              </w:tc>
              <w:tc>
                <w:tcPr>
                  <w:tcW w:w="891" w:type="dxa"/>
                  <w:vMerge w:val="restart"/>
                  <w:tcBorders>
                    <w:top w:val="single" w:color="000000" w:sz="6" w:space="0"/>
                    <w:left w:val="single" w:color="000000" w:sz="4" w:space="0"/>
                    <w:right w:val="single" w:color="000000" w:sz="4" w:space="0"/>
                  </w:tcBorders>
                  <w:vAlign w:val="center"/>
                </w:tcPr>
                <w:p w14:paraId="339FD8B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0"/>
                      <w:sz w:val="21"/>
                      <w:szCs w:val="21"/>
                      <w:lang w:val="en-US" w:eastAsia="zh-CN"/>
                    </w:rPr>
                  </w:pPr>
                  <w:r>
                    <w:rPr>
                      <w:rFonts w:hint="eastAsia" w:ascii="Times New Roman" w:hAnsi="Times New Roman"/>
                      <w:color w:val="auto"/>
                      <w:spacing w:val="0"/>
                      <w:sz w:val="21"/>
                      <w:szCs w:val="21"/>
                      <w:lang w:val="en-US" w:eastAsia="zh-CN"/>
                    </w:rPr>
                    <w:t>厂界</w:t>
                  </w:r>
                </w:p>
              </w:tc>
              <w:tc>
                <w:tcPr>
                  <w:tcW w:w="2492" w:type="dxa"/>
                  <w:tcBorders>
                    <w:top w:val="single" w:color="000000" w:sz="6" w:space="0"/>
                    <w:left w:val="single" w:color="000000" w:sz="4" w:space="0"/>
                    <w:bottom w:val="single" w:color="000000" w:sz="6" w:space="0"/>
                    <w:right w:val="single" w:color="000000" w:sz="4" w:space="0"/>
                  </w:tcBorders>
                  <w:vAlign w:val="center"/>
                </w:tcPr>
                <w:p w14:paraId="4299CA2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1.5</w:t>
                  </w:r>
                  <w:r>
                    <w:rPr>
                      <w:rFonts w:ascii="Times New Roman" w:hAnsi="Times New Roman" w:eastAsia="宋体"/>
                      <w:color w:val="auto"/>
                      <w:spacing w:val="-5"/>
                      <w:sz w:val="21"/>
                    </w:rPr>
                    <w:t>mg/m</w:t>
                  </w:r>
                  <w:r>
                    <w:rPr>
                      <w:rFonts w:ascii="Times New Roman" w:hAnsi="Times New Roman" w:eastAsia="宋体"/>
                      <w:color w:val="auto"/>
                      <w:spacing w:val="-5"/>
                      <w:sz w:val="21"/>
                      <w:vertAlign w:val="superscript"/>
                    </w:rPr>
                    <w:t>3</w:t>
                  </w:r>
                </w:p>
              </w:tc>
              <w:tc>
                <w:tcPr>
                  <w:tcW w:w="3564" w:type="dxa"/>
                  <w:vMerge w:val="restart"/>
                  <w:tcBorders>
                    <w:top w:val="single" w:color="000000" w:sz="4" w:space="0"/>
                    <w:left w:val="single" w:color="000000" w:sz="4" w:space="0"/>
                    <w:right w:val="nil"/>
                  </w:tcBorders>
                  <w:vAlign w:val="center"/>
                </w:tcPr>
                <w:p w14:paraId="0CF1422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r>
                    <w:rPr>
                      <w:rFonts w:ascii="Times New Roman" w:hAnsi="Times New Roman"/>
                      <w:color w:val="auto"/>
                      <w:spacing w:val="0"/>
                      <w:sz w:val="21"/>
                      <w:szCs w:val="21"/>
                    </w:rPr>
                    <w:t>《</w:t>
                  </w:r>
                  <w:r>
                    <w:rPr>
                      <w:rFonts w:hint="default" w:ascii="Times New Roman" w:hAnsi="Times New Roman"/>
                      <w:color w:val="auto"/>
                      <w:spacing w:val="0"/>
                      <w:sz w:val="21"/>
                      <w:szCs w:val="21"/>
                      <w:lang w:val="en-US" w:eastAsia="zh-CN"/>
                    </w:rPr>
                    <w:t>恶臭污染物排放标准》（GB14554-93）表1标准</w:t>
                  </w:r>
                </w:p>
              </w:tc>
            </w:tr>
            <w:tr w14:paraId="74D7C9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tcBorders>
                    <w:top w:val="single" w:color="000000" w:sz="6" w:space="0"/>
                    <w:left w:val="nil"/>
                    <w:bottom w:val="single" w:color="000000" w:sz="6" w:space="0"/>
                    <w:right w:val="single" w:color="000000" w:sz="4" w:space="0"/>
                  </w:tcBorders>
                  <w:vAlign w:val="center"/>
                </w:tcPr>
                <w:p w14:paraId="423114B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硫化氢</w:t>
                  </w:r>
                </w:p>
              </w:tc>
              <w:tc>
                <w:tcPr>
                  <w:tcW w:w="891" w:type="dxa"/>
                  <w:vMerge w:val="continue"/>
                  <w:tcBorders>
                    <w:left w:val="single" w:color="000000" w:sz="4" w:space="0"/>
                    <w:right w:val="single" w:color="000000" w:sz="4" w:space="0"/>
                  </w:tcBorders>
                  <w:vAlign w:val="center"/>
                </w:tcPr>
                <w:p w14:paraId="5731E94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c>
                <w:tcPr>
                  <w:tcW w:w="2492" w:type="dxa"/>
                  <w:tcBorders>
                    <w:top w:val="single" w:color="000000" w:sz="6" w:space="0"/>
                    <w:left w:val="single" w:color="000000" w:sz="4" w:space="0"/>
                    <w:bottom w:val="single" w:color="000000" w:sz="6" w:space="0"/>
                    <w:right w:val="single" w:color="000000" w:sz="4" w:space="0"/>
                  </w:tcBorders>
                  <w:vAlign w:val="center"/>
                </w:tcPr>
                <w:p w14:paraId="7EE15D6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0.6</w:t>
                  </w:r>
                  <w:r>
                    <w:rPr>
                      <w:rFonts w:ascii="Times New Roman" w:hAnsi="Times New Roman" w:eastAsia="宋体"/>
                      <w:color w:val="auto"/>
                      <w:spacing w:val="-5"/>
                      <w:sz w:val="21"/>
                    </w:rPr>
                    <w:t>mg/m</w:t>
                  </w:r>
                  <w:r>
                    <w:rPr>
                      <w:rFonts w:ascii="Times New Roman" w:hAnsi="Times New Roman" w:eastAsia="宋体"/>
                      <w:color w:val="auto"/>
                      <w:spacing w:val="-5"/>
                      <w:sz w:val="21"/>
                      <w:vertAlign w:val="superscript"/>
                    </w:rPr>
                    <w:t>3</w:t>
                  </w:r>
                </w:p>
              </w:tc>
              <w:tc>
                <w:tcPr>
                  <w:tcW w:w="3564" w:type="dxa"/>
                  <w:vMerge w:val="continue"/>
                  <w:tcBorders>
                    <w:left w:val="single" w:color="000000" w:sz="4" w:space="0"/>
                    <w:right w:val="nil"/>
                  </w:tcBorders>
                  <w:vAlign w:val="center"/>
                </w:tcPr>
                <w:p w14:paraId="7F572A0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r>
            <w:tr w14:paraId="1B8C75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878" w:type="dxa"/>
                  <w:tcBorders>
                    <w:top w:val="single" w:color="000000" w:sz="6" w:space="0"/>
                    <w:left w:val="nil"/>
                    <w:bottom w:val="single" w:color="000000" w:sz="12" w:space="0"/>
                    <w:right w:val="single" w:color="000000" w:sz="4" w:space="0"/>
                  </w:tcBorders>
                  <w:vAlign w:val="center"/>
                </w:tcPr>
                <w:p w14:paraId="6785EF2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臭气浓度</w:t>
                  </w:r>
                </w:p>
              </w:tc>
              <w:tc>
                <w:tcPr>
                  <w:tcW w:w="891" w:type="dxa"/>
                  <w:vMerge w:val="continue"/>
                  <w:tcBorders>
                    <w:left w:val="single" w:color="000000" w:sz="4" w:space="0"/>
                    <w:bottom w:val="single" w:color="000000" w:sz="12" w:space="0"/>
                    <w:right w:val="single" w:color="000000" w:sz="4" w:space="0"/>
                  </w:tcBorders>
                  <w:vAlign w:val="center"/>
                </w:tcPr>
                <w:p w14:paraId="206E93E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c>
                <w:tcPr>
                  <w:tcW w:w="2492" w:type="dxa"/>
                  <w:tcBorders>
                    <w:top w:val="single" w:color="000000" w:sz="6" w:space="0"/>
                    <w:left w:val="single" w:color="000000" w:sz="4" w:space="0"/>
                    <w:bottom w:val="single" w:color="000000" w:sz="12" w:space="0"/>
                    <w:right w:val="single" w:color="000000" w:sz="4" w:space="0"/>
                  </w:tcBorders>
                  <w:vAlign w:val="center"/>
                </w:tcPr>
                <w:p w14:paraId="0D252AD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20（无量纲）</w:t>
                  </w:r>
                </w:p>
              </w:tc>
              <w:tc>
                <w:tcPr>
                  <w:tcW w:w="3564" w:type="dxa"/>
                  <w:vMerge w:val="continue"/>
                  <w:tcBorders>
                    <w:left w:val="single" w:color="000000" w:sz="4" w:space="0"/>
                    <w:bottom w:val="single" w:color="000000" w:sz="12" w:space="0"/>
                    <w:right w:val="nil"/>
                  </w:tcBorders>
                  <w:vAlign w:val="center"/>
                </w:tcPr>
                <w:p w14:paraId="6E5A2A1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r>
          </w:tbl>
          <w:p w14:paraId="57F773FF">
            <w:pPr>
              <w:rPr>
                <w:rFonts w:hint="default"/>
                <w:color w:val="auto"/>
                <w:lang w:val="en-US" w:eastAsia="zh-CN"/>
              </w:rPr>
            </w:pPr>
          </w:p>
          <w:bookmarkEnd w:id="31"/>
          <w:p w14:paraId="2BBB1AE7">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废水排放标准</w:t>
            </w:r>
          </w:p>
          <w:p w14:paraId="4289304E">
            <w:pPr>
              <w:pStyle w:val="46"/>
              <w:ind w:firstLine="480"/>
              <w:rPr>
                <w:rFonts w:hint="eastAsia" w:ascii="Times New Roman" w:hAnsi="Times New Roman" w:eastAsia="宋体" w:cs="宋体"/>
                <w:color w:val="auto"/>
                <w:highlight w:val="none"/>
              </w:rPr>
            </w:pPr>
            <w:r>
              <w:rPr>
                <w:rFonts w:hint="eastAsia" w:cs="宋体"/>
                <w:color w:val="auto"/>
                <w:highlight w:val="none"/>
                <w:lang w:eastAsia="zh-CN"/>
              </w:rPr>
              <w:t>（1）</w:t>
            </w:r>
            <w:r>
              <w:rPr>
                <w:rFonts w:hint="eastAsia" w:ascii="Times New Roman" w:hAnsi="Times New Roman" w:eastAsia="宋体" w:cs="宋体"/>
                <w:color w:val="auto"/>
                <w:highlight w:val="none"/>
              </w:rPr>
              <w:t>项目水污染物排放标准</w:t>
            </w:r>
          </w:p>
          <w:p w14:paraId="63852866">
            <w:pPr>
              <w:pStyle w:val="46"/>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项目生产废水经自建污水处理设施处理后排入市政污水管网送往</w:t>
            </w:r>
            <w:r>
              <w:rPr>
                <w:rFonts w:hint="eastAsia" w:ascii="Times New Roman" w:hAnsi="Times New Roman" w:eastAsia="宋体" w:cs="宋体"/>
                <w:color w:val="auto"/>
                <w:highlight w:val="none"/>
                <w:lang w:eastAsia="zh-CN"/>
              </w:rPr>
              <w:t>福清市第二污水处理厂</w:t>
            </w:r>
            <w:r>
              <w:rPr>
                <w:rFonts w:hint="eastAsia" w:ascii="Times New Roman" w:hAnsi="Times New Roman" w:eastAsia="宋体" w:cs="宋体"/>
                <w:color w:val="auto"/>
                <w:highlight w:val="none"/>
              </w:rPr>
              <w:t>集中处理，生活污水依托出租方化粪池处理后排入市政污水管网送往</w:t>
            </w:r>
            <w:r>
              <w:rPr>
                <w:rFonts w:hint="eastAsia" w:ascii="Times New Roman" w:hAnsi="Times New Roman" w:eastAsia="宋体" w:cs="宋体"/>
                <w:color w:val="auto"/>
                <w:highlight w:val="none"/>
                <w:lang w:eastAsia="zh-CN"/>
              </w:rPr>
              <w:t>福清市第二污水处理厂</w:t>
            </w:r>
            <w:r>
              <w:rPr>
                <w:rFonts w:hint="eastAsia" w:ascii="Times New Roman" w:hAnsi="Times New Roman" w:eastAsia="宋体" w:cs="宋体"/>
                <w:color w:val="auto"/>
                <w:highlight w:val="none"/>
              </w:rPr>
              <w:t>集中处理；</w:t>
            </w:r>
            <w:r>
              <w:rPr>
                <w:rFonts w:hint="eastAsia" w:cs="宋体"/>
                <w:color w:val="auto"/>
                <w:highlight w:val="none"/>
                <w:lang w:val="en-US" w:eastAsia="zh-CN"/>
              </w:rPr>
              <w:t>项目</w:t>
            </w:r>
            <w:r>
              <w:rPr>
                <w:rFonts w:hint="eastAsia" w:ascii="Times New Roman" w:hAnsi="Times New Roman" w:eastAsia="宋体" w:cs="宋体"/>
                <w:color w:val="auto"/>
                <w:highlight w:val="none"/>
              </w:rPr>
              <w:t>外排污水执行《污水综合排放标准》</w:t>
            </w:r>
            <w:r>
              <w:rPr>
                <w:rFonts w:hint="eastAsia" w:cs="宋体"/>
                <w:color w:val="auto"/>
                <w:highlight w:val="none"/>
                <w:lang w:eastAsia="zh-CN"/>
              </w:rPr>
              <w:t>（</w:t>
            </w:r>
            <w:r>
              <w:rPr>
                <w:rFonts w:hint="eastAsia" w:ascii="Times New Roman" w:hAnsi="Times New Roman" w:eastAsia="宋体" w:cs="宋体"/>
                <w:color w:val="auto"/>
                <w:highlight w:val="none"/>
              </w:rPr>
              <w:t>GB8978-1996</w:t>
            </w:r>
            <w:r>
              <w:rPr>
                <w:rFonts w:hint="eastAsia" w:cs="宋体"/>
                <w:color w:val="auto"/>
                <w:highlight w:val="none"/>
                <w:lang w:eastAsia="zh-CN"/>
              </w:rPr>
              <w:t>）</w:t>
            </w:r>
            <w:r>
              <w:rPr>
                <w:rFonts w:hint="eastAsia" w:ascii="Times New Roman" w:hAnsi="Times New Roman" w:eastAsia="宋体" w:cs="宋体"/>
                <w:color w:val="auto"/>
                <w:highlight w:val="none"/>
              </w:rPr>
              <w:t>表4中的三级标准，氨氮参照执行《污水排入城镇下水道水质标准》</w:t>
            </w:r>
            <w:r>
              <w:rPr>
                <w:rFonts w:hint="eastAsia" w:cs="宋体"/>
                <w:color w:val="auto"/>
                <w:highlight w:val="none"/>
                <w:lang w:eastAsia="zh-CN"/>
              </w:rPr>
              <w:t>（</w:t>
            </w:r>
            <w:r>
              <w:rPr>
                <w:rFonts w:hint="eastAsia" w:ascii="Times New Roman" w:hAnsi="Times New Roman" w:eastAsia="宋体" w:cs="宋体"/>
                <w:color w:val="auto"/>
                <w:highlight w:val="none"/>
              </w:rPr>
              <w:t>GB/T 31962-2015</w:t>
            </w:r>
            <w:r>
              <w:rPr>
                <w:rFonts w:hint="eastAsia" w:cs="宋体"/>
                <w:color w:val="auto"/>
                <w:highlight w:val="none"/>
                <w:lang w:eastAsia="zh-CN"/>
              </w:rPr>
              <w:t>）</w:t>
            </w:r>
            <w:r>
              <w:rPr>
                <w:rFonts w:hint="eastAsia" w:ascii="Times New Roman" w:hAnsi="Times New Roman" w:eastAsia="宋体" w:cs="宋体"/>
                <w:color w:val="auto"/>
                <w:highlight w:val="none"/>
              </w:rPr>
              <w:t>表1中B级标准，详见表3.</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60183E33">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项目污水排放标准限值一览表</w:t>
            </w:r>
          </w:p>
          <w:tbl>
            <w:tblPr>
              <w:tblStyle w:val="34"/>
              <w:tblW w:w="7906" w:type="dxa"/>
              <w:tblInd w:w="6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85"/>
              <w:gridCol w:w="1943"/>
              <w:gridCol w:w="4178"/>
            </w:tblGrid>
            <w:tr w14:paraId="625109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bottom w:val="single" w:color="000000" w:sz="12" w:space="0"/>
                  </w:tcBorders>
                  <w:vAlign w:val="center"/>
                </w:tcPr>
                <w:p w14:paraId="39B0C9E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4"/>
                      <w:sz w:val="21"/>
                    </w:rPr>
                    <w:t>污染物名称</w:t>
                  </w:r>
                </w:p>
              </w:tc>
              <w:tc>
                <w:tcPr>
                  <w:tcW w:w="1943" w:type="dxa"/>
                  <w:tcBorders>
                    <w:bottom w:val="single" w:color="000000" w:sz="12" w:space="0"/>
                  </w:tcBorders>
                  <w:vAlign w:val="center"/>
                </w:tcPr>
                <w:p w14:paraId="11E58D1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4"/>
                      <w:sz w:val="21"/>
                    </w:rPr>
                    <w:t>三级标准值</w:t>
                  </w:r>
                </w:p>
              </w:tc>
              <w:tc>
                <w:tcPr>
                  <w:tcW w:w="4178" w:type="dxa"/>
                  <w:tcBorders>
                    <w:bottom w:val="single" w:color="000000" w:sz="12" w:space="0"/>
                  </w:tcBorders>
                  <w:vAlign w:val="center"/>
                </w:tcPr>
                <w:p w14:paraId="125109A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7"/>
                      <w:sz w:val="21"/>
                    </w:rPr>
                    <w:t>标准来源</w:t>
                  </w:r>
                </w:p>
              </w:tc>
            </w:tr>
            <w:tr w14:paraId="08F910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op w:val="single" w:color="000000" w:sz="12" w:space="0"/>
                    <w:tl2br w:val="nil"/>
                    <w:tr2bl w:val="nil"/>
                  </w:tcBorders>
                  <w:vAlign w:val="center"/>
                </w:tcPr>
                <w:p w14:paraId="6CE2BCD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pH</w:t>
                  </w:r>
                </w:p>
              </w:tc>
              <w:tc>
                <w:tcPr>
                  <w:tcW w:w="1943" w:type="dxa"/>
                  <w:tcBorders>
                    <w:top w:val="single" w:color="000000" w:sz="12" w:space="0"/>
                    <w:tl2br w:val="nil"/>
                    <w:tr2bl w:val="nil"/>
                  </w:tcBorders>
                  <w:vAlign w:val="center"/>
                </w:tcPr>
                <w:p w14:paraId="3A5E0D5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color w:val="auto"/>
                      <w:sz w:val="21"/>
                    </w:rPr>
                  </w:pPr>
                  <w:r>
                    <w:rPr>
                      <w:rFonts w:ascii="Times New Roman" w:eastAsia="Times New Roman"/>
                      <w:color w:val="auto"/>
                      <w:spacing w:val="-2"/>
                      <w:sz w:val="21"/>
                    </w:rPr>
                    <w:t>6</w:t>
                  </w:r>
                  <w:r>
                    <w:rPr>
                      <w:color w:val="auto"/>
                      <w:spacing w:val="-2"/>
                      <w:sz w:val="21"/>
                    </w:rPr>
                    <w:t>～</w:t>
                  </w:r>
                  <w:r>
                    <w:rPr>
                      <w:rFonts w:ascii="Times New Roman" w:eastAsia="Times New Roman"/>
                      <w:color w:val="auto"/>
                      <w:spacing w:val="-2"/>
                      <w:sz w:val="21"/>
                    </w:rPr>
                    <w:t>9</w:t>
                  </w:r>
                  <w:r>
                    <w:rPr>
                      <w:rFonts w:hint="eastAsia" w:ascii="Times New Roman" w:eastAsia="宋体"/>
                      <w:color w:val="auto"/>
                      <w:spacing w:val="-2"/>
                      <w:sz w:val="21"/>
                      <w:lang w:eastAsia="zh-CN"/>
                    </w:rPr>
                    <w:t>（</w:t>
                  </w:r>
                  <w:r>
                    <w:rPr>
                      <w:color w:val="auto"/>
                      <w:spacing w:val="-2"/>
                      <w:sz w:val="21"/>
                    </w:rPr>
                    <w:t>无量纲</w:t>
                  </w:r>
                  <w:r>
                    <w:rPr>
                      <w:rFonts w:hint="eastAsia"/>
                      <w:color w:val="auto"/>
                      <w:spacing w:val="-2"/>
                      <w:sz w:val="21"/>
                      <w:lang w:eastAsia="zh-CN"/>
                    </w:rPr>
                    <w:t>）</w:t>
                  </w:r>
                </w:p>
              </w:tc>
              <w:tc>
                <w:tcPr>
                  <w:tcW w:w="4178" w:type="dxa"/>
                  <w:vMerge w:val="restart"/>
                  <w:tcBorders>
                    <w:top w:val="single" w:color="000000" w:sz="12" w:space="0"/>
                    <w:tl2br w:val="nil"/>
                    <w:tr2bl w:val="nil"/>
                  </w:tcBorders>
                  <w:vAlign w:val="center"/>
                </w:tcPr>
                <w:p w14:paraId="5DC2DF08">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p>
                <w:p w14:paraId="7C418136">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color w:val="auto"/>
                      <w:spacing w:val="-3"/>
                      <w:sz w:val="21"/>
                    </w:rPr>
                    <w:t>《污水综合排放标准》</w:t>
                  </w:r>
                </w:p>
                <w:p w14:paraId="572EFE40">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eastAsia="Times New Roman"/>
                      <w:color w:val="auto"/>
                      <w:sz w:val="21"/>
                    </w:rPr>
                  </w:pPr>
                  <w:r>
                    <w:rPr>
                      <w:rFonts w:hint="eastAsia" w:ascii="Times New Roman" w:eastAsia="宋体"/>
                      <w:color w:val="auto"/>
                      <w:spacing w:val="-2"/>
                      <w:sz w:val="21"/>
                      <w:lang w:eastAsia="zh-CN"/>
                    </w:rPr>
                    <w:t>（</w:t>
                  </w:r>
                  <w:r>
                    <w:rPr>
                      <w:rFonts w:ascii="Times New Roman" w:eastAsia="Times New Roman"/>
                      <w:color w:val="auto"/>
                      <w:spacing w:val="-2"/>
                      <w:sz w:val="21"/>
                    </w:rPr>
                    <w:t>GB8978-1996</w:t>
                  </w:r>
                  <w:r>
                    <w:rPr>
                      <w:rFonts w:hint="eastAsia" w:ascii="Times New Roman" w:eastAsia="宋体"/>
                      <w:color w:val="auto"/>
                      <w:spacing w:val="-2"/>
                      <w:sz w:val="21"/>
                      <w:lang w:eastAsia="zh-CN"/>
                    </w:rPr>
                    <w:t>）</w:t>
                  </w:r>
                  <w:r>
                    <w:rPr>
                      <w:color w:val="auto"/>
                      <w:spacing w:val="-13"/>
                      <w:sz w:val="21"/>
                    </w:rPr>
                    <w:t>中表</w:t>
                  </w:r>
                  <w:r>
                    <w:rPr>
                      <w:rFonts w:ascii="Times New Roman" w:eastAsia="Times New Roman"/>
                      <w:color w:val="auto"/>
                      <w:spacing w:val="-10"/>
                      <w:sz w:val="21"/>
                    </w:rPr>
                    <w:t>4</w:t>
                  </w:r>
                </w:p>
              </w:tc>
            </w:tr>
            <w:tr w14:paraId="37B39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5B7D9DB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COD</w:t>
                  </w:r>
                </w:p>
              </w:tc>
              <w:tc>
                <w:tcPr>
                  <w:tcW w:w="1943" w:type="dxa"/>
                  <w:tcBorders>
                    <w:tl2br w:val="nil"/>
                    <w:tr2bl w:val="nil"/>
                  </w:tcBorders>
                  <w:vAlign w:val="center"/>
                </w:tcPr>
                <w:p w14:paraId="27E31C1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500mg/L</w:t>
                  </w:r>
                </w:p>
              </w:tc>
              <w:tc>
                <w:tcPr>
                  <w:tcW w:w="4178" w:type="dxa"/>
                  <w:vMerge w:val="continue"/>
                  <w:tcBorders>
                    <w:tl2br w:val="nil"/>
                    <w:tr2bl w:val="nil"/>
                  </w:tcBorders>
                  <w:vAlign w:val="center"/>
                </w:tcPr>
                <w:p w14:paraId="46E5138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2AC867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175E1CE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13"/>
                    </w:rPr>
                  </w:pPr>
                  <w:r>
                    <w:rPr>
                      <w:rFonts w:ascii="Times New Roman"/>
                      <w:color w:val="auto"/>
                      <w:spacing w:val="-4"/>
                      <w:position w:val="2"/>
                      <w:sz w:val="21"/>
                    </w:rPr>
                    <w:t>BOD</w:t>
                  </w:r>
                  <w:r>
                    <w:rPr>
                      <w:rFonts w:ascii="Times New Roman"/>
                      <w:color w:val="auto"/>
                      <w:spacing w:val="-4"/>
                      <w:sz w:val="13"/>
                    </w:rPr>
                    <w:t>5</w:t>
                  </w:r>
                </w:p>
              </w:tc>
              <w:tc>
                <w:tcPr>
                  <w:tcW w:w="1943" w:type="dxa"/>
                  <w:tcBorders>
                    <w:tl2br w:val="nil"/>
                    <w:tr2bl w:val="nil"/>
                  </w:tcBorders>
                  <w:vAlign w:val="center"/>
                </w:tcPr>
                <w:p w14:paraId="2D8B436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300mg/L</w:t>
                  </w:r>
                </w:p>
              </w:tc>
              <w:tc>
                <w:tcPr>
                  <w:tcW w:w="4178" w:type="dxa"/>
                  <w:vMerge w:val="continue"/>
                  <w:tcBorders>
                    <w:tl2br w:val="nil"/>
                    <w:tr2bl w:val="nil"/>
                  </w:tcBorders>
                  <w:vAlign w:val="center"/>
                </w:tcPr>
                <w:p w14:paraId="53764861">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7A0C4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0B012DA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SS</w:t>
                  </w:r>
                </w:p>
              </w:tc>
              <w:tc>
                <w:tcPr>
                  <w:tcW w:w="1943" w:type="dxa"/>
                  <w:tcBorders>
                    <w:tl2br w:val="nil"/>
                    <w:tr2bl w:val="nil"/>
                  </w:tcBorders>
                  <w:vAlign w:val="center"/>
                </w:tcPr>
                <w:p w14:paraId="781B603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400mg/L</w:t>
                  </w:r>
                </w:p>
              </w:tc>
              <w:tc>
                <w:tcPr>
                  <w:tcW w:w="4178" w:type="dxa"/>
                  <w:vMerge w:val="continue"/>
                  <w:tcBorders>
                    <w:tl2br w:val="nil"/>
                    <w:tr2bl w:val="nil"/>
                  </w:tcBorders>
                  <w:vAlign w:val="center"/>
                </w:tcPr>
                <w:p w14:paraId="22645992">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48BC45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1ECE16E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eastAsia="宋体"/>
                      <w:color w:val="auto"/>
                      <w:spacing w:val="-5"/>
                      <w:sz w:val="21"/>
                      <w:lang w:val="en-US" w:eastAsia="zh-CN"/>
                    </w:rPr>
                  </w:pPr>
                  <w:r>
                    <w:rPr>
                      <w:rFonts w:hint="eastAsia" w:ascii="Times New Roman"/>
                      <w:color w:val="auto"/>
                      <w:spacing w:val="-5"/>
                      <w:sz w:val="21"/>
                      <w:lang w:val="en-US" w:eastAsia="zh-CN"/>
                    </w:rPr>
                    <w:t>石油类</w:t>
                  </w:r>
                </w:p>
              </w:tc>
              <w:tc>
                <w:tcPr>
                  <w:tcW w:w="1943" w:type="dxa"/>
                  <w:tcBorders>
                    <w:tl2br w:val="nil"/>
                    <w:tr2bl w:val="nil"/>
                  </w:tcBorders>
                  <w:vAlign w:val="center"/>
                </w:tcPr>
                <w:p w14:paraId="6C3D80F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pacing w:val="-2"/>
                      <w:sz w:val="21"/>
                    </w:rPr>
                  </w:pPr>
                  <w:r>
                    <w:rPr>
                      <w:rFonts w:hint="eastAsia" w:ascii="Times New Roman"/>
                      <w:color w:val="auto"/>
                      <w:spacing w:val="-2"/>
                      <w:sz w:val="21"/>
                      <w:lang w:val="en-US" w:eastAsia="zh-CN"/>
                    </w:rPr>
                    <w:t>20</w:t>
                  </w:r>
                  <w:r>
                    <w:rPr>
                      <w:rFonts w:ascii="Times New Roman"/>
                      <w:color w:val="auto"/>
                      <w:spacing w:val="-2"/>
                      <w:sz w:val="21"/>
                    </w:rPr>
                    <w:t>mg/L</w:t>
                  </w:r>
                </w:p>
              </w:tc>
              <w:tc>
                <w:tcPr>
                  <w:tcW w:w="4178" w:type="dxa"/>
                  <w:vMerge w:val="continue"/>
                  <w:tcBorders>
                    <w:tl2br w:val="nil"/>
                    <w:tr2bl w:val="nil"/>
                  </w:tcBorders>
                  <w:vAlign w:val="center"/>
                </w:tcPr>
                <w:p w14:paraId="03E437B1">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2966EB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1ABB338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color w:val="auto"/>
                      <w:spacing w:val="-5"/>
                      <w:sz w:val="21"/>
                      <w:lang w:val="en-US" w:eastAsia="zh-CN"/>
                    </w:rPr>
                  </w:pPr>
                  <w:r>
                    <w:rPr>
                      <w:rFonts w:hint="eastAsia" w:ascii="Times New Roman"/>
                      <w:color w:val="auto"/>
                      <w:spacing w:val="-5"/>
                      <w:sz w:val="21"/>
                      <w:lang w:val="en-US" w:eastAsia="zh-CN"/>
                    </w:rPr>
                    <w:t>LAS</w:t>
                  </w:r>
                </w:p>
              </w:tc>
              <w:tc>
                <w:tcPr>
                  <w:tcW w:w="1943" w:type="dxa"/>
                  <w:tcBorders>
                    <w:tl2br w:val="nil"/>
                    <w:tr2bl w:val="nil"/>
                  </w:tcBorders>
                  <w:vAlign w:val="center"/>
                </w:tcPr>
                <w:p w14:paraId="7A5AADF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color w:val="auto"/>
                      <w:spacing w:val="-2"/>
                      <w:sz w:val="21"/>
                      <w:lang w:val="en-US" w:eastAsia="zh-CN"/>
                    </w:rPr>
                  </w:pPr>
                  <w:r>
                    <w:rPr>
                      <w:rFonts w:hint="eastAsia" w:ascii="Times New Roman"/>
                      <w:color w:val="auto"/>
                      <w:spacing w:val="-2"/>
                      <w:sz w:val="21"/>
                      <w:lang w:val="en-US" w:eastAsia="zh-CN"/>
                    </w:rPr>
                    <w:t>20</w:t>
                  </w:r>
                  <w:r>
                    <w:rPr>
                      <w:rFonts w:ascii="Times New Roman"/>
                      <w:color w:val="auto"/>
                      <w:spacing w:val="-2"/>
                      <w:sz w:val="21"/>
                    </w:rPr>
                    <w:t>mg/L</w:t>
                  </w:r>
                </w:p>
              </w:tc>
              <w:tc>
                <w:tcPr>
                  <w:tcW w:w="4178" w:type="dxa"/>
                  <w:vMerge w:val="continue"/>
                  <w:tcBorders>
                    <w:tl2br w:val="nil"/>
                    <w:tr2bl w:val="nil"/>
                  </w:tcBorders>
                  <w:vAlign w:val="center"/>
                </w:tcPr>
                <w:p w14:paraId="3F05F341">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44BD0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5EFACD9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8"/>
                      <w:sz w:val="21"/>
                    </w:rPr>
                    <w:t>氨氮</w:t>
                  </w:r>
                </w:p>
              </w:tc>
              <w:tc>
                <w:tcPr>
                  <w:tcW w:w="1943" w:type="dxa"/>
                  <w:tcBorders>
                    <w:tl2br w:val="nil"/>
                    <w:tr2bl w:val="nil"/>
                  </w:tcBorders>
                  <w:vAlign w:val="center"/>
                </w:tcPr>
                <w:p w14:paraId="6720070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45mg/L</w:t>
                  </w:r>
                </w:p>
              </w:tc>
              <w:tc>
                <w:tcPr>
                  <w:tcW w:w="4178" w:type="dxa"/>
                  <w:tcBorders>
                    <w:tl2br w:val="nil"/>
                    <w:tr2bl w:val="nil"/>
                  </w:tcBorders>
                  <w:vAlign w:val="center"/>
                </w:tcPr>
                <w:p w14:paraId="78FCDEB4">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color w:val="auto"/>
                      <w:spacing w:val="-3"/>
                      <w:sz w:val="21"/>
                    </w:rPr>
                    <w:t>《污水排入城镇下水道水质标准》</w:t>
                  </w:r>
                </w:p>
                <w:p w14:paraId="1D33829E">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rFonts w:hint="eastAsia" w:ascii="Times New Roman" w:eastAsia="宋体"/>
                      <w:color w:val="auto"/>
                      <w:sz w:val="21"/>
                      <w:lang w:eastAsia="zh-CN"/>
                    </w:rPr>
                    <w:t>（</w:t>
                  </w:r>
                  <w:r>
                    <w:rPr>
                      <w:rFonts w:ascii="Times New Roman" w:eastAsia="Times New Roman"/>
                      <w:color w:val="auto"/>
                      <w:sz w:val="21"/>
                    </w:rPr>
                    <w:t>GB/T</w:t>
                  </w:r>
                  <w:r>
                    <w:rPr>
                      <w:rFonts w:ascii="Times New Roman" w:eastAsia="Times New Roman"/>
                      <w:color w:val="auto"/>
                      <w:spacing w:val="-14"/>
                      <w:sz w:val="21"/>
                    </w:rPr>
                    <w:t xml:space="preserve"> </w:t>
                  </w:r>
                  <w:r>
                    <w:rPr>
                      <w:rFonts w:ascii="Times New Roman" w:eastAsia="Times New Roman"/>
                      <w:color w:val="auto"/>
                      <w:sz w:val="21"/>
                    </w:rPr>
                    <w:t>31962-2015</w:t>
                  </w:r>
                  <w:r>
                    <w:rPr>
                      <w:rFonts w:hint="eastAsia" w:ascii="Times New Roman" w:eastAsia="宋体"/>
                      <w:color w:val="auto"/>
                      <w:sz w:val="21"/>
                      <w:lang w:eastAsia="zh-CN"/>
                    </w:rPr>
                    <w:t>）</w:t>
                  </w:r>
                  <w:r>
                    <w:rPr>
                      <w:color w:val="auto"/>
                      <w:spacing w:val="-27"/>
                      <w:sz w:val="21"/>
                    </w:rPr>
                    <w:t>表</w:t>
                  </w:r>
                  <w:r>
                    <w:rPr>
                      <w:rFonts w:ascii="Times New Roman" w:eastAsia="Times New Roman"/>
                      <w:color w:val="auto"/>
                      <w:sz w:val="21"/>
                    </w:rPr>
                    <w:t>1</w:t>
                  </w:r>
                  <w:r>
                    <w:rPr>
                      <w:color w:val="auto"/>
                      <w:spacing w:val="-27"/>
                      <w:sz w:val="21"/>
                    </w:rPr>
                    <w:t>中</w:t>
                  </w:r>
                  <w:r>
                    <w:rPr>
                      <w:rFonts w:ascii="Times New Roman" w:eastAsia="Times New Roman"/>
                      <w:color w:val="auto"/>
                      <w:sz w:val="21"/>
                    </w:rPr>
                    <w:t>B</w:t>
                  </w:r>
                  <w:r>
                    <w:rPr>
                      <w:color w:val="auto"/>
                      <w:spacing w:val="-4"/>
                      <w:sz w:val="21"/>
                    </w:rPr>
                    <w:t>级标准</w:t>
                  </w:r>
                </w:p>
              </w:tc>
            </w:tr>
          </w:tbl>
          <w:p w14:paraId="0C912AA0">
            <w:pPr>
              <w:pStyle w:val="97"/>
              <w:numPr>
                <w:ilvl w:val="3"/>
                <w:numId w:val="0"/>
              </w:numPr>
              <w:tabs>
                <w:tab w:val="left" w:pos="767"/>
              </w:tabs>
              <w:spacing w:before="0" w:after="0" w:line="240" w:lineRule="auto"/>
              <w:ind w:left="767" w:leftChars="0" w:right="0" w:rightChars="0" w:hanging="277" w:firstLineChars="0"/>
              <w:jc w:val="left"/>
              <w:rPr>
                <w:color w:val="auto"/>
                <w:sz w:val="24"/>
              </w:rPr>
            </w:pPr>
            <w:r>
              <w:rPr>
                <w:rFonts w:hint="eastAsia" w:ascii="Times New Roman" w:hAnsi="Times New Roman" w:eastAsia="Times New Roman" w:cs="Times New Roman"/>
                <w:b w:val="0"/>
                <w:bCs w:val="0"/>
                <w:i w:val="0"/>
                <w:iCs w:val="0"/>
                <w:color w:val="auto"/>
                <w:spacing w:val="-1"/>
                <w:w w:val="100"/>
                <w:kern w:val="2"/>
                <w:sz w:val="22"/>
                <w:szCs w:val="22"/>
                <w:lang w:val="en-US" w:eastAsia="zh-CN" w:bidi="ar-SA"/>
              </w:rPr>
              <w:t>（2）</w:t>
            </w:r>
            <w:r>
              <w:rPr>
                <w:rFonts w:hint="eastAsia"/>
                <w:color w:val="auto"/>
                <w:spacing w:val="-2"/>
                <w:sz w:val="24"/>
                <w:lang w:eastAsia="zh-CN"/>
              </w:rPr>
              <w:t>污水处理厂</w:t>
            </w:r>
            <w:r>
              <w:rPr>
                <w:color w:val="auto"/>
                <w:spacing w:val="-2"/>
                <w:sz w:val="24"/>
              </w:rPr>
              <w:t>排放标准</w:t>
            </w:r>
          </w:p>
          <w:p w14:paraId="033E33BD">
            <w:pPr>
              <w:pStyle w:val="97"/>
              <w:spacing w:before="158" w:line="364" w:lineRule="auto"/>
              <w:ind w:left="10" w:right="87" w:firstLine="480"/>
              <w:jc w:val="both"/>
              <w:rPr>
                <w:color w:val="auto"/>
                <w:spacing w:val="-2"/>
                <w:sz w:val="24"/>
              </w:rPr>
            </w:pPr>
            <w:r>
              <w:rPr>
                <w:color w:val="auto"/>
                <w:spacing w:val="-2"/>
                <w:sz w:val="24"/>
              </w:rPr>
              <w:t>根据调查，</w:t>
            </w:r>
            <w:r>
              <w:rPr>
                <w:rFonts w:hint="eastAsia"/>
                <w:color w:val="auto"/>
                <w:spacing w:val="-2"/>
                <w:sz w:val="24"/>
                <w:lang w:eastAsia="zh-CN"/>
              </w:rPr>
              <w:t>福清市第二污水处理厂</w:t>
            </w:r>
            <w:r>
              <w:rPr>
                <w:color w:val="auto"/>
                <w:spacing w:val="-2"/>
                <w:sz w:val="24"/>
              </w:rPr>
              <w:t>尾水排放执行《城镇污水处理厂污染物排放标准》</w:t>
            </w:r>
            <w:r>
              <w:rPr>
                <w:rFonts w:hint="eastAsia"/>
                <w:color w:val="auto"/>
                <w:spacing w:val="-2"/>
                <w:sz w:val="24"/>
                <w:lang w:val="en-US" w:eastAsia="zh-CN"/>
              </w:rPr>
              <w:t xml:space="preserve"> （</w:t>
            </w:r>
            <w:r>
              <w:rPr>
                <w:rFonts w:ascii="Times New Roman" w:eastAsia="Times New Roman"/>
                <w:color w:val="auto"/>
                <w:spacing w:val="-2"/>
                <w:sz w:val="24"/>
              </w:rPr>
              <w:t>GB18918-2002</w:t>
            </w:r>
            <w:r>
              <w:rPr>
                <w:rFonts w:hint="eastAsia" w:ascii="Times New Roman" w:eastAsia="宋体"/>
                <w:color w:val="auto"/>
                <w:spacing w:val="-2"/>
                <w:sz w:val="24"/>
                <w:lang w:eastAsia="zh-CN"/>
              </w:rPr>
              <w:t>）</w:t>
            </w:r>
            <w:r>
              <w:rPr>
                <w:color w:val="auto"/>
                <w:spacing w:val="-6"/>
                <w:sz w:val="24"/>
              </w:rPr>
              <w:t>及其修改单表</w:t>
            </w:r>
            <w:r>
              <w:rPr>
                <w:rFonts w:ascii="Times New Roman" w:eastAsia="Times New Roman"/>
                <w:color w:val="auto"/>
                <w:spacing w:val="-2"/>
                <w:sz w:val="24"/>
              </w:rPr>
              <w:t>1</w:t>
            </w:r>
            <w:r>
              <w:rPr>
                <w:color w:val="auto"/>
                <w:spacing w:val="-9"/>
                <w:sz w:val="24"/>
              </w:rPr>
              <w:t>的一级</w:t>
            </w:r>
            <w:r>
              <w:rPr>
                <w:rFonts w:ascii="Times New Roman" w:eastAsia="Times New Roman"/>
                <w:color w:val="auto"/>
                <w:spacing w:val="-2"/>
                <w:sz w:val="24"/>
              </w:rPr>
              <w:t>A</w:t>
            </w:r>
            <w:r>
              <w:rPr>
                <w:color w:val="auto"/>
                <w:spacing w:val="-2"/>
                <w:sz w:val="24"/>
              </w:rPr>
              <w:t>标准，具体详见表</w:t>
            </w:r>
            <w:r>
              <w:rPr>
                <w:rFonts w:ascii="Times New Roman" w:eastAsia="Times New Roman"/>
                <w:color w:val="auto"/>
                <w:spacing w:val="-2"/>
                <w:sz w:val="24"/>
              </w:rPr>
              <w:t>3.</w:t>
            </w:r>
            <w:r>
              <w:rPr>
                <w:rFonts w:hint="eastAsia" w:ascii="Times New Roman" w:eastAsia="宋体"/>
                <w:color w:val="auto"/>
                <w:spacing w:val="-2"/>
                <w:sz w:val="24"/>
                <w:lang w:val="en-US" w:eastAsia="zh-CN"/>
              </w:rPr>
              <w:t>3</w:t>
            </w:r>
            <w:r>
              <w:rPr>
                <w:rFonts w:ascii="Times New Roman" w:eastAsia="Times New Roman"/>
                <w:color w:val="auto"/>
                <w:spacing w:val="-2"/>
                <w:sz w:val="24"/>
              </w:rPr>
              <w:t>-</w:t>
            </w:r>
            <w:r>
              <w:rPr>
                <w:rFonts w:hint="eastAsia" w:ascii="Times New Roman" w:eastAsia="宋体"/>
                <w:color w:val="auto"/>
                <w:spacing w:val="-2"/>
                <w:sz w:val="24"/>
                <w:lang w:val="en-US" w:eastAsia="zh-CN"/>
              </w:rPr>
              <w:t>4</w:t>
            </w:r>
            <w:r>
              <w:rPr>
                <w:color w:val="auto"/>
                <w:spacing w:val="-2"/>
                <w:sz w:val="24"/>
              </w:rPr>
              <w:t>。</w:t>
            </w:r>
          </w:p>
          <w:p w14:paraId="337030C2">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污水处理厂尾水排放标准一览表</w:t>
            </w:r>
          </w:p>
          <w:tbl>
            <w:tblPr>
              <w:tblStyle w:val="35"/>
              <w:tblW w:w="7964"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90"/>
              <w:gridCol w:w="1991"/>
              <w:gridCol w:w="1992"/>
              <w:gridCol w:w="1991"/>
            </w:tblGrid>
            <w:tr w14:paraId="7BD84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bottom w:val="single" w:color="000000" w:sz="12" w:space="0"/>
                  </w:tcBorders>
                  <w:vAlign w:val="center"/>
                </w:tcPr>
                <w:p w14:paraId="7BDFEFF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8"/>
                      <w:sz w:val="21"/>
                    </w:rPr>
                    <w:t>序号</w:t>
                  </w:r>
                </w:p>
              </w:tc>
              <w:tc>
                <w:tcPr>
                  <w:tcW w:w="1991" w:type="dxa"/>
                  <w:tcBorders>
                    <w:bottom w:val="single" w:color="000000" w:sz="12" w:space="0"/>
                  </w:tcBorders>
                  <w:vAlign w:val="center"/>
                </w:tcPr>
                <w:p w14:paraId="324A6A2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4"/>
                      <w:sz w:val="21"/>
                    </w:rPr>
                    <w:t>污染物名称</w:t>
                  </w:r>
                </w:p>
              </w:tc>
              <w:tc>
                <w:tcPr>
                  <w:tcW w:w="1992" w:type="dxa"/>
                  <w:tcBorders>
                    <w:bottom w:val="single" w:color="000000" w:sz="12" w:space="0"/>
                  </w:tcBorders>
                  <w:vAlign w:val="center"/>
                </w:tcPr>
                <w:p w14:paraId="74BE624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1"/>
                      <w:sz w:val="21"/>
                    </w:rPr>
                    <w:t>一级标准</w:t>
                  </w:r>
                  <w:r>
                    <w:rPr>
                      <w:rFonts w:ascii="Times New Roman" w:hAnsi="Times New Roman" w:eastAsia="宋体"/>
                      <w:color w:val="auto"/>
                      <w:sz w:val="21"/>
                    </w:rPr>
                    <w:t>A</w:t>
                  </w:r>
                  <w:r>
                    <w:rPr>
                      <w:rFonts w:ascii="Times New Roman" w:hAnsi="Times New Roman" w:eastAsia="宋体"/>
                      <w:color w:val="auto"/>
                      <w:spacing w:val="-5"/>
                      <w:sz w:val="21"/>
                    </w:rPr>
                    <w:t>标准</w:t>
                  </w:r>
                </w:p>
              </w:tc>
              <w:tc>
                <w:tcPr>
                  <w:tcW w:w="1991" w:type="dxa"/>
                  <w:tcBorders>
                    <w:bottom w:val="single" w:color="000000" w:sz="12" w:space="0"/>
                  </w:tcBorders>
                  <w:vAlign w:val="center"/>
                </w:tcPr>
                <w:p w14:paraId="41485802">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r>
                    <w:rPr>
                      <w:rFonts w:ascii="Times New Roman" w:hAnsi="Times New Roman" w:eastAsia="宋体"/>
                      <w:color w:val="auto"/>
                      <w:spacing w:val="-7"/>
                      <w:sz w:val="21"/>
                    </w:rPr>
                    <w:t>标准来源</w:t>
                  </w:r>
                </w:p>
              </w:tc>
            </w:tr>
            <w:tr w14:paraId="4C21A2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op w:val="single" w:color="000000" w:sz="12" w:space="0"/>
                    <w:tl2br w:val="nil"/>
                    <w:tr2bl w:val="nil"/>
                  </w:tcBorders>
                  <w:vAlign w:val="center"/>
                </w:tcPr>
                <w:p w14:paraId="48C42A3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1</w:t>
                  </w:r>
                </w:p>
              </w:tc>
              <w:tc>
                <w:tcPr>
                  <w:tcW w:w="1991" w:type="dxa"/>
                  <w:tcBorders>
                    <w:top w:val="single" w:color="000000" w:sz="12" w:space="0"/>
                    <w:tl2br w:val="nil"/>
                    <w:tr2bl w:val="nil"/>
                  </w:tcBorders>
                  <w:vAlign w:val="center"/>
                </w:tcPr>
                <w:p w14:paraId="768F75B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pH</w:t>
                  </w:r>
                </w:p>
              </w:tc>
              <w:tc>
                <w:tcPr>
                  <w:tcW w:w="1992" w:type="dxa"/>
                  <w:tcBorders>
                    <w:top w:val="single" w:color="000000" w:sz="12" w:space="0"/>
                    <w:tl2br w:val="nil"/>
                    <w:tr2bl w:val="nil"/>
                  </w:tcBorders>
                  <w:vAlign w:val="center"/>
                </w:tcPr>
                <w:p w14:paraId="46F2629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6～9</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无量纲</w:t>
                  </w:r>
                  <w:r>
                    <w:rPr>
                      <w:rFonts w:hint="eastAsia" w:ascii="Times New Roman" w:hAnsi="Times New Roman"/>
                      <w:color w:val="auto"/>
                      <w:spacing w:val="-2"/>
                      <w:sz w:val="21"/>
                      <w:lang w:eastAsia="zh-CN"/>
                    </w:rPr>
                    <w:t>）</w:t>
                  </w:r>
                </w:p>
              </w:tc>
              <w:tc>
                <w:tcPr>
                  <w:tcW w:w="1991" w:type="dxa"/>
                  <w:vMerge w:val="restart"/>
                  <w:tcBorders>
                    <w:top w:val="single" w:color="000000" w:sz="12" w:space="0"/>
                    <w:tl2br w:val="nil"/>
                    <w:tr2bl w:val="nil"/>
                  </w:tcBorders>
                  <w:vAlign w:val="center"/>
                </w:tcPr>
                <w:p w14:paraId="5769ABE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《城镇污水处理厂污染物排放标准》</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GB18918-2002</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及其修</w:t>
                  </w:r>
                  <w:r>
                    <w:rPr>
                      <w:rFonts w:ascii="Times New Roman" w:hAnsi="Times New Roman" w:eastAsia="宋体"/>
                      <w:color w:val="auto"/>
                      <w:spacing w:val="-14"/>
                      <w:sz w:val="21"/>
                    </w:rPr>
                    <w:t>改单表</w:t>
                  </w:r>
                  <w:r>
                    <w:rPr>
                      <w:rFonts w:ascii="Times New Roman" w:hAnsi="Times New Roman" w:eastAsia="宋体"/>
                      <w:color w:val="auto"/>
                      <w:spacing w:val="-10"/>
                      <w:sz w:val="21"/>
                    </w:rPr>
                    <w:t>1</w:t>
                  </w:r>
                </w:p>
              </w:tc>
            </w:tr>
            <w:tr w14:paraId="6C7E1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6216D20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2</w:t>
                  </w:r>
                </w:p>
              </w:tc>
              <w:tc>
                <w:tcPr>
                  <w:tcW w:w="1991" w:type="dxa"/>
                  <w:tcBorders>
                    <w:tl2br w:val="nil"/>
                    <w:tr2bl w:val="nil"/>
                  </w:tcBorders>
                  <w:vAlign w:val="center"/>
                </w:tcPr>
                <w:p w14:paraId="50221DA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COD</w:t>
                  </w:r>
                </w:p>
              </w:tc>
              <w:tc>
                <w:tcPr>
                  <w:tcW w:w="1992" w:type="dxa"/>
                  <w:tcBorders>
                    <w:tl2br w:val="nil"/>
                    <w:tr2bl w:val="nil"/>
                  </w:tcBorders>
                  <w:vAlign w:val="center"/>
                </w:tcPr>
                <w:p w14:paraId="088E223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50mg/L</w:t>
                  </w:r>
                </w:p>
              </w:tc>
              <w:tc>
                <w:tcPr>
                  <w:tcW w:w="1991" w:type="dxa"/>
                  <w:vMerge w:val="continue"/>
                  <w:tcBorders>
                    <w:tl2br w:val="nil"/>
                    <w:tr2bl w:val="nil"/>
                  </w:tcBorders>
                  <w:vAlign w:val="center"/>
                </w:tcPr>
                <w:p w14:paraId="03BD673E">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7B3CD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6C3EA09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3</w:t>
                  </w:r>
                </w:p>
              </w:tc>
              <w:tc>
                <w:tcPr>
                  <w:tcW w:w="1991" w:type="dxa"/>
                  <w:tcBorders>
                    <w:tl2br w:val="nil"/>
                    <w:tr2bl w:val="nil"/>
                  </w:tcBorders>
                  <w:vAlign w:val="center"/>
                </w:tcPr>
                <w:p w14:paraId="7478019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4"/>
                      <w:position w:val="2"/>
                      <w:sz w:val="21"/>
                    </w:rPr>
                    <w:t>BOD</w:t>
                  </w:r>
                  <w:r>
                    <w:rPr>
                      <w:rFonts w:ascii="Times New Roman" w:hAnsi="Times New Roman" w:eastAsia="宋体"/>
                      <w:color w:val="auto"/>
                      <w:spacing w:val="-4"/>
                      <w:sz w:val="13"/>
                    </w:rPr>
                    <w:t>5</w:t>
                  </w:r>
                </w:p>
              </w:tc>
              <w:tc>
                <w:tcPr>
                  <w:tcW w:w="1992" w:type="dxa"/>
                  <w:tcBorders>
                    <w:tl2br w:val="nil"/>
                    <w:tr2bl w:val="nil"/>
                  </w:tcBorders>
                  <w:vAlign w:val="center"/>
                </w:tcPr>
                <w:p w14:paraId="000C4FD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10mg/L</w:t>
                  </w:r>
                </w:p>
              </w:tc>
              <w:tc>
                <w:tcPr>
                  <w:tcW w:w="1991" w:type="dxa"/>
                  <w:vMerge w:val="continue"/>
                  <w:tcBorders>
                    <w:tl2br w:val="nil"/>
                    <w:tr2bl w:val="nil"/>
                  </w:tcBorders>
                  <w:vAlign w:val="center"/>
                </w:tcPr>
                <w:p w14:paraId="04E1961C">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3BA11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0CE26C80">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4</w:t>
                  </w:r>
                </w:p>
              </w:tc>
              <w:tc>
                <w:tcPr>
                  <w:tcW w:w="1991" w:type="dxa"/>
                  <w:tcBorders>
                    <w:tl2br w:val="nil"/>
                    <w:tr2bl w:val="nil"/>
                  </w:tcBorders>
                  <w:vAlign w:val="center"/>
                </w:tcPr>
                <w:p w14:paraId="1956E5F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SS</w:t>
                  </w:r>
                </w:p>
              </w:tc>
              <w:tc>
                <w:tcPr>
                  <w:tcW w:w="1992" w:type="dxa"/>
                  <w:tcBorders>
                    <w:tl2br w:val="nil"/>
                    <w:tr2bl w:val="nil"/>
                  </w:tcBorders>
                  <w:vAlign w:val="center"/>
                </w:tcPr>
                <w:p w14:paraId="4929D451">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10mg/L</w:t>
                  </w:r>
                </w:p>
              </w:tc>
              <w:tc>
                <w:tcPr>
                  <w:tcW w:w="1991" w:type="dxa"/>
                  <w:vMerge w:val="continue"/>
                  <w:tcBorders>
                    <w:tl2br w:val="nil"/>
                    <w:tr2bl w:val="nil"/>
                  </w:tcBorders>
                  <w:vAlign w:val="center"/>
                </w:tcPr>
                <w:p w14:paraId="3DE99AF1">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112340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2067164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5</w:t>
                  </w:r>
                </w:p>
              </w:tc>
              <w:tc>
                <w:tcPr>
                  <w:tcW w:w="1991" w:type="dxa"/>
                  <w:tcBorders>
                    <w:tl2br w:val="nil"/>
                    <w:tr2bl w:val="nil"/>
                  </w:tcBorders>
                  <w:vAlign w:val="center"/>
                </w:tcPr>
                <w:p w14:paraId="7C8D877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position w:val="2"/>
                      <w:sz w:val="21"/>
                    </w:rPr>
                    <w:t>NH</w:t>
                  </w:r>
                  <w:r>
                    <w:rPr>
                      <w:rFonts w:ascii="Times New Roman" w:hAnsi="Times New Roman" w:eastAsia="宋体"/>
                      <w:color w:val="auto"/>
                      <w:spacing w:val="-2"/>
                      <w:sz w:val="13"/>
                    </w:rPr>
                    <w:t>3</w:t>
                  </w:r>
                  <w:r>
                    <w:rPr>
                      <w:rFonts w:ascii="Times New Roman" w:hAnsi="Times New Roman" w:eastAsia="宋体"/>
                      <w:color w:val="auto"/>
                      <w:spacing w:val="-2"/>
                      <w:position w:val="2"/>
                      <w:sz w:val="21"/>
                    </w:rPr>
                    <w:t>-</w:t>
                  </w:r>
                  <w:r>
                    <w:rPr>
                      <w:rFonts w:ascii="Times New Roman" w:hAnsi="Times New Roman" w:eastAsia="宋体"/>
                      <w:color w:val="auto"/>
                      <w:spacing w:val="-10"/>
                      <w:position w:val="2"/>
                      <w:sz w:val="21"/>
                    </w:rPr>
                    <w:t>N</w:t>
                  </w:r>
                </w:p>
              </w:tc>
              <w:tc>
                <w:tcPr>
                  <w:tcW w:w="1992" w:type="dxa"/>
                  <w:tcBorders>
                    <w:tl2br w:val="nil"/>
                    <w:tr2bl w:val="nil"/>
                  </w:tcBorders>
                  <w:vAlign w:val="center"/>
                </w:tcPr>
                <w:p w14:paraId="1954657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5mg/L</w:t>
                  </w:r>
                </w:p>
              </w:tc>
              <w:tc>
                <w:tcPr>
                  <w:tcW w:w="1991" w:type="dxa"/>
                  <w:vMerge w:val="continue"/>
                  <w:tcBorders>
                    <w:tl2br w:val="nil"/>
                    <w:tr2bl w:val="nil"/>
                  </w:tcBorders>
                  <w:vAlign w:val="center"/>
                </w:tcPr>
                <w:p w14:paraId="56532504">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7378D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4A46BB23">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6</w:t>
                  </w:r>
                </w:p>
              </w:tc>
              <w:tc>
                <w:tcPr>
                  <w:tcW w:w="1991" w:type="dxa"/>
                  <w:tcBorders>
                    <w:tl2br w:val="nil"/>
                    <w:tr2bl w:val="nil"/>
                  </w:tcBorders>
                  <w:vAlign w:val="center"/>
                </w:tcPr>
                <w:p w14:paraId="68F25160">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color w:val="auto"/>
                      <w:sz w:val="24"/>
                      <w:vertAlign w:val="baseline"/>
                      <w:lang w:val="en-US" w:eastAsia="zh-CN"/>
                    </w:rPr>
                  </w:pPr>
                  <w:r>
                    <w:rPr>
                      <w:rFonts w:hint="eastAsia" w:ascii="Times New Roman" w:hAnsi="Times New Roman" w:eastAsia="宋体"/>
                      <w:color w:val="auto"/>
                      <w:sz w:val="21"/>
                      <w:szCs w:val="21"/>
                      <w:vertAlign w:val="baseline"/>
                      <w:lang w:val="en-US" w:eastAsia="zh-CN"/>
                    </w:rPr>
                    <w:t>动植物油</w:t>
                  </w:r>
                </w:p>
              </w:tc>
              <w:tc>
                <w:tcPr>
                  <w:tcW w:w="1992" w:type="dxa"/>
                  <w:tcBorders>
                    <w:tl2br w:val="nil"/>
                    <w:tr2bl w:val="nil"/>
                  </w:tcBorders>
                  <w:vAlign w:val="center"/>
                </w:tcPr>
                <w:p w14:paraId="6185AB2E">
                  <w:pPr>
                    <w:keepNext w:val="0"/>
                    <w:keepLines w:val="0"/>
                    <w:pageBreakBefore w:val="0"/>
                    <w:widowControl w:val="0"/>
                    <w:tabs>
                      <w:tab w:val="left" w:pos="3741"/>
                      <w:tab w:val="left" w:pos="5726"/>
                    </w:tabs>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olor w:val="auto"/>
                      <w:sz w:val="24"/>
                      <w:vertAlign w:val="baseline"/>
                      <w:lang w:val="en-US" w:eastAsia="zh-CN"/>
                    </w:rPr>
                  </w:pPr>
                  <w:r>
                    <w:rPr>
                      <w:rFonts w:ascii="Times New Roman" w:hAnsi="Times New Roman" w:eastAsia="宋体"/>
                      <w:color w:val="auto"/>
                      <w:spacing w:val="-4"/>
                      <w:sz w:val="21"/>
                    </w:rPr>
                    <w:t>1mg/L</w:t>
                  </w:r>
                </w:p>
              </w:tc>
              <w:tc>
                <w:tcPr>
                  <w:tcW w:w="1991" w:type="dxa"/>
                  <w:vMerge w:val="continue"/>
                  <w:tcBorders>
                    <w:tl2br w:val="nil"/>
                    <w:tr2bl w:val="nil"/>
                  </w:tcBorders>
                  <w:vAlign w:val="center"/>
                </w:tcPr>
                <w:p w14:paraId="6799367B">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bl>
          <w:p w14:paraId="5F7FAF5F">
            <w:pPr>
              <w:pStyle w:val="97"/>
              <w:rPr>
                <w:color w:val="auto"/>
                <w:sz w:val="24"/>
              </w:rPr>
            </w:pPr>
          </w:p>
          <w:p w14:paraId="38E01D63">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噪声排放标准</w:t>
            </w:r>
          </w:p>
          <w:p w14:paraId="760A8F2D">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rPr>
              <w:t>厂界噪声执行《工业企业厂界环境噪声排放标准》</w:t>
            </w:r>
            <w:r>
              <w:rPr>
                <w:rFonts w:hint="eastAsia" w:cs="Times New Roman"/>
                <w:color w:val="auto"/>
                <w:highlight w:val="none"/>
                <w:lang w:eastAsia="zh-CN"/>
              </w:rPr>
              <w:t>（</w:t>
            </w:r>
            <w:r>
              <w:rPr>
                <w:rFonts w:hint="default" w:ascii="Times New Roman" w:hAnsi="Times New Roman" w:cs="Times New Roman"/>
                <w:color w:val="auto"/>
                <w:highlight w:val="none"/>
              </w:rPr>
              <w:t>GB12348-2008</w:t>
            </w:r>
            <w:r>
              <w:rPr>
                <w:rFonts w:hint="eastAsia" w:cs="Times New Roman"/>
                <w:color w:val="auto"/>
                <w:highlight w:val="none"/>
                <w:lang w:eastAsia="zh-CN"/>
              </w:rPr>
              <w:t>）中第</w:t>
            </w:r>
            <w:r>
              <w:rPr>
                <w:rFonts w:hint="eastAsia" w:cs="Times New Roman"/>
                <w:color w:val="auto"/>
                <w:highlight w:val="none"/>
                <w:lang w:val="en-US" w:eastAsia="zh-CN"/>
              </w:rPr>
              <w:t>3</w:t>
            </w:r>
            <w:r>
              <w:rPr>
                <w:rFonts w:hint="default" w:ascii="Times New Roman" w:hAnsi="Times New Roman" w:cs="Times New Roman"/>
                <w:color w:val="auto"/>
                <w:highlight w:val="none"/>
              </w:rPr>
              <w:t>类标准。</w:t>
            </w:r>
          </w:p>
          <w:p w14:paraId="0316F6C2">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工业企业厂界环境噪声</w:t>
            </w:r>
            <w:r>
              <w:rPr>
                <w:rFonts w:hint="eastAsia" w:ascii="Times New Roman" w:hAnsi="Times New Roman" w:eastAsia="宋体" w:cs="宋体"/>
                <w:color w:val="auto"/>
                <w:highlight w:val="none"/>
                <w:lang w:val="en-US" w:eastAsia="zh-CN"/>
              </w:rPr>
              <w:t>排放限值</w:t>
            </w:r>
          </w:p>
          <w:tbl>
            <w:tblPr>
              <w:tblStyle w:val="34"/>
              <w:tblW w:w="7971" w:type="dxa"/>
              <w:jc w:val="center"/>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Layout w:type="fixed"/>
              <w:tblCellMar>
                <w:top w:w="0" w:type="dxa"/>
                <w:left w:w="108" w:type="dxa"/>
                <w:bottom w:w="0" w:type="dxa"/>
                <w:right w:w="108" w:type="dxa"/>
              </w:tblCellMar>
            </w:tblPr>
            <w:tblGrid>
              <w:gridCol w:w="2658"/>
              <w:gridCol w:w="2658"/>
              <w:gridCol w:w="2655"/>
            </w:tblGrid>
            <w:tr w14:paraId="09F22F6B">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5C31DAD9">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类别</w:t>
                  </w:r>
                </w:p>
              </w:tc>
              <w:tc>
                <w:tcPr>
                  <w:tcW w:w="2658" w:type="dxa"/>
                  <w:tcBorders>
                    <w:tl2br w:val="nil"/>
                    <w:tr2bl w:val="nil"/>
                  </w:tcBorders>
                  <w:vAlign w:val="center"/>
                </w:tcPr>
                <w:p w14:paraId="03BA3B4A">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昼间</w:t>
                  </w:r>
                </w:p>
              </w:tc>
              <w:tc>
                <w:tcPr>
                  <w:tcW w:w="2655" w:type="dxa"/>
                  <w:tcBorders>
                    <w:tl2br w:val="nil"/>
                    <w:tr2bl w:val="nil"/>
                  </w:tcBorders>
                  <w:vAlign w:val="center"/>
                </w:tcPr>
                <w:p w14:paraId="2979C786">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夜间</w:t>
                  </w:r>
                </w:p>
              </w:tc>
            </w:tr>
            <w:tr w14:paraId="070541C4">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0A2461BA">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3</w:t>
                  </w:r>
                  <w:r>
                    <w:rPr>
                      <w:rFonts w:hint="default"/>
                      <w:color w:val="auto"/>
                    </w:rPr>
                    <w:t>类</w:t>
                  </w:r>
                </w:p>
              </w:tc>
              <w:tc>
                <w:tcPr>
                  <w:tcW w:w="2658" w:type="dxa"/>
                  <w:tcBorders>
                    <w:tl2br w:val="nil"/>
                    <w:tr2bl w:val="nil"/>
                  </w:tcBorders>
                  <w:vAlign w:val="center"/>
                </w:tcPr>
                <w:p w14:paraId="4D8D9B81">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eastAsia="宋体"/>
                      <w:color w:val="auto"/>
                      <w:lang w:val="en-US" w:eastAsia="zh-CN"/>
                    </w:rPr>
                  </w:pPr>
                  <w:r>
                    <w:rPr>
                      <w:rFonts w:ascii="Times New Roman" w:hAnsi="Times New Roman"/>
                      <w:color w:val="auto"/>
                      <w:spacing w:val="-5"/>
                      <w:sz w:val="21"/>
                    </w:rPr>
                    <w:t>≤</w:t>
                  </w:r>
                  <w:r>
                    <w:rPr>
                      <w:rFonts w:hint="default"/>
                      <w:color w:val="auto"/>
                    </w:rPr>
                    <w:t>6</w:t>
                  </w:r>
                  <w:r>
                    <w:rPr>
                      <w:rFonts w:hint="eastAsia"/>
                      <w:color w:val="auto"/>
                      <w:lang w:val="en-US" w:eastAsia="zh-CN"/>
                    </w:rPr>
                    <w:t>5dB(A)</w:t>
                  </w:r>
                </w:p>
              </w:tc>
              <w:tc>
                <w:tcPr>
                  <w:tcW w:w="2655" w:type="dxa"/>
                  <w:tcBorders>
                    <w:tl2br w:val="nil"/>
                    <w:tr2bl w:val="nil"/>
                  </w:tcBorders>
                  <w:vAlign w:val="center"/>
                </w:tcPr>
                <w:p w14:paraId="3FA9E8A7">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auto"/>
                    </w:rPr>
                  </w:pPr>
                  <w:r>
                    <w:rPr>
                      <w:rFonts w:ascii="Times New Roman" w:hAnsi="Times New Roman"/>
                      <w:color w:val="auto"/>
                      <w:spacing w:val="-5"/>
                      <w:sz w:val="21"/>
                    </w:rPr>
                    <w:t>≤</w:t>
                  </w:r>
                  <w:r>
                    <w:rPr>
                      <w:rFonts w:hint="default"/>
                      <w:color w:val="auto"/>
                    </w:rPr>
                    <w:t>5</w:t>
                  </w:r>
                  <w:r>
                    <w:rPr>
                      <w:rFonts w:hint="eastAsia"/>
                      <w:color w:val="auto"/>
                      <w:lang w:val="en-US" w:eastAsia="zh-CN"/>
                    </w:rPr>
                    <w:t>5dB(A)</w:t>
                  </w:r>
                </w:p>
              </w:tc>
            </w:tr>
          </w:tbl>
          <w:p w14:paraId="2D4D07ED">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固体废物执行标准</w:t>
            </w:r>
          </w:p>
          <w:p w14:paraId="0E2D2A75">
            <w:pPr>
              <w:pStyle w:val="46"/>
              <w:ind w:firstLine="480"/>
              <w:rPr>
                <w:rFonts w:ascii="宋体" w:hAnsi="宋体" w:cs="宋体"/>
                <w:color w:val="auto"/>
                <w:kern w:val="0"/>
                <w:szCs w:val="21"/>
                <w:highlight w:val="none"/>
              </w:rPr>
            </w:pPr>
            <w:r>
              <w:rPr>
                <w:rFonts w:hint="eastAsia"/>
                <w:color w:val="auto"/>
                <w:highlight w:val="none"/>
              </w:rPr>
              <w:t>本项目运营期项目生活垃圾处置执行《中华人民共和国固体废物污染环境防治法》</w:t>
            </w:r>
            <w:r>
              <w:rPr>
                <w:rFonts w:hint="eastAsia"/>
                <w:color w:val="auto"/>
                <w:highlight w:val="none"/>
                <w:lang w:eastAsia="zh-CN"/>
              </w:rPr>
              <w:t>（</w:t>
            </w:r>
            <w:r>
              <w:rPr>
                <w:rFonts w:hint="eastAsia"/>
                <w:color w:val="auto"/>
                <w:highlight w:val="none"/>
              </w:rPr>
              <w:t>2020 年修订</w:t>
            </w:r>
            <w:r>
              <w:rPr>
                <w:rFonts w:hint="eastAsia"/>
                <w:color w:val="auto"/>
                <w:highlight w:val="none"/>
                <w:lang w:eastAsia="zh-CN"/>
              </w:rPr>
              <w:t>）</w:t>
            </w:r>
            <w:r>
              <w:rPr>
                <w:rFonts w:hint="eastAsia"/>
                <w:color w:val="auto"/>
                <w:highlight w:val="none"/>
              </w:rPr>
              <w:t>的相关规定；产生的一般工业固废应按照《一般工业固体废物贮存和填埋污染控制标准》</w:t>
            </w:r>
            <w:r>
              <w:rPr>
                <w:rFonts w:hint="eastAsia"/>
                <w:color w:val="auto"/>
                <w:highlight w:val="none"/>
                <w:lang w:eastAsia="zh-CN"/>
              </w:rPr>
              <w:t>（</w:t>
            </w:r>
            <w:r>
              <w:rPr>
                <w:rFonts w:hint="eastAsia"/>
                <w:color w:val="auto"/>
                <w:highlight w:val="none"/>
              </w:rPr>
              <w:t>GB18599-2020</w:t>
            </w:r>
            <w:r>
              <w:rPr>
                <w:rFonts w:hint="eastAsia"/>
                <w:color w:val="auto"/>
                <w:highlight w:val="none"/>
                <w:lang w:eastAsia="zh-CN"/>
              </w:rPr>
              <w:t>）</w:t>
            </w:r>
            <w:r>
              <w:rPr>
                <w:rFonts w:hint="eastAsia"/>
                <w:color w:val="auto"/>
                <w:highlight w:val="none"/>
              </w:rPr>
              <w:t>进行处理处置。项目内产生的危险废物应按照《危险废物贮存污染控制标准》</w:t>
            </w:r>
            <w:r>
              <w:rPr>
                <w:rFonts w:hint="eastAsia"/>
                <w:color w:val="auto"/>
                <w:highlight w:val="none"/>
                <w:lang w:eastAsia="zh-CN"/>
              </w:rPr>
              <w:t>（</w:t>
            </w:r>
            <w:r>
              <w:rPr>
                <w:rFonts w:hint="eastAsia"/>
                <w:color w:val="auto"/>
                <w:highlight w:val="none"/>
              </w:rPr>
              <w:t>GB 18597-2023</w:t>
            </w:r>
            <w:r>
              <w:rPr>
                <w:rFonts w:hint="eastAsia"/>
                <w:color w:val="auto"/>
                <w:highlight w:val="none"/>
                <w:lang w:eastAsia="zh-CN"/>
              </w:rPr>
              <w:t>）</w:t>
            </w:r>
            <w:r>
              <w:rPr>
                <w:rFonts w:hint="eastAsia"/>
                <w:color w:val="auto"/>
                <w:highlight w:val="none"/>
              </w:rPr>
              <w:t>的要求进行贮存，并委托有资质单位处理。</w:t>
            </w:r>
          </w:p>
        </w:tc>
      </w:tr>
      <w:tr w14:paraId="1981B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800" w:type="dxa"/>
            <w:vAlign w:val="center"/>
          </w:tcPr>
          <w:p w14:paraId="24C551E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14:paraId="13806A2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14:paraId="7B0888F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vAlign w:val="center"/>
          </w:tcPr>
          <w:p w14:paraId="72676001">
            <w:pPr>
              <w:pStyle w:val="3"/>
              <w:numPr>
                <w:ilvl w:val="1"/>
                <w:numId w:val="1"/>
              </w:numPr>
              <w:bidi w:val="0"/>
              <w:ind w:left="0" w:leftChars="0" w:firstLine="0" w:firstLineChars="0"/>
              <w:rPr>
                <w:rFonts w:hint="eastAsia" w:ascii="Times New Roman" w:hAnsi="Times New Roman" w:eastAsia="宋体" w:cs="Times New Roman"/>
                <w:color w:val="auto"/>
                <w:highlight w:val="none"/>
              </w:rPr>
            </w:pPr>
            <w:bookmarkStart w:id="32" w:name="_Toc18142"/>
            <w:bookmarkStart w:id="33" w:name="_Toc24101"/>
            <w:bookmarkStart w:id="34" w:name="_Toc551"/>
            <w:bookmarkStart w:id="35" w:name="_Toc22536"/>
            <w:r>
              <w:rPr>
                <w:rFonts w:hint="eastAsia" w:ascii="Times New Roman" w:hAnsi="Times New Roman" w:eastAsia="宋体" w:cs="Times New Roman"/>
                <w:color w:val="auto"/>
                <w:highlight w:val="none"/>
              </w:rPr>
              <w:t>总量控制分析</w:t>
            </w:r>
          </w:p>
          <w:p w14:paraId="15598489">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总量控制因子</w:t>
            </w:r>
            <w:bookmarkEnd w:id="32"/>
            <w:bookmarkEnd w:id="33"/>
            <w:bookmarkEnd w:id="34"/>
            <w:bookmarkEnd w:id="35"/>
          </w:p>
          <w:p w14:paraId="42EC5B10">
            <w:pPr>
              <w:pStyle w:val="46"/>
              <w:ind w:firstLine="480"/>
              <w:rPr>
                <w:color w:val="auto"/>
                <w:highlight w:val="none"/>
              </w:rPr>
            </w:pPr>
            <w:r>
              <w:rPr>
                <w:rFonts w:hint="eastAsia" w:ascii="Times New Roman" w:hAnsi="Times New Roman"/>
                <w:color w:val="auto"/>
              </w:rPr>
              <w:t>根据</w:t>
            </w:r>
            <w:r>
              <w:rPr>
                <w:rFonts w:ascii="Times New Roman" w:hAnsi="Times New Roman"/>
                <w:color w:val="auto"/>
              </w:rPr>
              <w:t>国家</w:t>
            </w:r>
            <w:r>
              <w:rPr>
                <w:rFonts w:hint="eastAsia" w:ascii="Times New Roman" w:hAnsi="Times New Roman"/>
                <w:color w:val="auto"/>
              </w:rPr>
              <w:t>“</w:t>
            </w:r>
            <w:r>
              <w:rPr>
                <w:rFonts w:ascii="Times New Roman" w:hAnsi="Times New Roman"/>
                <w:color w:val="auto"/>
              </w:rPr>
              <w:t>十</w:t>
            </w:r>
            <w:r>
              <w:rPr>
                <w:rFonts w:hint="eastAsia" w:ascii="Times New Roman" w:hAnsi="Times New Roman"/>
                <w:color w:val="auto"/>
              </w:rPr>
              <w:t>四</w:t>
            </w:r>
            <w:r>
              <w:rPr>
                <w:rFonts w:ascii="Times New Roman" w:hAnsi="Times New Roman"/>
                <w:color w:val="auto"/>
              </w:rPr>
              <w:t>五</w:t>
            </w:r>
            <w:r>
              <w:rPr>
                <w:rFonts w:hint="eastAsia" w:ascii="Times New Roman" w:hAnsi="Times New Roman"/>
                <w:color w:val="auto"/>
              </w:rPr>
              <w:t>”</w:t>
            </w:r>
            <w:r>
              <w:rPr>
                <w:rFonts w:ascii="Times New Roman" w:hAnsi="Times New Roman"/>
                <w:color w:val="auto"/>
              </w:rPr>
              <w:t>期间污染物</w:t>
            </w:r>
            <w:r>
              <w:rPr>
                <w:rFonts w:hint="eastAsia" w:ascii="Times New Roman" w:hAnsi="Times New Roman"/>
                <w:color w:val="auto"/>
              </w:rPr>
              <w:t>总量</w:t>
            </w:r>
            <w:r>
              <w:rPr>
                <w:rFonts w:ascii="Times New Roman" w:hAnsi="Times New Roman"/>
                <w:color w:val="auto"/>
              </w:rPr>
              <w:t>控制</w:t>
            </w:r>
            <w:r>
              <w:rPr>
                <w:rFonts w:hint="eastAsia" w:ascii="Times New Roman" w:hAnsi="Times New Roman"/>
                <w:color w:val="auto"/>
              </w:rPr>
              <w:t>要求及</w:t>
            </w:r>
            <w:r>
              <w:rPr>
                <w:rFonts w:ascii="Times New Roman" w:hAnsi="Times New Roman"/>
                <w:color w:val="auto"/>
              </w:rPr>
              <w:t>《福建省“十四五”生态环境保护专项规划》（闽政办〔2021〕59号）</w:t>
            </w:r>
            <w:r>
              <w:rPr>
                <w:rFonts w:hint="eastAsia" w:ascii="Times New Roman" w:hAnsi="Times New Roman"/>
                <w:color w:val="auto"/>
              </w:rPr>
              <w:t>、</w:t>
            </w:r>
            <w:r>
              <w:rPr>
                <w:rFonts w:ascii="Times New Roman" w:hAnsi="Times New Roman"/>
                <w:color w:val="auto"/>
              </w:rPr>
              <w:t>《福建省人民政府关于推进排污权有偿使用和交易工作的意见</w:t>
            </w:r>
            <w:r>
              <w:rPr>
                <w:rFonts w:hint="eastAsia"/>
                <w:color w:val="auto"/>
                <w:lang w:eastAsia="zh-CN"/>
              </w:rPr>
              <w:t>（</w:t>
            </w:r>
            <w:r>
              <w:rPr>
                <w:rFonts w:ascii="Times New Roman" w:hAnsi="Times New Roman"/>
                <w:color w:val="auto"/>
              </w:rPr>
              <w:t>试行</w:t>
            </w:r>
            <w:r>
              <w:rPr>
                <w:rFonts w:hint="eastAsia"/>
                <w:color w:val="auto"/>
                <w:lang w:eastAsia="zh-CN"/>
              </w:rPr>
              <w:t>）</w:t>
            </w:r>
            <w:r>
              <w:rPr>
                <w:rFonts w:ascii="Times New Roman" w:hAnsi="Times New Roman"/>
                <w:color w:val="auto"/>
              </w:rPr>
              <w:t>》</w:t>
            </w:r>
            <w:r>
              <w:rPr>
                <w:rFonts w:hint="eastAsia" w:ascii="Times New Roman" w:hAnsi="Times New Roman"/>
                <w:color w:val="auto"/>
              </w:rPr>
              <w:t>（</w:t>
            </w:r>
            <w:r>
              <w:rPr>
                <w:rFonts w:ascii="Times New Roman" w:hAnsi="Times New Roman"/>
                <w:color w:val="auto"/>
              </w:rPr>
              <w:t>闽政</w:t>
            </w:r>
            <w:r>
              <w:rPr>
                <w:rFonts w:hint="eastAsia" w:ascii="Times New Roman" w:hAnsi="Times New Roman"/>
                <w:color w:val="auto"/>
                <w:lang w:eastAsia="zh-CN"/>
              </w:rPr>
              <w:t>〔2014〕</w:t>
            </w:r>
            <w:r>
              <w:rPr>
                <w:rFonts w:ascii="Times New Roman" w:hAnsi="Times New Roman"/>
                <w:color w:val="auto"/>
              </w:rPr>
              <w:t>24号</w:t>
            </w:r>
            <w:r>
              <w:rPr>
                <w:rFonts w:hint="eastAsia" w:ascii="Times New Roman" w:hAnsi="Times New Roman"/>
                <w:color w:val="auto"/>
              </w:rPr>
              <w:t>）</w:t>
            </w:r>
            <w:r>
              <w:rPr>
                <w:rFonts w:ascii="Times New Roman" w:hAnsi="Times New Roman"/>
                <w:color w:val="auto"/>
              </w:rPr>
              <w:t>、《福建省环保厅关于贯彻落实</w:t>
            </w:r>
            <w:r>
              <w:rPr>
                <w:rFonts w:hint="eastAsia"/>
                <w:color w:val="auto"/>
                <w:lang w:eastAsia="zh-CN"/>
              </w:rPr>
              <w:t>〈</w:t>
            </w:r>
            <w:r>
              <w:rPr>
                <w:rFonts w:ascii="Times New Roman" w:hAnsi="Times New Roman"/>
                <w:color w:val="auto"/>
              </w:rPr>
              <w:t>推进排污权有偿使用和交易工作的意见</w:t>
            </w:r>
            <w:r>
              <w:rPr>
                <w:rFonts w:hint="eastAsia" w:ascii="Times New Roman" w:hAnsi="Times New Roman"/>
                <w:color w:val="auto"/>
              </w:rPr>
              <w:t>（</w:t>
            </w:r>
            <w:r>
              <w:rPr>
                <w:rFonts w:ascii="Times New Roman" w:hAnsi="Times New Roman"/>
                <w:color w:val="auto"/>
              </w:rPr>
              <w:t>试行</w:t>
            </w:r>
            <w:r>
              <w:rPr>
                <w:rFonts w:hint="eastAsia" w:ascii="Times New Roman" w:hAnsi="Times New Roman"/>
                <w:color w:val="auto"/>
              </w:rPr>
              <w:t>）</w:t>
            </w:r>
            <w:r>
              <w:rPr>
                <w:rFonts w:hint="eastAsia"/>
                <w:color w:val="auto"/>
                <w:lang w:eastAsia="zh-CN"/>
              </w:rPr>
              <w:t>〉</w:t>
            </w:r>
            <w:r>
              <w:rPr>
                <w:rFonts w:ascii="Times New Roman" w:hAnsi="Times New Roman"/>
                <w:color w:val="auto"/>
              </w:rPr>
              <w:t>的通知》</w:t>
            </w:r>
            <w:r>
              <w:rPr>
                <w:rFonts w:hint="eastAsia" w:ascii="Times New Roman" w:hAnsi="Times New Roman"/>
                <w:color w:val="auto"/>
              </w:rPr>
              <w:t>（</w:t>
            </w:r>
            <w:r>
              <w:rPr>
                <w:rFonts w:ascii="Times New Roman" w:hAnsi="Times New Roman"/>
                <w:color w:val="auto"/>
              </w:rPr>
              <w:t>闽环发</w:t>
            </w:r>
            <w:r>
              <w:rPr>
                <w:rFonts w:hint="eastAsia" w:ascii="Times New Roman" w:hAnsi="Times New Roman"/>
                <w:color w:val="auto"/>
                <w:lang w:eastAsia="zh-CN"/>
              </w:rPr>
              <w:t>〔2014〕</w:t>
            </w:r>
            <w:r>
              <w:rPr>
                <w:rFonts w:ascii="Times New Roman" w:hAnsi="Times New Roman"/>
                <w:color w:val="auto"/>
              </w:rPr>
              <w:t>9号</w:t>
            </w:r>
            <w:r>
              <w:rPr>
                <w:rFonts w:hint="eastAsia" w:ascii="Times New Roman" w:hAnsi="Times New Roman"/>
                <w:color w:val="auto"/>
              </w:rPr>
              <w:t>）</w:t>
            </w:r>
            <w:r>
              <w:rPr>
                <w:rFonts w:ascii="Times New Roman" w:hAnsi="Times New Roman"/>
                <w:color w:val="auto"/>
              </w:rPr>
              <w:t>、《福建省环保厅关于环评审批中落实排污权交易工作要求的通知》</w:t>
            </w:r>
            <w:r>
              <w:rPr>
                <w:rFonts w:hint="eastAsia" w:ascii="Times New Roman" w:hAnsi="Times New Roman"/>
                <w:color w:val="auto"/>
              </w:rPr>
              <w:t>（</w:t>
            </w:r>
            <w:r>
              <w:rPr>
                <w:rFonts w:ascii="Times New Roman" w:hAnsi="Times New Roman"/>
                <w:color w:val="auto"/>
              </w:rPr>
              <w:t>闽环保评</w:t>
            </w:r>
            <w:r>
              <w:rPr>
                <w:rFonts w:hint="eastAsia" w:ascii="Times New Roman" w:hAnsi="Times New Roman"/>
                <w:color w:val="auto"/>
                <w:lang w:eastAsia="zh-CN"/>
              </w:rPr>
              <w:t>〔2014〕</w:t>
            </w:r>
            <w:r>
              <w:rPr>
                <w:rFonts w:ascii="Times New Roman" w:hAnsi="Times New Roman"/>
                <w:color w:val="auto"/>
              </w:rPr>
              <w:t>43号</w:t>
            </w:r>
            <w:r>
              <w:rPr>
                <w:rFonts w:hint="eastAsia" w:ascii="Times New Roman" w:hAnsi="Times New Roman"/>
                <w:color w:val="auto"/>
              </w:rPr>
              <w:t>）</w:t>
            </w:r>
            <w:r>
              <w:rPr>
                <w:rFonts w:ascii="Times New Roman" w:hAnsi="Times New Roman"/>
                <w:color w:val="auto"/>
              </w:rPr>
              <w:t>等有关文件要求，</w:t>
            </w:r>
            <w:r>
              <w:rPr>
                <w:color w:val="auto"/>
                <w:highlight w:val="none"/>
              </w:rPr>
              <w:t>结合本项目排污特征，确定本项目总量控制因子为挥发性有机物（以非甲烷总烃计）。</w:t>
            </w:r>
          </w:p>
          <w:p w14:paraId="1BE0F988">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bookmarkStart w:id="36" w:name="_Toc9744"/>
            <w:bookmarkStart w:id="37" w:name="_Toc17857"/>
            <w:bookmarkStart w:id="38" w:name="_Toc26157"/>
            <w:bookmarkStart w:id="39" w:name="_Toc32260"/>
            <w:r>
              <w:rPr>
                <w:rFonts w:hint="eastAsia" w:ascii="Times New Roman" w:hAnsi="Times New Roman" w:eastAsia="宋体" w:cs="Times New Roman"/>
                <w:color w:val="auto"/>
                <w:highlight w:val="none"/>
                <w:lang w:val="en-US" w:eastAsia="zh-CN"/>
              </w:rPr>
              <w:t>污染物总量控制指标</w:t>
            </w:r>
            <w:bookmarkEnd w:id="36"/>
            <w:bookmarkEnd w:id="37"/>
            <w:bookmarkEnd w:id="38"/>
            <w:bookmarkEnd w:id="39"/>
          </w:p>
          <w:p w14:paraId="323C684A">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水污染物排放总量控制</w:t>
            </w:r>
          </w:p>
          <w:p w14:paraId="4EEE4034">
            <w:pPr>
              <w:pStyle w:val="46"/>
              <w:ind w:firstLine="480"/>
              <w:rPr>
                <w:rFonts w:hint="default"/>
                <w:color w:val="auto"/>
                <w:highlight w:val="none"/>
              </w:rPr>
            </w:pPr>
            <w:r>
              <w:rPr>
                <w:rFonts w:hint="eastAsia"/>
                <w:color w:val="auto"/>
                <w:highlight w:val="none"/>
                <w:lang w:eastAsia="zh-CN"/>
              </w:rPr>
              <w:t>福清市第二污水处理厂</w:t>
            </w:r>
            <w:r>
              <w:rPr>
                <w:rFonts w:hint="default"/>
                <w:color w:val="auto"/>
                <w:highlight w:val="none"/>
              </w:rPr>
              <w:t>出水排放执行《城镇污水处理厂污染物排放标准》（GB18918-2002）中一级</w:t>
            </w:r>
            <w:r>
              <w:rPr>
                <w:rFonts w:hint="default"/>
                <w:color w:val="auto"/>
                <w:highlight w:val="none"/>
                <w:lang w:val="en-US" w:eastAsia="zh-CN"/>
              </w:rPr>
              <w:t>A</w:t>
            </w:r>
            <w:r>
              <w:rPr>
                <w:rFonts w:hint="default"/>
                <w:color w:val="auto"/>
                <w:highlight w:val="none"/>
              </w:rPr>
              <w:t>排放标准：COD</w:t>
            </w:r>
            <w:r>
              <w:rPr>
                <w:rFonts w:hint="eastAsia"/>
                <w:color w:val="auto"/>
                <w:highlight w:val="none"/>
                <w:lang w:eastAsia="zh-CN"/>
              </w:rPr>
              <w:t>为</w:t>
            </w:r>
            <w:r>
              <w:rPr>
                <w:rFonts w:hint="default"/>
                <w:color w:val="auto"/>
                <w:highlight w:val="none"/>
                <w:lang w:val="en-US" w:eastAsia="zh-CN"/>
              </w:rPr>
              <w:t>50</w:t>
            </w:r>
            <w:r>
              <w:rPr>
                <w:rFonts w:hint="default"/>
                <w:color w:val="auto"/>
                <w:highlight w:val="none"/>
              </w:rPr>
              <w:t>mg/L、氨氮</w:t>
            </w:r>
            <w:r>
              <w:rPr>
                <w:rFonts w:hint="eastAsia"/>
                <w:color w:val="auto"/>
                <w:highlight w:val="none"/>
                <w:lang w:eastAsia="zh-CN"/>
              </w:rPr>
              <w:t>为</w:t>
            </w:r>
            <w:r>
              <w:rPr>
                <w:rFonts w:hint="default"/>
                <w:color w:val="auto"/>
                <w:highlight w:val="none"/>
                <w:lang w:val="en-US" w:eastAsia="zh-CN"/>
              </w:rPr>
              <w:t>5</w:t>
            </w:r>
            <w:r>
              <w:rPr>
                <w:rFonts w:hint="default"/>
                <w:color w:val="auto"/>
                <w:highlight w:val="none"/>
              </w:rPr>
              <w:t>mg/L，统一处理后项目污染物排放总量详见表</w:t>
            </w:r>
            <w:r>
              <w:rPr>
                <w:rFonts w:hint="default"/>
                <w:color w:val="auto"/>
                <w:highlight w:val="none"/>
                <w:lang w:val="en-US" w:eastAsia="zh-CN"/>
              </w:rPr>
              <w:t>3.</w:t>
            </w:r>
            <w:r>
              <w:rPr>
                <w:rFonts w:hint="eastAsia"/>
                <w:color w:val="auto"/>
                <w:highlight w:val="none"/>
                <w:lang w:val="en-US" w:eastAsia="zh-CN"/>
              </w:rPr>
              <w:t>4</w:t>
            </w:r>
            <w:r>
              <w:rPr>
                <w:rFonts w:hint="default"/>
                <w:color w:val="auto"/>
                <w:highlight w:val="none"/>
              </w:rPr>
              <w:t>-1。</w:t>
            </w:r>
          </w:p>
          <w:p w14:paraId="2E9D45E9">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本项目水污染物排放总量指标</w:t>
            </w:r>
          </w:p>
          <w:tbl>
            <w:tblPr>
              <w:tblStyle w:val="34"/>
              <w:tblW w:w="7971"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66"/>
              <w:gridCol w:w="936"/>
              <w:gridCol w:w="1225"/>
              <w:gridCol w:w="1137"/>
              <w:gridCol w:w="2996"/>
            </w:tblGrid>
            <w:tr w14:paraId="4F7FF6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11" w:type="dxa"/>
                  <w:tcBorders>
                    <w:top w:val="single" w:color="auto" w:sz="12" w:space="0"/>
                    <w:left w:val="nil"/>
                    <w:bottom w:val="single" w:color="auto" w:sz="12" w:space="0"/>
                    <w:right w:val="single" w:color="auto" w:sz="4" w:space="0"/>
                  </w:tcBorders>
                  <w:vAlign w:val="center"/>
                </w:tcPr>
                <w:p w14:paraId="7798479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p>
              </w:tc>
              <w:tc>
                <w:tcPr>
                  <w:tcW w:w="4164" w:type="dxa"/>
                  <w:gridSpan w:val="4"/>
                  <w:tcBorders>
                    <w:top w:val="single" w:color="auto" w:sz="12" w:space="0"/>
                    <w:left w:val="single" w:color="auto" w:sz="4" w:space="0"/>
                    <w:bottom w:val="single" w:color="auto" w:sz="12" w:space="0"/>
                    <w:right w:val="single" w:color="auto" w:sz="4" w:space="0"/>
                  </w:tcBorders>
                  <w:vAlign w:val="center"/>
                </w:tcPr>
                <w:p w14:paraId="4D7F199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建议最终排入环境控制指标</w:t>
                  </w:r>
                </w:p>
              </w:tc>
              <w:tc>
                <w:tcPr>
                  <w:tcW w:w="2996" w:type="dxa"/>
                  <w:tcBorders>
                    <w:top w:val="single" w:color="auto" w:sz="12" w:space="0"/>
                    <w:left w:val="single" w:color="auto" w:sz="4" w:space="0"/>
                    <w:bottom w:val="single" w:color="auto" w:sz="12" w:space="0"/>
                    <w:right w:val="nil"/>
                  </w:tcBorders>
                  <w:vAlign w:val="center"/>
                </w:tcPr>
                <w:p w14:paraId="412FE70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建议申报指标t/a</w:t>
                  </w:r>
                </w:p>
              </w:tc>
            </w:tr>
            <w:tr w14:paraId="22F8B1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1" w:type="dxa"/>
                  <w:tcBorders>
                    <w:top w:val="single" w:color="auto" w:sz="12" w:space="0"/>
                    <w:left w:val="nil"/>
                    <w:bottom w:val="single" w:color="auto" w:sz="4" w:space="0"/>
                    <w:right w:val="single" w:color="auto" w:sz="4" w:space="0"/>
                  </w:tcBorders>
                  <w:vAlign w:val="center"/>
                </w:tcPr>
                <w:p w14:paraId="1CBC93E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866" w:type="dxa"/>
                  <w:tcBorders>
                    <w:top w:val="single" w:color="auto" w:sz="12" w:space="0"/>
                    <w:left w:val="single" w:color="auto" w:sz="4" w:space="0"/>
                    <w:bottom w:val="single" w:color="auto" w:sz="4" w:space="0"/>
                    <w:right w:val="single" w:color="auto" w:sz="4" w:space="0"/>
                  </w:tcBorders>
                  <w:vAlign w:val="center"/>
                </w:tcPr>
                <w:p w14:paraId="675F83F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排放浓度mg/L</w:t>
                  </w:r>
                </w:p>
              </w:tc>
              <w:tc>
                <w:tcPr>
                  <w:tcW w:w="936" w:type="dxa"/>
                  <w:tcBorders>
                    <w:top w:val="single" w:color="auto" w:sz="12" w:space="0"/>
                    <w:left w:val="single" w:color="auto" w:sz="4" w:space="0"/>
                    <w:bottom w:val="single" w:color="auto" w:sz="4" w:space="0"/>
                    <w:right w:val="single" w:color="auto" w:sz="4" w:space="0"/>
                  </w:tcBorders>
                  <w:vAlign w:val="center"/>
                </w:tcPr>
                <w:p w14:paraId="000617E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总排放量t/a</w:t>
                  </w:r>
                </w:p>
              </w:tc>
              <w:tc>
                <w:tcPr>
                  <w:tcW w:w="1225" w:type="dxa"/>
                  <w:tcBorders>
                    <w:top w:val="single" w:color="auto" w:sz="12" w:space="0"/>
                    <w:left w:val="single" w:color="auto" w:sz="4" w:space="0"/>
                    <w:bottom w:val="single" w:color="auto" w:sz="4" w:space="0"/>
                    <w:right w:val="single" w:color="auto" w:sz="4" w:space="0"/>
                  </w:tcBorders>
                  <w:vAlign w:val="center"/>
                </w:tcPr>
                <w:p w14:paraId="24E873E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生产废水排放量t/a</w:t>
                  </w:r>
                </w:p>
              </w:tc>
              <w:tc>
                <w:tcPr>
                  <w:tcW w:w="1137" w:type="dxa"/>
                  <w:tcBorders>
                    <w:top w:val="single" w:color="auto" w:sz="12" w:space="0"/>
                    <w:left w:val="single" w:color="auto" w:sz="4" w:space="0"/>
                    <w:bottom w:val="single" w:color="auto" w:sz="4" w:space="0"/>
                    <w:right w:val="single" w:color="auto" w:sz="4" w:space="0"/>
                  </w:tcBorders>
                  <w:vAlign w:val="center"/>
                </w:tcPr>
                <w:p w14:paraId="5F3A45F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生活污水排放量t/a</w:t>
                  </w:r>
                </w:p>
              </w:tc>
              <w:tc>
                <w:tcPr>
                  <w:tcW w:w="2996" w:type="dxa"/>
                  <w:tcBorders>
                    <w:top w:val="single" w:color="auto" w:sz="12" w:space="0"/>
                    <w:left w:val="single" w:color="auto" w:sz="4" w:space="0"/>
                    <w:bottom w:val="single" w:color="auto" w:sz="4" w:space="0"/>
                    <w:right w:val="nil"/>
                  </w:tcBorders>
                  <w:vAlign w:val="center"/>
                </w:tcPr>
                <w:p w14:paraId="7775AF8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eastAsia="zh-CN"/>
                    </w:rPr>
                    <w:t>污水</w:t>
                  </w:r>
                  <w:r>
                    <w:rPr>
                      <w:rFonts w:hint="eastAsia" w:cs="Times New Roman"/>
                      <w:color w:val="auto"/>
                      <w:sz w:val="21"/>
                      <w:szCs w:val="21"/>
                      <w:highlight w:val="none"/>
                      <w:lang w:eastAsia="zh-CN"/>
                    </w:rPr>
                    <w:t>处理厂中</w:t>
                  </w:r>
                  <w:r>
                    <w:rPr>
                      <w:rFonts w:hint="default" w:ascii="Times New Roman" w:hAnsi="Times New Roman" w:eastAsia="宋体" w:cs="Times New Roman"/>
                      <w:color w:val="auto"/>
                      <w:sz w:val="21"/>
                      <w:szCs w:val="21"/>
                      <w:highlight w:val="none"/>
                    </w:rPr>
                    <w:t>调配</w:t>
                  </w:r>
                </w:p>
              </w:tc>
            </w:tr>
            <w:tr w14:paraId="515064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11" w:type="dxa"/>
                  <w:tcBorders>
                    <w:top w:val="single" w:color="auto" w:sz="4" w:space="0"/>
                    <w:left w:val="nil"/>
                    <w:bottom w:val="single" w:color="auto" w:sz="4" w:space="0"/>
                    <w:right w:val="single" w:color="auto" w:sz="4" w:space="0"/>
                  </w:tcBorders>
                  <w:vAlign w:val="center"/>
                </w:tcPr>
                <w:p w14:paraId="35302CE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866" w:type="dxa"/>
                  <w:tcBorders>
                    <w:top w:val="single" w:color="auto" w:sz="4" w:space="0"/>
                    <w:left w:val="single" w:color="auto" w:sz="4" w:space="0"/>
                    <w:bottom w:val="single" w:color="auto" w:sz="4" w:space="0"/>
                    <w:right w:val="single" w:color="auto" w:sz="4" w:space="0"/>
                  </w:tcBorders>
                  <w:vAlign w:val="center"/>
                </w:tcPr>
                <w:p w14:paraId="263D8006">
                  <w:pPr>
                    <w:pStyle w:val="15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936" w:type="dxa"/>
                  <w:tcBorders>
                    <w:top w:val="single" w:color="auto" w:sz="4" w:space="0"/>
                    <w:left w:val="single" w:color="auto" w:sz="4" w:space="0"/>
                    <w:bottom w:val="single" w:color="auto" w:sz="4" w:space="0"/>
                    <w:right w:val="single" w:color="auto" w:sz="4" w:space="0"/>
                  </w:tcBorders>
                  <w:vAlign w:val="center"/>
                </w:tcPr>
                <w:p w14:paraId="65BC7EB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1140</w:t>
                  </w:r>
                </w:p>
              </w:tc>
              <w:tc>
                <w:tcPr>
                  <w:tcW w:w="1225" w:type="dxa"/>
                  <w:tcBorders>
                    <w:top w:val="single" w:color="auto" w:sz="4" w:space="0"/>
                    <w:left w:val="single" w:color="auto" w:sz="4" w:space="0"/>
                    <w:bottom w:val="single" w:color="auto" w:sz="4" w:space="0"/>
                    <w:right w:val="single" w:color="auto" w:sz="4" w:space="0"/>
                  </w:tcBorders>
                  <w:vAlign w:val="center"/>
                </w:tcPr>
                <w:p w14:paraId="7314273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780</w:t>
                  </w:r>
                </w:p>
              </w:tc>
              <w:tc>
                <w:tcPr>
                  <w:tcW w:w="1137" w:type="dxa"/>
                  <w:tcBorders>
                    <w:top w:val="single" w:color="auto" w:sz="4" w:space="0"/>
                    <w:left w:val="single" w:color="auto" w:sz="4" w:space="0"/>
                    <w:bottom w:val="single" w:color="auto" w:sz="4" w:space="0"/>
                    <w:right w:val="single" w:color="auto" w:sz="4" w:space="0"/>
                  </w:tcBorders>
                  <w:vAlign w:val="center"/>
                </w:tcPr>
                <w:p w14:paraId="12CA57A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2996" w:type="dxa"/>
                  <w:tcBorders>
                    <w:top w:val="single" w:color="auto" w:sz="4" w:space="0"/>
                    <w:left w:val="single" w:color="auto" w:sz="4" w:space="0"/>
                    <w:bottom w:val="single" w:color="auto" w:sz="4" w:space="0"/>
                    <w:right w:val="nil"/>
                  </w:tcBorders>
                  <w:vAlign w:val="center"/>
                </w:tcPr>
                <w:p w14:paraId="572887E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780</w:t>
                  </w:r>
                </w:p>
              </w:tc>
            </w:tr>
            <w:tr w14:paraId="182D2D6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11" w:type="dxa"/>
                  <w:tcBorders>
                    <w:top w:val="single" w:color="auto" w:sz="4" w:space="0"/>
                    <w:left w:val="nil"/>
                    <w:bottom w:val="single" w:color="auto" w:sz="4" w:space="0"/>
                    <w:right w:val="single" w:color="auto" w:sz="4" w:space="0"/>
                  </w:tcBorders>
                  <w:vAlign w:val="center"/>
                </w:tcPr>
                <w:p w14:paraId="642E6A3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866" w:type="dxa"/>
                  <w:tcBorders>
                    <w:top w:val="single" w:color="auto" w:sz="4" w:space="0"/>
                    <w:left w:val="single" w:color="auto" w:sz="4" w:space="0"/>
                    <w:bottom w:val="single" w:color="auto" w:sz="4" w:space="0"/>
                    <w:right w:val="single" w:color="auto" w:sz="4" w:space="0"/>
                  </w:tcBorders>
                  <w:vAlign w:val="center"/>
                </w:tcPr>
                <w:p w14:paraId="30385F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6" w:type="dxa"/>
                  <w:tcBorders>
                    <w:top w:val="single" w:color="auto" w:sz="4" w:space="0"/>
                    <w:left w:val="single" w:color="auto" w:sz="4" w:space="0"/>
                    <w:bottom w:val="single" w:color="auto" w:sz="4" w:space="0"/>
                    <w:right w:val="single" w:color="auto" w:sz="4" w:space="0"/>
                  </w:tcBorders>
                  <w:vAlign w:val="center"/>
                </w:tcPr>
                <w:p w14:paraId="68C92E5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w:t>
                  </w:r>
                </w:p>
              </w:tc>
              <w:tc>
                <w:tcPr>
                  <w:tcW w:w="1225" w:type="dxa"/>
                  <w:tcBorders>
                    <w:top w:val="single" w:color="auto" w:sz="4" w:space="0"/>
                    <w:left w:val="single" w:color="auto" w:sz="4" w:space="0"/>
                    <w:bottom w:val="single" w:color="auto" w:sz="4" w:space="0"/>
                    <w:right w:val="single" w:color="auto" w:sz="4" w:space="0"/>
                  </w:tcBorders>
                  <w:vAlign w:val="center"/>
                </w:tcPr>
                <w:p w14:paraId="2A6273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0.039</w:t>
                  </w:r>
                </w:p>
              </w:tc>
              <w:tc>
                <w:tcPr>
                  <w:tcW w:w="1137" w:type="dxa"/>
                  <w:tcBorders>
                    <w:top w:val="single" w:color="auto" w:sz="4" w:space="0"/>
                    <w:left w:val="single" w:color="auto" w:sz="4" w:space="0"/>
                    <w:bottom w:val="single" w:color="auto" w:sz="4" w:space="0"/>
                    <w:right w:val="single" w:color="auto" w:sz="4" w:space="0"/>
                  </w:tcBorders>
                  <w:vAlign w:val="center"/>
                </w:tcPr>
                <w:p w14:paraId="27627E2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2996" w:type="dxa"/>
                  <w:tcBorders>
                    <w:top w:val="single" w:color="auto" w:sz="4" w:space="0"/>
                    <w:left w:val="single" w:color="auto" w:sz="4" w:space="0"/>
                    <w:bottom w:val="single" w:color="auto" w:sz="4" w:space="0"/>
                    <w:right w:val="nil"/>
                  </w:tcBorders>
                  <w:vAlign w:val="center"/>
                </w:tcPr>
                <w:p w14:paraId="5F9A560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0.039</w:t>
                  </w:r>
                </w:p>
              </w:tc>
            </w:tr>
            <w:tr w14:paraId="7BE926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1" w:type="dxa"/>
                  <w:tcBorders>
                    <w:top w:val="single" w:color="auto" w:sz="4" w:space="0"/>
                    <w:left w:val="nil"/>
                    <w:bottom w:val="single" w:color="auto" w:sz="12" w:space="0"/>
                    <w:right w:val="single" w:color="auto" w:sz="4" w:space="0"/>
                  </w:tcBorders>
                  <w:vAlign w:val="center"/>
                </w:tcPr>
                <w:p w14:paraId="70B6EF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866" w:type="dxa"/>
                  <w:tcBorders>
                    <w:top w:val="single" w:color="auto" w:sz="4" w:space="0"/>
                    <w:left w:val="single" w:color="auto" w:sz="4" w:space="0"/>
                    <w:bottom w:val="single" w:color="auto" w:sz="12" w:space="0"/>
                    <w:right w:val="single" w:color="auto" w:sz="4" w:space="0"/>
                  </w:tcBorders>
                  <w:vAlign w:val="center"/>
                </w:tcPr>
                <w:p w14:paraId="052D48A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936" w:type="dxa"/>
                  <w:tcBorders>
                    <w:top w:val="single" w:color="auto" w:sz="4" w:space="0"/>
                    <w:left w:val="single" w:color="auto" w:sz="4" w:space="0"/>
                    <w:bottom w:val="single" w:color="auto" w:sz="12" w:space="0"/>
                    <w:right w:val="single" w:color="auto" w:sz="4" w:space="0"/>
                  </w:tcBorders>
                  <w:vAlign w:val="center"/>
                </w:tcPr>
                <w:p w14:paraId="0FFB794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0.0057</w:t>
                  </w:r>
                </w:p>
              </w:tc>
              <w:tc>
                <w:tcPr>
                  <w:tcW w:w="1225" w:type="dxa"/>
                  <w:tcBorders>
                    <w:top w:val="single" w:color="auto" w:sz="4" w:space="0"/>
                    <w:left w:val="single" w:color="auto" w:sz="4" w:space="0"/>
                    <w:bottom w:val="single" w:color="auto" w:sz="12" w:space="0"/>
                    <w:right w:val="single" w:color="auto" w:sz="4" w:space="0"/>
                  </w:tcBorders>
                  <w:vAlign w:val="center"/>
                </w:tcPr>
                <w:p w14:paraId="5F7A257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0.0039</w:t>
                  </w:r>
                </w:p>
              </w:tc>
              <w:tc>
                <w:tcPr>
                  <w:tcW w:w="1137" w:type="dxa"/>
                  <w:tcBorders>
                    <w:top w:val="single" w:color="auto" w:sz="4" w:space="0"/>
                    <w:left w:val="single" w:color="auto" w:sz="4" w:space="0"/>
                    <w:bottom w:val="single" w:color="auto" w:sz="12" w:space="0"/>
                    <w:right w:val="single" w:color="auto" w:sz="4" w:space="0"/>
                  </w:tcBorders>
                  <w:vAlign w:val="center"/>
                </w:tcPr>
                <w:p w14:paraId="7FDF9D0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0.0018</w:t>
                  </w:r>
                </w:p>
              </w:tc>
              <w:tc>
                <w:tcPr>
                  <w:tcW w:w="2996" w:type="dxa"/>
                  <w:tcBorders>
                    <w:top w:val="single" w:color="auto" w:sz="4" w:space="0"/>
                    <w:left w:val="single" w:color="auto" w:sz="4" w:space="0"/>
                    <w:bottom w:val="single" w:color="auto" w:sz="12" w:space="0"/>
                    <w:right w:val="nil"/>
                  </w:tcBorders>
                  <w:vAlign w:val="center"/>
                </w:tcPr>
                <w:p w14:paraId="7D135B0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0.0039</w:t>
                  </w:r>
                </w:p>
              </w:tc>
            </w:tr>
          </w:tbl>
          <w:p w14:paraId="0E1FB7C1">
            <w:pPr>
              <w:rPr>
                <w:rFonts w:hint="default"/>
                <w:color w:val="auto"/>
                <w:lang w:val="en-US" w:eastAsia="zh-CN"/>
              </w:rPr>
            </w:pPr>
          </w:p>
          <w:p w14:paraId="023B5FED">
            <w:pPr>
              <w:pStyle w:val="46"/>
              <w:ind w:firstLine="480"/>
              <w:rPr>
                <w:color w:val="auto"/>
                <w:highlight w:val="none"/>
              </w:rPr>
            </w:pPr>
            <w:r>
              <w:rPr>
                <w:color w:val="auto"/>
                <w:highlight w:val="none"/>
              </w:rPr>
              <w:t>根据《福建省环保厅关于进一步加快推进排污权有偿使用和交易工作的意见》（闽环发</w:t>
            </w:r>
            <w:r>
              <w:rPr>
                <w:rFonts w:hint="eastAsia"/>
                <w:color w:val="auto"/>
                <w:highlight w:val="none"/>
                <w:lang w:eastAsia="zh-CN"/>
              </w:rPr>
              <w:t>〔</w:t>
            </w:r>
            <w:r>
              <w:rPr>
                <w:color w:val="auto"/>
                <w:highlight w:val="none"/>
              </w:rPr>
              <w:t>2015</w:t>
            </w:r>
            <w:r>
              <w:rPr>
                <w:rFonts w:hint="eastAsia"/>
                <w:color w:val="auto"/>
                <w:highlight w:val="none"/>
                <w:lang w:eastAsia="zh-CN"/>
              </w:rPr>
              <w:t>〕</w:t>
            </w:r>
            <w:r>
              <w:rPr>
                <w:color w:val="auto"/>
                <w:highlight w:val="none"/>
              </w:rPr>
              <w:t>6号）中相关规定</w:t>
            </w:r>
            <w:r>
              <w:rPr>
                <w:rFonts w:hint="eastAsia"/>
                <w:color w:val="auto"/>
                <w:highlight w:val="none"/>
                <w:lang w:eastAsia="zh-CN"/>
              </w:rPr>
              <w:t>“</w:t>
            </w:r>
            <w:r>
              <w:rPr>
                <w:color w:val="auto"/>
                <w:highlight w:val="none"/>
              </w:rPr>
              <w:t>对于水污染物，仅核定工业废水部分</w:t>
            </w:r>
            <w:r>
              <w:rPr>
                <w:rFonts w:hint="eastAsia"/>
                <w:color w:val="auto"/>
                <w:highlight w:val="none"/>
                <w:lang w:eastAsia="zh-CN"/>
              </w:rPr>
              <w:t>”</w:t>
            </w:r>
            <w:r>
              <w:rPr>
                <w:color w:val="auto"/>
                <w:highlight w:val="none"/>
              </w:rPr>
              <w:t>，因此，本项目生活污水中COD、氨氮无需购买总量。</w:t>
            </w:r>
          </w:p>
          <w:p w14:paraId="44F34397">
            <w:pPr>
              <w:pStyle w:val="46"/>
              <w:ind w:firstLine="480"/>
              <w:rPr>
                <w:rFonts w:hint="default" w:eastAsia="宋体"/>
                <w:color w:val="auto"/>
                <w:highlight w:val="none"/>
                <w:lang w:val="en-US" w:eastAsia="zh-CN"/>
              </w:rPr>
            </w:pPr>
            <w:r>
              <w:rPr>
                <w:color w:val="auto"/>
                <w:highlight w:val="none"/>
              </w:rPr>
              <w:t>项目建成实施后生产废水经污水处理设施处理后，排入</w:t>
            </w:r>
            <w:r>
              <w:rPr>
                <w:rFonts w:hint="eastAsia"/>
                <w:color w:val="auto"/>
                <w:highlight w:val="none"/>
                <w:lang w:eastAsia="zh-CN"/>
              </w:rPr>
              <w:t>福清市第二污水处理厂</w:t>
            </w:r>
            <w:r>
              <w:rPr>
                <w:color w:val="auto"/>
                <w:highlight w:val="none"/>
              </w:rPr>
              <w:t>处理；本项目生活污水经化粪池处理后排入</w:t>
            </w:r>
            <w:r>
              <w:rPr>
                <w:rFonts w:hint="eastAsia"/>
                <w:color w:val="auto"/>
                <w:highlight w:val="none"/>
                <w:lang w:eastAsia="zh-CN"/>
              </w:rPr>
              <w:t>福清市第二污水处理厂</w:t>
            </w:r>
            <w:r>
              <w:rPr>
                <w:color w:val="auto"/>
                <w:highlight w:val="none"/>
              </w:rPr>
              <w:t>处理，COD（化学需氧量）、NH</w:t>
            </w:r>
            <w:r>
              <w:rPr>
                <w:color w:val="auto"/>
                <w:highlight w:val="none"/>
                <w:vertAlign w:val="subscript"/>
              </w:rPr>
              <w:t>3</w:t>
            </w:r>
            <w:r>
              <w:rPr>
                <w:color w:val="auto"/>
                <w:highlight w:val="none"/>
              </w:rPr>
              <w:t>-N（氨氮）纳入污水处理厂总量指标，本项目不再单独申请。</w:t>
            </w:r>
          </w:p>
          <w:p w14:paraId="55B647EA">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大气污染物总量控制</w:t>
            </w:r>
          </w:p>
          <w:p w14:paraId="39A737C2">
            <w:pPr>
              <w:pStyle w:val="144"/>
              <w:adjustRightInd/>
              <w:snapToGrid/>
              <w:ind w:firstLine="31680"/>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本项目</w:t>
            </w:r>
            <w:r>
              <w:rPr>
                <w:rFonts w:hint="eastAsia" w:ascii="Times New Roman" w:hAnsi="Times New Roman" w:eastAsia="宋体"/>
                <w:color w:val="auto"/>
                <w:highlight w:val="none"/>
                <w:lang w:val="en-US" w:eastAsia="zh-CN"/>
              </w:rPr>
              <w:t>大气</w:t>
            </w:r>
            <w:r>
              <w:rPr>
                <w:rFonts w:hint="eastAsia" w:ascii="Times New Roman" w:hAnsi="Times New Roman" w:eastAsia="宋体"/>
                <w:color w:val="auto"/>
                <w:szCs w:val="24"/>
                <w:highlight w:val="none"/>
              </w:rPr>
              <w:t>污染物主要为</w:t>
            </w:r>
            <w:r>
              <w:rPr>
                <w:rFonts w:hint="eastAsia" w:ascii="Times New Roman" w:hAnsi="Times New Roman" w:eastAsia="宋体"/>
                <w:color w:val="auto"/>
                <w:szCs w:val="24"/>
                <w:highlight w:val="none"/>
                <w:lang w:val="en-US" w:eastAsia="zh-CN"/>
              </w:rPr>
              <w:t>VOCs</w:t>
            </w:r>
            <w:r>
              <w:rPr>
                <w:rFonts w:hint="eastAsia"/>
                <w:color w:val="auto"/>
                <w:szCs w:val="24"/>
                <w:highlight w:val="none"/>
                <w:lang w:val="en-US" w:eastAsia="zh-CN"/>
              </w:rPr>
              <w:t>、SO</w:t>
            </w:r>
            <w:r>
              <w:rPr>
                <w:rFonts w:hint="eastAsia"/>
                <w:color w:val="auto"/>
                <w:szCs w:val="24"/>
                <w:highlight w:val="none"/>
                <w:vertAlign w:val="subscript"/>
                <w:lang w:val="en-US" w:eastAsia="zh-CN"/>
              </w:rPr>
              <w:t>2</w:t>
            </w:r>
            <w:r>
              <w:rPr>
                <w:rFonts w:hint="eastAsia"/>
                <w:color w:val="auto"/>
                <w:szCs w:val="24"/>
                <w:highlight w:val="none"/>
                <w:lang w:val="en-US" w:eastAsia="zh-CN"/>
              </w:rPr>
              <w:t>、NOx</w:t>
            </w:r>
            <w:r>
              <w:rPr>
                <w:rFonts w:hint="eastAsia" w:ascii="Times New Roman" w:hAnsi="Times New Roman" w:eastAsia="宋体"/>
                <w:color w:val="auto"/>
                <w:szCs w:val="24"/>
                <w:highlight w:val="none"/>
              </w:rPr>
              <w:t>。项目总量控制指标见表</w:t>
            </w:r>
            <w:r>
              <w:rPr>
                <w:rFonts w:hint="eastAsia" w:ascii="Times New Roman" w:hAnsi="Times New Roman" w:eastAsia="宋体"/>
                <w:color w:val="auto"/>
                <w:szCs w:val="24"/>
                <w:highlight w:val="none"/>
                <w:lang w:val="en-US" w:eastAsia="zh-CN"/>
              </w:rPr>
              <w:t>3.4-</w:t>
            </w:r>
            <w:r>
              <w:rPr>
                <w:rFonts w:hint="eastAsia"/>
                <w:color w:val="auto"/>
                <w:szCs w:val="24"/>
                <w:highlight w:val="none"/>
                <w:lang w:val="en-US" w:eastAsia="zh-CN"/>
              </w:rPr>
              <w:t>2</w:t>
            </w:r>
            <w:r>
              <w:rPr>
                <w:rFonts w:hint="eastAsia" w:ascii="Times New Roman" w:hAnsi="Times New Roman" w:eastAsia="宋体"/>
                <w:color w:val="auto"/>
                <w:szCs w:val="24"/>
                <w:highlight w:val="none"/>
              </w:rPr>
              <w:t>。</w:t>
            </w:r>
          </w:p>
          <w:p w14:paraId="12C7B281">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项目废气总量控制指标</w:t>
            </w:r>
          </w:p>
          <w:tbl>
            <w:tblPr>
              <w:tblStyle w:val="86"/>
              <w:tblW w:w="7971"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1592"/>
              <w:gridCol w:w="1744"/>
              <w:gridCol w:w="1744"/>
              <w:gridCol w:w="1749"/>
            </w:tblGrid>
            <w:tr w14:paraId="781F7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142" w:type="dxa"/>
                  <w:tcBorders>
                    <w:bottom w:val="single" w:color="000000" w:sz="12" w:space="0"/>
                  </w:tcBorders>
                  <w:vAlign w:val="center"/>
                </w:tcPr>
                <w:p w14:paraId="3C37A13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类别</w:t>
                  </w:r>
                </w:p>
              </w:tc>
              <w:tc>
                <w:tcPr>
                  <w:tcW w:w="1592" w:type="dxa"/>
                  <w:tcBorders>
                    <w:bottom w:val="single" w:color="000000" w:sz="12" w:space="0"/>
                  </w:tcBorders>
                  <w:vAlign w:val="center"/>
                </w:tcPr>
                <w:p w14:paraId="33310C3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主要污染物</w:t>
                  </w:r>
                </w:p>
              </w:tc>
              <w:tc>
                <w:tcPr>
                  <w:tcW w:w="1744" w:type="dxa"/>
                  <w:tcBorders>
                    <w:bottom w:val="single" w:color="000000" w:sz="12" w:space="0"/>
                  </w:tcBorders>
                  <w:vAlign w:val="center"/>
                </w:tcPr>
                <w:p w14:paraId="7473CDA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有组织</w:t>
                  </w:r>
                  <w:r>
                    <w:rPr>
                      <w:rFonts w:hint="eastAsia" w:ascii="Times New Roman" w:hAnsi="Times New Roman" w:eastAsia="宋体"/>
                      <w:color w:val="auto"/>
                      <w:highlight w:val="none"/>
                      <w:lang w:val="en-US" w:eastAsia="zh-CN"/>
                    </w:rPr>
                    <w:t>t/a</w:t>
                  </w:r>
                </w:p>
              </w:tc>
              <w:tc>
                <w:tcPr>
                  <w:tcW w:w="1744" w:type="dxa"/>
                  <w:tcBorders>
                    <w:bottom w:val="single" w:color="000000" w:sz="12" w:space="0"/>
                  </w:tcBorders>
                  <w:vAlign w:val="center"/>
                </w:tcPr>
                <w:p w14:paraId="58F7105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无组织</w:t>
                  </w:r>
                  <w:r>
                    <w:rPr>
                      <w:rFonts w:hint="eastAsia" w:ascii="Times New Roman" w:hAnsi="Times New Roman" w:eastAsia="宋体"/>
                      <w:color w:val="auto"/>
                      <w:highlight w:val="none"/>
                      <w:lang w:val="en-US" w:eastAsia="zh-CN"/>
                    </w:rPr>
                    <w:t>t/a</w:t>
                  </w:r>
                </w:p>
              </w:tc>
              <w:tc>
                <w:tcPr>
                  <w:tcW w:w="1749" w:type="dxa"/>
                  <w:tcBorders>
                    <w:bottom w:val="single" w:color="000000" w:sz="12" w:space="0"/>
                  </w:tcBorders>
                  <w:vAlign w:val="center"/>
                </w:tcPr>
                <w:p w14:paraId="45614E9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全厂排放量</w:t>
                  </w:r>
                  <w:r>
                    <w:rPr>
                      <w:rFonts w:hint="eastAsia" w:ascii="Times New Roman" w:hAnsi="Times New Roman" w:eastAsia="宋体"/>
                      <w:color w:val="auto"/>
                      <w:highlight w:val="none"/>
                      <w:lang w:val="en-US" w:eastAsia="zh-CN"/>
                    </w:rPr>
                    <w:t>t/a</w:t>
                  </w:r>
                </w:p>
              </w:tc>
            </w:tr>
            <w:tr w14:paraId="3251DD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1142" w:type="dxa"/>
                  <w:vMerge w:val="restart"/>
                  <w:tcBorders>
                    <w:top w:val="single" w:color="000000" w:sz="12" w:space="0"/>
                    <w:tl2br w:val="nil"/>
                    <w:tr2bl w:val="nil"/>
                  </w:tcBorders>
                  <w:vAlign w:val="center"/>
                </w:tcPr>
                <w:p w14:paraId="3AB7D6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p w14:paraId="5A326C3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废气</w:t>
                  </w:r>
                </w:p>
              </w:tc>
              <w:tc>
                <w:tcPr>
                  <w:tcW w:w="1592" w:type="dxa"/>
                  <w:tcBorders>
                    <w:top w:val="single" w:color="000000" w:sz="12" w:space="0"/>
                    <w:tl2br w:val="nil"/>
                    <w:tr2bl w:val="nil"/>
                  </w:tcBorders>
                  <w:vAlign w:val="center"/>
                </w:tcPr>
                <w:p w14:paraId="518AA9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5"/>
                      <w:sz w:val="21"/>
                      <w:szCs w:val="20"/>
                      <w:highlight w:val="none"/>
                    </w:rPr>
                    <w:t>VOCs</w:t>
                  </w:r>
                </w:p>
              </w:tc>
              <w:tc>
                <w:tcPr>
                  <w:tcW w:w="1744" w:type="dxa"/>
                  <w:tcBorders>
                    <w:top w:val="single" w:color="000000" w:sz="12" w:space="0"/>
                    <w:tl2br w:val="nil"/>
                    <w:tr2bl w:val="nil"/>
                  </w:tcBorders>
                  <w:vAlign w:val="top"/>
                </w:tcPr>
                <w:p w14:paraId="2286C9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0.6123</w:t>
                  </w:r>
                </w:p>
              </w:tc>
              <w:tc>
                <w:tcPr>
                  <w:tcW w:w="1744" w:type="dxa"/>
                  <w:tcBorders>
                    <w:top w:val="single" w:color="000000" w:sz="12" w:space="0"/>
                    <w:tl2br w:val="nil"/>
                    <w:tr2bl w:val="nil"/>
                  </w:tcBorders>
                  <w:vAlign w:val="top"/>
                </w:tcPr>
                <w:p w14:paraId="1D01F6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0.2721</w:t>
                  </w:r>
                </w:p>
              </w:tc>
              <w:tc>
                <w:tcPr>
                  <w:tcW w:w="1749" w:type="dxa"/>
                  <w:tcBorders>
                    <w:top w:val="single" w:color="000000" w:sz="12" w:space="0"/>
                    <w:tl2br w:val="nil"/>
                    <w:tr2bl w:val="nil"/>
                  </w:tcBorders>
                  <w:vAlign w:val="top"/>
                </w:tcPr>
                <w:p w14:paraId="5C17B1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0.8845</w:t>
                  </w:r>
                </w:p>
              </w:tc>
            </w:tr>
            <w:tr w14:paraId="7E2B16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1142" w:type="dxa"/>
                  <w:vMerge w:val="continue"/>
                  <w:tcBorders>
                    <w:tl2br w:val="nil"/>
                    <w:tr2bl w:val="nil"/>
                  </w:tcBorders>
                  <w:vAlign w:val="center"/>
                </w:tcPr>
                <w:p w14:paraId="180716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592" w:type="dxa"/>
                  <w:tcBorders>
                    <w:tl2br w:val="nil"/>
                    <w:tr2bl w:val="nil"/>
                  </w:tcBorders>
                  <w:vAlign w:val="center"/>
                </w:tcPr>
                <w:p w14:paraId="2D94B2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13"/>
                      <w:highlight w:val="none"/>
                    </w:rPr>
                  </w:pPr>
                  <w:r>
                    <w:rPr>
                      <w:rFonts w:ascii="Times New Roman" w:hAnsi="Times New Roman" w:eastAsia="宋体" w:cs="Times New Roman"/>
                      <w:color w:val="auto"/>
                      <w:sz w:val="21"/>
                      <w:szCs w:val="20"/>
                      <w:highlight w:val="none"/>
                    </w:rPr>
                    <w:t>SO</w:t>
                  </w:r>
                  <w:r>
                    <w:rPr>
                      <w:rFonts w:ascii="Times New Roman" w:hAnsi="Times New Roman" w:eastAsia="宋体" w:cs="Times New Roman"/>
                      <w:color w:val="auto"/>
                      <w:spacing w:val="1"/>
                      <w:sz w:val="21"/>
                      <w:szCs w:val="13"/>
                      <w:highlight w:val="none"/>
                      <w:vertAlign w:val="subscript"/>
                    </w:rPr>
                    <w:t>2</w:t>
                  </w:r>
                </w:p>
              </w:tc>
              <w:tc>
                <w:tcPr>
                  <w:tcW w:w="1744" w:type="dxa"/>
                  <w:tcBorders>
                    <w:tl2br w:val="nil"/>
                    <w:tr2bl w:val="nil"/>
                  </w:tcBorders>
                  <w:vAlign w:val="center"/>
                </w:tcPr>
                <w:p w14:paraId="00984C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0.009</w:t>
                  </w:r>
                </w:p>
              </w:tc>
              <w:tc>
                <w:tcPr>
                  <w:tcW w:w="1744" w:type="dxa"/>
                  <w:tcBorders>
                    <w:tl2br w:val="nil"/>
                    <w:tr2bl w:val="nil"/>
                  </w:tcBorders>
                  <w:vAlign w:val="center"/>
                </w:tcPr>
                <w:p w14:paraId="19E188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0.001</w:t>
                  </w:r>
                </w:p>
              </w:tc>
              <w:tc>
                <w:tcPr>
                  <w:tcW w:w="1749" w:type="dxa"/>
                  <w:tcBorders>
                    <w:tl2br w:val="nil"/>
                    <w:tr2bl w:val="nil"/>
                  </w:tcBorders>
                  <w:vAlign w:val="center"/>
                </w:tcPr>
                <w:p w14:paraId="0D41C5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0.01</w:t>
                  </w:r>
                </w:p>
              </w:tc>
            </w:tr>
            <w:tr w14:paraId="632C4B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42" w:type="dxa"/>
                  <w:vMerge w:val="continue"/>
                  <w:tcBorders>
                    <w:tl2br w:val="nil"/>
                    <w:tr2bl w:val="nil"/>
                  </w:tcBorders>
                  <w:vAlign w:val="center"/>
                </w:tcPr>
                <w:p w14:paraId="47E70E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592" w:type="dxa"/>
                  <w:tcBorders>
                    <w:tl2br w:val="nil"/>
                    <w:tr2bl w:val="nil"/>
                  </w:tcBorders>
                  <w:vAlign w:val="center"/>
                </w:tcPr>
                <w:p w14:paraId="166097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6"/>
                      <w:sz w:val="21"/>
                      <w:szCs w:val="20"/>
                      <w:highlight w:val="none"/>
                    </w:rPr>
                    <w:t>NOx</w:t>
                  </w:r>
                </w:p>
              </w:tc>
              <w:tc>
                <w:tcPr>
                  <w:tcW w:w="1744" w:type="dxa"/>
                  <w:tcBorders>
                    <w:tl2br w:val="nil"/>
                    <w:tr2bl w:val="nil"/>
                  </w:tcBorders>
                  <w:vAlign w:val="center"/>
                </w:tcPr>
                <w:p w14:paraId="29F919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0.07396</w:t>
                  </w:r>
                </w:p>
              </w:tc>
              <w:tc>
                <w:tcPr>
                  <w:tcW w:w="1744" w:type="dxa"/>
                  <w:tcBorders>
                    <w:tl2br w:val="nil"/>
                    <w:tr2bl w:val="nil"/>
                  </w:tcBorders>
                  <w:vAlign w:val="center"/>
                </w:tcPr>
                <w:p w14:paraId="43DDC9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0.0082</w:t>
                  </w:r>
                </w:p>
              </w:tc>
              <w:tc>
                <w:tcPr>
                  <w:tcW w:w="1749" w:type="dxa"/>
                  <w:tcBorders>
                    <w:tl2br w:val="nil"/>
                    <w:tr2bl w:val="nil"/>
                  </w:tcBorders>
                  <w:vAlign w:val="center"/>
                </w:tcPr>
                <w:p w14:paraId="47B38F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0.082</w:t>
                  </w:r>
                </w:p>
              </w:tc>
            </w:tr>
          </w:tbl>
          <w:p w14:paraId="4CCE675E">
            <w:pPr>
              <w:pStyle w:val="46"/>
              <w:ind w:firstLine="480"/>
              <w:rPr>
                <w:rFonts w:hint="default"/>
                <w:color w:val="auto"/>
                <w:highlight w:val="none"/>
                <w:lang w:val="en-US" w:eastAsia="zh-CN"/>
              </w:rPr>
            </w:pPr>
            <w:r>
              <w:rPr>
                <w:rFonts w:hint="eastAsia" w:ascii="Times New Roman" w:hAnsi="Times New Roman" w:eastAsia="宋体"/>
                <w:color w:val="auto"/>
                <w:highlight w:val="none"/>
                <w:lang w:val="en-US" w:eastAsia="zh-CN"/>
              </w:rPr>
              <w:t>根据上表可以看出，项目排放污染物总量控制指标为：VOCs</w:t>
            </w:r>
            <w:r>
              <w:rPr>
                <w:rFonts w:hint="eastAsia"/>
                <w:color w:val="auto"/>
                <w:highlight w:val="none"/>
                <w:lang w:val="en-US" w:eastAsia="zh-CN"/>
              </w:rPr>
              <w:t>0.8845</w:t>
            </w:r>
            <w:r>
              <w:rPr>
                <w:rFonts w:hint="eastAsia" w:ascii="Times New Roman" w:hAnsi="Times New Roman" w:eastAsia="宋体"/>
                <w:color w:val="auto"/>
                <w:highlight w:val="none"/>
                <w:lang w:val="en-US" w:eastAsia="zh-CN"/>
              </w:rPr>
              <w:t>t/a，SO</w:t>
            </w:r>
            <w:r>
              <w:rPr>
                <w:rFonts w:hint="eastAsia" w:ascii="Times New Roman" w:hAnsi="Times New Roman" w:eastAsia="宋体"/>
                <w:color w:val="auto"/>
                <w:highlight w:val="none"/>
                <w:vertAlign w:val="subscript"/>
                <w:lang w:val="en-US" w:eastAsia="zh-CN"/>
              </w:rPr>
              <w:t>2</w:t>
            </w:r>
            <w:r>
              <w:rPr>
                <w:rFonts w:hint="eastAsia" w:ascii="Times New Roman" w:hAnsi="Times New Roman" w:eastAsia="宋体"/>
                <w:color w:val="auto"/>
                <w:highlight w:val="none"/>
                <w:lang w:val="en-US" w:eastAsia="zh-CN"/>
              </w:rPr>
              <w:t>0.0</w:t>
            </w:r>
            <w:r>
              <w:rPr>
                <w:rFonts w:hint="eastAsia"/>
                <w:color w:val="auto"/>
                <w:highlight w:val="none"/>
                <w:lang w:val="en-US" w:eastAsia="zh-CN"/>
              </w:rPr>
              <w:t>1</w:t>
            </w:r>
            <w:r>
              <w:rPr>
                <w:rFonts w:hint="eastAsia" w:ascii="Times New Roman" w:hAnsi="Times New Roman" w:eastAsia="宋体"/>
                <w:color w:val="auto"/>
                <w:highlight w:val="none"/>
                <w:lang w:val="en-US" w:eastAsia="zh-CN"/>
              </w:rPr>
              <w:t>t/a，NOx0.0</w:t>
            </w:r>
            <w:r>
              <w:rPr>
                <w:rFonts w:hint="eastAsia"/>
                <w:color w:val="auto"/>
                <w:highlight w:val="none"/>
                <w:lang w:val="en-US" w:eastAsia="zh-CN"/>
              </w:rPr>
              <w:t>82</w:t>
            </w:r>
            <w:r>
              <w:rPr>
                <w:rFonts w:hint="eastAsia" w:ascii="Times New Roman" w:hAnsi="Times New Roman" w:eastAsia="宋体"/>
                <w:color w:val="auto"/>
                <w:highlight w:val="none"/>
                <w:lang w:val="en-US" w:eastAsia="zh-CN"/>
              </w:rPr>
              <w:t>t/a。拟按排放总量向</w:t>
            </w:r>
            <w:r>
              <w:rPr>
                <w:rFonts w:hint="eastAsia"/>
                <w:color w:val="auto"/>
                <w:highlight w:val="none"/>
                <w:lang w:val="en-US" w:eastAsia="zh-CN"/>
              </w:rPr>
              <w:t>福州市福清生态环境局</w:t>
            </w:r>
            <w:r>
              <w:rPr>
                <w:rFonts w:hint="eastAsia" w:ascii="Times New Roman" w:hAnsi="Times New Roman" w:eastAsia="宋体"/>
                <w:color w:val="auto"/>
                <w:highlight w:val="none"/>
                <w:lang w:val="en-US" w:eastAsia="zh-CN"/>
              </w:rPr>
              <w:t>进行总量调剂申请，企业承诺在项目投产前</w:t>
            </w:r>
            <w:r>
              <w:rPr>
                <w:rFonts w:hint="eastAsia"/>
                <w:color w:val="auto"/>
                <w:highlight w:val="none"/>
                <w:lang w:val="en-US" w:eastAsia="zh-CN"/>
              </w:rPr>
              <w:t>申请</w:t>
            </w:r>
            <w:r>
              <w:rPr>
                <w:rFonts w:hint="eastAsia" w:ascii="Times New Roman" w:hAnsi="Times New Roman" w:eastAsia="宋体"/>
                <w:color w:val="auto"/>
                <w:highlight w:val="none"/>
                <w:lang w:val="en-US" w:eastAsia="zh-CN"/>
              </w:rPr>
              <w:t>所需总量。</w:t>
            </w:r>
          </w:p>
        </w:tc>
      </w:tr>
    </w:tbl>
    <w:p w14:paraId="07ABDE55">
      <w:pPr>
        <w:pStyle w:val="2"/>
        <w:keepNext/>
        <w:keepLines w:val="0"/>
        <w:pageBreakBefore w:val="0"/>
        <w:widowControl w:val="0"/>
        <w:numPr>
          <w:ilvl w:val="0"/>
          <w:numId w:val="0"/>
        </w:numPr>
        <w:tabs>
          <w:tab w:val="left" w:pos="0"/>
        </w:tabs>
        <w:kinsoku/>
        <w:wordWrap/>
        <w:overflowPunct w:val="0"/>
        <w:topLinePunct w:val="0"/>
        <w:autoSpaceDE/>
        <w:autoSpaceDN/>
        <w:bidi w:val="0"/>
        <w:adjustRightInd/>
        <w:snapToGrid w:val="0"/>
        <w:spacing w:before="157" w:beforeLines="50"/>
        <w:ind w:left="431" w:leftChars="0" w:hanging="431" w:firstLineChars="0"/>
        <w:textAlignment w:val="auto"/>
        <w:outlineLvl w:val="9"/>
        <w:rPr>
          <w:rFonts w:ascii="黑体" w:hAnsi="黑体"/>
          <w:snapToGrid w:val="0"/>
          <w:color w:val="auto"/>
          <w:sz w:val="36"/>
          <w:szCs w:val="36"/>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69DD4015">
      <w:pPr>
        <w:pStyle w:val="2"/>
        <w:numPr>
          <w:ilvl w:val="0"/>
          <w:numId w:val="1"/>
        </w:numPr>
        <w:bidi w:val="0"/>
        <w:ind w:left="432" w:leftChars="0" w:hanging="432" w:firstLineChars="0"/>
        <w:rPr>
          <w:rFonts w:hint="eastAsia"/>
          <w:color w:val="auto"/>
          <w:highlight w:val="none"/>
        </w:rPr>
      </w:pPr>
      <w:bookmarkStart w:id="40" w:name="_Toc31594"/>
      <w:bookmarkStart w:id="41" w:name="_Toc13712"/>
      <w:bookmarkStart w:id="42" w:name="_Toc8710"/>
      <w:bookmarkStart w:id="43" w:name="_Toc26442"/>
      <w:bookmarkStart w:id="44" w:name="_Toc4295"/>
      <w:r>
        <w:rPr>
          <w:rFonts w:hint="eastAsia"/>
          <w:color w:val="auto"/>
          <w:highlight w:val="none"/>
        </w:rPr>
        <w:t>主要环境影响和保护措施</w:t>
      </w:r>
      <w:bookmarkEnd w:id="40"/>
      <w:bookmarkEnd w:id="41"/>
      <w:bookmarkEnd w:id="42"/>
      <w:bookmarkEnd w:id="43"/>
      <w:bookmarkEnd w:id="44"/>
    </w:p>
    <w:p w14:paraId="340BCAA4">
      <w:pPr>
        <w:rPr>
          <w:color w:val="auto"/>
        </w:rPr>
      </w:pPr>
    </w:p>
    <w:tbl>
      <w:tblPr>
        <w:tblStyle w:val="34"/>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5"/>
        <w:gridCol w:w="8942"/>
      </w:tblGrid>
      <w:tr w14:paraId="02643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265" w:type="dxa"/>
            <w:tcMar>
              <w:left w:w="28" w:type="dxa"/>
              <w:right w:w="28" w:type="dxa"/>
            </w:tcMar>
            <w:vAlign w:val="center"/>
          </w:tcPr>
          <w:p w14:paraId="2E7D7B70">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14:paraId="7FFFD705">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14:paraId="12B3F2A4">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14:paraId="30925218">
            <w:pPr>
              <w:pStyle w:val="30"/>
              <w:adjustRightInd w:val="0"/>
              <w:snapToGrid w:val="0"/>
              <w:spacing w:before="0" w:beforeAutospacing="0" w:after="0" w:afterAutospacing="0"/>
              <w:jc w:val="center"/>
              <w:rPr>
                <w:rFonts w:hint="eastAsia" w:ascii="宋体" w:hAnsi="宋体" w:eastAsia="宋体" w:cs="宋体"/>
                <w:bCs/>
                <w:color w:val="auto"/>
                <w:szCs w:val="21"/>
                <w:highlight w:val="none"/>
                <w:lang w:val="en-US" w:eastAsia="zh-CN"/>
              </w:rPr>
            </w:pPr>
            <w:r>
              <w:rPr>
                <w:rFonts w:hint="eastAsia" w:cs="宋体"/>
                <w:color w:val="auto"/>
                <w:kern w:val="2"/>
                <w:sz w:val="21"/>
                <w:szCs w:val="21"/>
                <w:highlight w:val="none"/>
              </w:rPr>
              <w:t>护</w:t>
            </w:r>
            <w:r>
              <w:rPr>
                <w:rFonts w:hint="eastAsia" w:cs="宋体"/>
                <w:color w:val="auto"/>
                <w:kern w:val="2"/>
                <w:sz w:val="21"/>
                <w:szCs w:val="21"/>
                <w:highlight w:val="none"/>
                <w:lang w:val="en-US" w:eastAsia="zh-CN"/>
              </w:rPr>
              <w:t>措施</w:t>
            </w:r>
          </w:p>
        </w:tc>
        <w:tc>
          <w:tcPr>
            <w:tcW w:w="8942" w:type="dxa"/>
            <w:vAlign w:val="center"/>
          </w:tcPr>
          <w:p w14:paraId="61BA4257">
            <w:pPr>
              <w:pStyle w:val="3"/>
              <w:numPr>
                <w:ilvl w:val="1"/>
                <w:numId w:val="1"/>
              </w:numPr>
              <w:bidi w:val="0"/>
              <w:ind w:left="0" w:leftChars="0" w:firstLine="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施工期环境保护措施</w:t>
            </w:r>
          </w:p>
          <w:p w14:paraId="44B9BC68">
            <w:pPr>
              <w:pStyle w:val="97"/>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auto"/>
                <w:highlight w:val="none"/>
                <w:lang w:val="en-US" w:eastAsia="zh-CN"/>
              </w:rPr>
            </w:pPr>
            <w:r>
              <w:rPr>
                <w:color w:val="auto"/>
                <w:spacing w:val="-2"/>
                <w:sz w:val="24"/>
              </w:rPr>
              <w:t>本项目厂址位于</w:t>
            </w:r>
            <w:r>
              <w:rPr>
                <w:rFonts w:hint="eastAsia"/>
                <w:color w:val="auto"/>
                <w:spacing w:val="-2"/>
                <w:sz w:val="24"/>
                <w:lang w:val="en-US" w:eastAsia="zh-CN"/>
              </w:rPr>
              <w:t>福建省福州市福清市镜洋镇工业区（租赁福州鼎力机械有限公司内铸造车间1号）</w:t>
            </w:r>
            <w:r>
              <w:rPr>
                <w:color w:val="auto"/>
                <w:spacing w:val="-2"/>
                <w:sz w:val="24"/>
              </w:rPr>
              <w:t>，根据现场勘查，该厂房主体结构已经建成，因此不存在厂房等主体工程施工期环境影响。项目施工期主要为设备安装、调试阶段产生的环境问题，本项目设备安装、调试简单</w:t>
            </w:r>
            <w:r>
              <w:rPr>
                <w:rFonts w:hint="eastAsia"/>
                <w:color w:val="auto"/>
                <w:spacing w:val="-2"/>
                <w:sz w:val="24"/>
                <w:lang w:eastAsia="zh-CN"/>
              </w:rPr>
              <w:t>且</w:t>
            </w:r>
            <w:r>
              <w:rPr>
                <w:color w:val="auto"/>
                <w:spacing w:val="-2"/>
                <w:sz w:val="24"/>
              </w:rPr>
              <w:t>时间较</w:t>
            </w:r>
            <w:r>
              <w:rPr>
                <w:color w:val="auto"/>
                <w:spacing w:val="-1"/>
                <w:sz w:val="24"/>
              </w:rPr>
              <w:t>短，因此，随着设备安装、调试完毕后，项目施工期也将结束，施工期环境影响也随着消失，不会对周边环境噪声影响。</w:t>
            </w:r>
            <w:r>
              <w:rPr>
                <w:rFonts w:hint="eastAsia" w:ascii="Times New Roman" w:hAnsi="Times New Roman"/>
                <w:color w:val="auto"/>
                <w:sz w:val="24"/>
                <w:szCs w:val="24"/>
                <w:highlight w:val="none"/>
              </w:rPr>
              <w:t>本项目的施工活动主要为设备安装及调试等，施工期影响较小，因此本评价不再对施工期环境影响进行评价。</w:t>
            </w:r>
          </w:p>
        </w:tc>
      </w:tr>
      <w:tr w14:paraId="3D192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265" w:type="dxa"/>
            <w:tcMar>
              <w:left w:w="28" w:type="dxa"/>
              <w:right w:w="28" w:type="dxa"/>
            </w:tcMar>
            <w:vAlign w:val="center"/>
          </w:tcPr>
          <w:p w14:paraId="19CCA2C0">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420F9FD5">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6FD40B1F">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443343A2">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55EFF59E">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72F0D701">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942" w:type="dxa"/>
            <w:vAlign w:val="center"/>
          </w:tcPr>
          <w:p w14:paraId="7AA5BE9E">
            <w:pPr>
              <w:pStyle w:val="3"/>
              <w:numPr>
                <w:ilvl w:val="1"/>
                <w:numId w:val="1"/>
              </w:numPr>
              <w:bidi w:val="0"/>
              <w:ind w:left="0" w:leftChars="0" w:firstLine="0" w:firstLineChars="0"/>
              <w:rPr>
                <w:rFonts w:hint="eastAsia"/>
                <w:color w:val="auto"/>
                <w:highlight w:val="none"/>
              </w:rPr>
            </w:pPr>
            <w:bookmarkStart w:id="45" w:name="_Toc17051"/>
            <w:r>
              <w:rPr>
                <w:rFonts w:hint="eastAsia"/>
                <w:color w:val="auto"/>
                <w:highlight w:val="none"/>
                <w:lang w:val="en-US" w:eastAsia="zh-CN"/>
              </w:rPr>
              <w:t>运营期</w:t>
            </w:r>
            <w:r>
              <w:rPr>
                <w:rFonts w:hint="eastAsia"/>
                <w:color w:val="auto"/>
                <w:highlight w:val="none"/>
              </w:rPr>
              <w:t>大气环境</w:t>
            </w:r>
            <w:r>
              <w:rPr>
                <w:rFonts w:hint="eastAsia"/>
                <w:color w:val="auto"/>
                <w:highlight w:val="none"/>
                <w:lang w:val="en-US" w:eastAsia="zh-CN"/>
              </w:rPr>
              <w:t>影响</w:t>
            </w:r>
            <w:bookmarkEnd w:id="45"/>
          </w:p>
          <w:p w14:paraId="71A518D7">
            <w:pPr>
              <w:pStyle w:val="4"/>
              <w:numPr>
                <w:ilvl w:val="2"/>
                <w:numId w:val="14"/>
              </w:numPr>
              <w:tabs>
                <w:tab w:val="left" w:pos="0"/>
              </w:tabs>
              <w:bidi w:val="0"/>
              <w:ind w:left="720" w:leftChars="0" w:hanging="720" w:firstLineChars="0"/>
              <w:rPr>
                <w:rFonts w:hint="default" w:ascii="Times New Roman" w:hAnsi="Times New Roman" w:eastAsia="宋体" w:cs="宋体"/>
                <w:color w:val="auto"/>
                <w:highlight w:val="none"/>
                <w:lang w:val="en-US" w:eastAsia="zh-CN"/>
              </w:rPr>
            </w:pPr>
            <w:r>
              <w:rPr>
                <w:rFonts w:hint="eastAsia"/>
                <w:color w:val="auto"/>
                <w:highlight w:val="none"/>
                <w:lang w:val="en-US" w:eastAsia="zh-CN"/>
              </w:rPr>
              <w:t>废气源强分析</w:t>
            </w:r>
          </w:p>
          <w:p w14:paraId="269722A5">
            <w:pPr>
              <w:pStyle w:val="53"/>
              <w:spacing w:line="360" w:lineRule="auto"/>
              <w:ind w:firstLine="480" w:firstLineChars="2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本项目营运期产生的废气包括电泳废气、电泳固化废气、焊接废气、电泳天然气烘干炉燃烧废气、废水处理废气、喷粉废气、喷粉固化废气、喷粉、喷漆天然气烘干炉燃烧废气、调漆废气、喷漆废气</w:t>
            </w:r>
            <w:r>
              <w:rPr>
                <w:rFonts w:hint="eastAsia"/>
                <w:lang w:eastAsia="zh-CN"/>
              </w:rPr>
              <w:t>、</w:t>
            </w:r>
            <w:r>
              <w:rPr>
                <w:rFonts w:hint="eastAsia"/>
                <w:lang w:val="en-US" w:eastAsia="zh-CN"/>
              </w:rPr>
              <w:t>喷漆固化废气</w:t>
            </w:r>
            <w:r>
              <w:rPr>
                <w:rFonts w:hint="eastAsia" w:ascii="Times New Roman" w:hAnsi="Times New Roman"/>
                <w:color w:val="auto"/>
                <w:highlight w:val="none"/>
                <w:lang w:val="en-US" w:eastAsia="zh-CN"/>
              </w:rPr>
              <w:t>。</w:t>
            </w:r>
          </w:p>
          <w:p w14:paraId="67CB0611">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（1）污染物源强分析</w:t>
            </w:r>
          </w:p>
          <w:p w14:paraId="0AAD578A">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①电泳废气、固化废气</w:t>
            </w:r>
          </w:p>
          <w:p w14:paraId="242BD73B">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本项目电泳工序使用电泳涂料（包括电泳乳液、黑浆、助剂、中和剂）对工件进行电泳上漆以及后续固化，会产生有机废气（电泳废气、固化废气），根据电泳涂料成分分析，污染因子包括非甲烷总烃。</w:t>
            </w:r>
          </w:p>
          <w:p w14:paraId="7F7B6751">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根据《污染源源强核算技术指南汽车制造（HJ1097-2020）》附录E，电泳过程中电泳涂料中挥发性有机物的挥发比例为：电泳35%、烘干65%。项目电泳线运行时间约为</w:t>
            </w:r>
            <w:r>
              <w:rPr>
                <w:rFonts w:hint="eastAsia" w:ascii="Times New Roman" w:hAnsi="Times New Roman"/>
                <w:color w:val="auto"/>
                <w:highlight w:val="none"/>
                <w:shd w:val="clear"/>
                <w:lang w:val="en-US" w:eastAsia="zh-CN"/>
              </w:rPr>
              <w:t>2400h/a，</w:t>
            </w:r>
            <w:r>
              <w:rPr>
                <w:rFonts w:hint="eastAsia" w:ascii="Times New Roman" w:hAnsi="Times New Roman"/>
                <w:color w:val="auto"/>
                <w:highlight w:val="none"/>
                <w:lang w:val="en-US" w:eastAsia="zh-CN"/>
              </w:rPr>
              <w:t>根据物料平衡核算，则电泳废气、固化废气产生情况见下表。</w:t>
            </w:r>
          </w:p>
          <w:p w14:paraId="30D7B2D1">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电泳废气、固化废气产生情况一览表</w:t>
            </w:r>
          </w:p>
          <w:tbl>
            <w:tblPr>
              <w:tblStyle w:val="86"/>
              <w:tblW w:w="8723" w:type="dxa"/>
              <w:tblInd w:w="2" w:type="dxa"/>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Layout w:type="fixed"/>
              <w:tblCellMar>
                <w:top w:w="0" w:type="dxa"/>
                <w:left w:w="0" w:type="dxa"/>
                <w:bottom w:w="0" w:type="dxa"/>
                <w:right w:w="0" w:type="dxa"/>
              </w:tblCellMar>
            </w:tblPr>
            <w:tblGrid>
              <w:gridCol w:w="1509"/>
              <w:gridCol w:w="2112"/>
              <w:gridCol w:w="2339"/>
              <w:gridCol w:w="2763"/>
            </w:tblGrid>
            <w:tr w14:paraId="29DA9750">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1509" w:type="dxa"/>
                  <w:tcBorders>
                    <w:tl2br w:val="nil"/>
                    <w:tr2bl w:val="nil"/>
                  </w:tcBorders>
                  <w:vAlign w:val="center"/>
                </w:tcPr>
                <w:p w14:paraId="4771CE0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工序</w:t>
                  </w:r>
                </w:p>
              </w:tc>
              <w:tc>
                <w:tcPr>
                  <w:tcW w:w="2112" w:type="dxa"/>
                  <w:tcBorders>
                    <w:tl2br w:val="nil"/>
                    <w:tr2bl w:val="nil"/>
                  </w:tcBorders>
                  <w:vAlign w:val="center"/>
                </w:tcPr>
                <w:p w14:paraId="1333251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w:t>
                  </w:r>
                </w:p>
              </w:tc>
              <w:tc>
                <w:tcPr>
                  <w:tcW w:w="2339" w:type="dxa"/>
                  <w:tcBorders>
                    <w:tl2br w:val="nil"/>
                    <w:tr2bl w:val="nil"/>
                  </w:tcBorders>
                  <w:vAlign w:val="center"/>
                </w:tcPr>
                <w:p w14:paraId="3BDB087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产生量（t/a）</w:t>
                  </w:r>
                </w:p>
              </w:tc>
              <w:tc>
                <w:tcPr>
                  <w:tcW w:w="2763" w:type="dxa"/>
                  <w:tcBorders>
                    <w:tl2br w:val="nil"/>
                    <w:tr2bl w:val="nil"/>
                  </w:tcBorders>
                  <w:vAlign w:val="center"/>
                </w:tcPr>
                <w:p w14:paraId="457A1E6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产生速率（kg/h）</w:t>
                  </w:r>
                </w:p>
              </w:tc>
            </w:tr>
            <w:tr w14:paraId="762BCF41">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2" w:hRule="atLeast"/>
              </w:trPr>
              <w:tc>
                <w:tcPr>
                  <w:tcW w:w="1509" w:type="dxa"/>
                  <w:tcBorders>
                    <w:bottom w:val="single" w:color="000000" w:sz="4" w:space="0"/>
                  </w:tcBorders>
                  <w:vAlign w:val="center"/>
                </w:tcPr>
                <w:p w14:paraId="607B34B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电泳</w:t>
                  </w:r>
                </w:p>
              </w:tc>
              <w:tc>
                <w:tcPr>
                  <w:tcW w:w="2112" w:type="dxa"/>
                  <w:tcBorders>
                    <w:bottom w:val="single" w:color="000000" w:sz="4" w:space="0"/>
                  </w:tcBorders>
                  <w:vAlign w:val="center"/>
                </w:tcPr>
                <w:p w14:paraId="4261701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2339" w:type="dxa"/>
                  <w:tcBorders>
                    <w:bottom w:val="single" w:color="000000" w:sz="4" w:space="0"/>
                  </w:tcBorders>
                  <w:vAlign w:val="center"/>
                </w:tcPr>
                <w:p w14:paraId="362ECCD1">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0.32949</w:t>
                  </w:r>
                </w:p>
              </w:tc>
              <w:tc>
                <w:tcPr>
                  <w:tcW w:w="2763" w:type="dxa"/>
                  <w:tcBorders>
                    <w:bottom w:val="single" w:color="000000" w:sz="4" w:space="0"/>
                  </w:tcBorders>
                  <w:vAlign w:val="center"/>
                </w:tcPr>
                <w:p w14:paraId="2EE09AA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0.1372</w:t>
                  </w:r>
                </w:p>
              </w:tc>
            </w:tr>
            <w:tr w14:paraId="3A06C14F">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1509" w:type="dxa"/>
                  <w:tcBorders>
                    <w:top w:val="single" w:color="000000" w:sz="4" w:space="0"/>
                    <w:tl2br w:val="nil"/>
                    <w:tr2bl w:val="nil"/>
                  </w:tcBorders>
                  <w:vAlign w:val="center"/>
                </w:tcPr>
                <w:p w14:paraId="3B93345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烘干固化</w:t>
                  </w:r>
                </w:p>
              </w:tc>
              <w:tc>
                <w:tcPr>
                  <w:tcW w:w="2112" w:type="dxa"/>
                  <w:tcBorders>
                    <w:top w:val="single" w:color="000000" w:sz="4" w:space="0"/>
                    <w:tl2br w:val="nil"/>
                    <w:tr2bl w:val="nil"/>
                  </w:tcBorders>
                  <w:vAlign w:val="center"/>
                </w:tcPr>
                <w:p w14:paraId="7E491D0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2339" w:type="dxa"/>
                  <w:tcBorders>
                    <w:top w:val="single" w:color="000000" w:sz="4" w:space="0"/>
                    <w:tl2br w:val="nil"/>
                    <w:tr2bl w:val="nil"/>
                  </w:tcBorders>
                  <w:vAlign w:val="center"/>
                </w:tcPr>
                <w:p w14:paraId="4FB4538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0.61191</w:t>
                  </w:r>
                </w:p>
              </w:tc>
              <w:tc>
                <w:tcPr>
                  <w:tcW w:w="2763" w:type="dxa"/>
                  <w:tcBorders>
                    <w:top w:val="single" w:color="000000" w:sz="4" w:space="0"/>
                    <w:tl2br w:val="nil"/>
                    <w:tr2bl w:val="nil"/>
                  </w:tcBorders>
                  <w:vAlign w:val="center"/>
                </w:tcPr>
                <w:p w14:paraId="7A9BB46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0.255</w:t>
                  </w:r>
                </w:p>
              </w:tc>
            </w:tr>
          </w:tbl>
          <w:p w14:paraId="020A95A7">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②电泳天然气烘干炉燃烧废气</w:t>
            </w:r>
          </w:p>
          <w:p w14:paraId="3782BA3B">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烘道利用天然气为能源进行直接加热，在烘道进出口设置集气罩收集尾气（收集效率90%）。项目天然气燃烧产生的废气参照</w:t>
            </w:r>
            <w:r>
              <w:rPr>
                <w:color w:val="auto"/>
                <w:spacing w:val="-3"/>
                <w:sz w:val="24"/>
                <w:szCs w:val="24"/>
              </w:rPr>
              <w:t>《排放源统</w:t>
            </w:r>
            <w:r>
              <w:rPr>
                <w:color w:val="auto"/>
                <w:spacing w:val="-4"/>
                <w:sz w:val="24"/>
                <w:szCs w:val="24"/>
              </w:rPr>
              <w:t>计调查产</w:t>
            </w:r>
            <w:r>
              <w:rPr>
                <w:color w:val="auto"/>
                <w:spacing w:val="-1"/>
                <w:sz w:val="24"/>
                <w:szCs w:val="24"/>
              </w:rPr>
              <w:t>排污核算方法和系数手册》</w:t>
            </w:r>
            <w:r>
              <w:rPr>
                <w:rFonts w:hint="eastAsia"/>
                <w:color w:val="auto"/>
                <w:spacing w:val="-1"/>
                <w:sz w:val="24"/>
                <w:szCs w:val="24"/>
                <w:lang w:eastAsia="zh-CN"/>
              </w:rPr>
              <w:t>（</w:t>
            </w:r>
            <w:r>
              <w:rPr>
                <w:rFonts w:ascii="Times New Roman" w:hAnsi="Times New Roman" w:eastAsia="Times New Roman" w:cs="Times New Roman"/>
                <w:color w:val="auto"/>
                <w:spacing w:val="-1"/>
                <w:sz w:val="24"/>
                <w:szCs w:val="24"/>
              </w:rPr>
              <w:t>2021</w:t>
            </w:r>
            <w:r>
              <w:rPr>
                <w:rFonts w:hint="eastAsia" w:ascii="Times New Roman" w:hAnsi="Times New Roman" w:eastAsia="宋体" w:cs="Times New Roman"/>
                <w:color w:val="auto"/>
                <w:spacing w:val="-1"/>
                <w:sz w:val="24"/>
                <w:szCs w:val="24"/>
                <w:lang w:eastAsia="zh-CN"/>
              </w:rPr>
              <w:t>）</w:t>
            </w:r>
            <w:r>
              <w:rPr>
                <w:color w:val="auto"/>
                <w:spacing w:val="-1"/>
                <w:sz w:val="24"/>
                <w:szCs w:val="24"/>
              </w:rPr>
              <w:t>中</w:t>
            </w:r>
            <w:r>
              <w:rPr>
                <w:rFonts w:ascii="Times New Roman" w:hAnsi="Times New Roman" w:eastAsia="Times New Roman" w:cs="Times New Roman"/>
                <w:color w:val="auto"/>
                <w:spacing w:val="-1"/>
                <w:sz w:val="24"/>
                <w:szCs w:val="24"/>
              </w:rPr>
              <w:t>“33</w:t>
            </w:r>
            <w:r>
              <w:rPr>
                <w:color w:val="auto"/>
                <w:spacing w:val="-1"/>
                <w:sz w:val="24"/>
                <w:szCs w:val="24"/>
              </w:rPr>
              <w:t>金属制品业行</w:t>
            </w:r>
            <w:r>
              <w:rPr>
                <w:color w:val="auto"/>
                <w:spacing w:val="-2"/>
                <w:sz w:val="24"/>
                <w:szCs w:val="24"/>
              </w:rPr>
              <w:t>业系数表</w:t>
            </w:r>
            <w:r>
              <w:rPr>
                <w:rFonts w:ascii="Times New Roman" w:hAnsi="Times New Roman" w:eastAsia="Times New Roman" w:cs="Times New Roman"/>
                <w:color w:val="auto"/>
                <w:spacing w:val="-2"/>
                <w:sz w:val="24"/>
                <w:szCs w:val="24"/>
              </w:rPr>
              <w:t>-</w:t>
            </w:r>
            <w:r>
              <w:rPr>
                <w:rFonts w:ascii="Times New Roman" w:hAnsi="Times New Roman" w:eastAsia="Times New Roman" w:cs="Times New Roman"/>
                <w:b/>
                <w:bCs/>
                <w:color w:val="auto"/>
                <w:spacing w:val="-2"/>
                <w:sz w:val="24"/>
                <w:szCs w:val="24"/>
              </w:rPr>
              <w:t>14</w:t>
            </w:r>
            <w:r>
              <w:rPr>
                <w:b/>
                <w:bCs/>
                <w:color w:val="auto"/>
                <w:spacing w:val="-2"/>
                <w:sz w:val="24"/>
                <w:szCs w:val="24"/>
              </w:rPr>
              <w:t>涂装</w:t>
            </w:r>
            <w:r>
              <w:rPr>
                <w:rFonts w:hint="eastAsia" w:ascii="Times New Roman" w:hAnsi="Times New Roman"/>
                <w:color w:val="auto"/>
                <w:highlight w:val="none"/>
                <w:lang w:val="en-US" w:eastAsia="zh-CN"/>
              </w:rPr>
              <w:t>进行源强核算。项目天然气烘干炉采用低氮燃烧技术，低氮燃烧器通过分级燃烧和烟气再循环降低NOx产生。</w:t>
            </w:r>
          </w:p>
          <w:p w14:paraId="1B453EB5">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天然气产污系数表</w:t>
            </w:r>
          </w:p>
          <w:tbl>
            <w:tblPr>
              <w:tblStyle w:val="86"/>
              <w:tblW w:w="8714" w:type="dxa"/>
              <w:tblInd w:w="0" w:type="dxa"/>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629"/>
              <w:gridCol w:w="622"/>
              <w:gridCol w:w="812"/>
              <w:gridCol w:w="690"/>
              <w:gridCol w:w="450"/>
              <w:gridCol w:w="850"/>
              <w:gridCol w:w="1152"/>
              <w:gridCol w:w="1199"/>
              <w:gridCol w:w="1564"/>
            </w:tblGrid>
            <w:tr w14:paraId="54C3F908">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746" w:type="dxa"/>
                  <w:tcBorders>
                    <w:bottom w:val="single" w:color="000000" w:sz="12" w:space="0"/>
                  </w:tcBorders>
                  <w:vAlign w:val="center"/>
                </w:tcPr>
                <w:p w14:paraId="0C1C356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工段</w:t>
                  </w:r>
                </w:p>
                <w:p w14:paraId="5E875C2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629" w:type="dxa"/>
                  <w:tcBorders>
                    <w:bottom w:val="single" w:color="000000" w:sz="12" w:space="0"/>
                  </w:tcBorders>
                  <w:vAlign w:val="center"/>
                </w:tcPr>
                <w:p w14:paraId="14ACB2B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产品</w:t>
                  </w:r>
                </w:p>
                <w:p w14:paraId="1F7E642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622" w:type="dxa"/>
                  <w:tcBorders>
                    <w:bottom w:val="single" w:color="000000" w:sz="12" w:space="0"/>
                  </w:tcBorders>
                  <w:vAlign w:val="center"/>
                </w:tcPr>
                <w:p w14:paraId="5546CA2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原料</w:t>
                  </w:r>
                </w:p>
                <w:p w14:paraId="1E33967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812" w:type="dxa"/>
                  <w:tcBorders>
                    <w:bottom w:val="single" w:color="000000" w:sz="12" w:space="0"/>
                  </w:tcBorders>
                  <w:vAlign w:val="center"/>
                </w:tcPr>
                <w:p w14:paraId="3DA9616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工艺</w:t>
                  </w:r>
                </w:p>
                <w:p w14:paraId="1C838F8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690" w:type="dxa"/>
                  <w:tcBorders>
                    <w:bottom w:val="single" w:color="000000" w:sz="12" w:space="0"/>
                  </w:tcBorders>
                  <w:vAlign w:val="center"/>
                </w:tcPr>
                <w:p w14:paraId="06C167F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规模</w:t>
                  </w:r>
                </w:p>
                <w:p w14:paraId="7A9B7AB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等级</w:t>
                  </w:r>
                </w:p>
              </w:tc>
              <w:tc>
                <w:tcPr>
                  <w:tcW w:w="1300" w:type="dxa"/>
                  <w:gridSpan w:val="2"/>
                  <w:tcBorders>
                    <w:bottom w:val="single" w:color="000000" w:sz="12" w:space="0"/>
                  </w:tcBorders>
                  <w:vAlign w:val="center"/>
                </w:tcPr>
                <w:p w14:paraId="4C64DB5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污染物指标</w:t>
                  </w:r>
                </w:p>
              </w:tc>
              <w:tc>
                <w:tcPr>
                  <w:tcW w:w="1152" w:type="dxa"/>
                  <w:tcBorders>
                    <w:bottom w:val="single" w:color="000000" w:sz="12" w:space="0"/>
                  </w:tcBorders>
                  <w:vAlign w:val="center"/>
                </w:tcPr>
                <w:p w14:paraId="0F5C8F2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单位</w:t>
                  </w:r>
                </w:p>
              </w:tc>
              <w:tc>
                <w:tcPr>
                  <w:tcW w:w="1199" w:type="dxa"/>
                  <w:tcBorders>
                    <w:bottom w:val="single" w:color="000000" w:sz="12" w:space="0"/>
                  </w:tcBorders>
                  <w:vAlign w:val="center"/>
                </w:tcPr>
                <w:p w14:paraId="4E9B8D4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产污</w:t>
                  </w:r>
                </w:p>
                <w:p w14:paraId="224CF7F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系数</w:t>
                  </w:r>
                </w:p>
              </w:tc>
              <w:tc>
                <w:tcPr>
                  <w:tcW w:w="1564" w:type="dxa"/>
                  <w:tcBorders>
                    <w:bottom w:val="single" w:color="000000" w:sz="12" w:space="0"/>
                  </w:tcBorders>
                  <w:vAlign w:val="center"/>
                </w:tcPr>
                <w:p w14:paraId="3E9ED0F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来源</w:t>
                  </w:r>
                </w:p>
              </w:tc>
            </w:tr>
            <w:tr w14:paraId="3E7E15E8">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6" w:type="dxa"/>
                  <w:vMerge w:val="restart"/>
                  <w:tcBorders>
                    <w:top w:val="single" w:color="000000" w:sz="12" w:space="0"/>
                    <w:tl2br w:val="nil"/>
                    <w:tr2bl w:val="nil"/>
                  </w:tcBorders>
                  <w:vAlign w:val="center"/>
                </w:tcPr>
                <w:p w14:paraId="52BAFB8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涂装</w:t>
                  </w:r>
                </w:p>
              </w:tc>
              <w:tc>
                <w:tcPr>
                  <w:tcW w:w="629" w:type="dxa"/>
                  <w:vMerge w:val="restart"/>
                  <w:tcBorders>
                    <w:top w:val="single" w:color="000000" w:sz="12" w:space="0"/>
                    <w:tl2br w:val="nil"/>
                    <w:tr2bl w:val="nil"/>
                  </w:tcBorders>
                  <w:vAlign w:val="center"/>
                </w:tcPr>
                <w:p w14:paraId="5731447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涂装件</w:t>
                  </w:r>
                </w:p>
              </w:tc>
              <w:tc>
                <w:tcPr>
                  <w:tcW w:w="622" w:type="dxa"/>
                  <w:vMerge w:val="restart"/>
                  <w:tcBorders>
                    <w:top w:val="single" w:color="000000" w:sz="12" w:space="0"/>
                    <w:tl2br w:val="nil"/>
                    <w:tr2bl w:val="nil"/>
                  </w:tcBorders>
                  <w:vAlign w:val="center"/>
                </w:tcPr>
                <w:p w14:paraId="27052E2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天然气</w:t>
                  </w:r>
                </w:p>
              </w:tc>
              <w:tc>
                <w:tcPr>
                  <w:tcW w:w="812" w:type="dxa"/>
                  <w:vMerge w:val="restart"/>
                  <w:tcBorders>
                    <w:top w:val="single" w:color="000000" w:sz="12" w:space="0"/>
                    <w:tl2br w:val="nil"/>
                    <w:tr2bl w:val="nil"/>
                  </w:tcBorders>
                  <w:vAlign w:val="center"/>
                </w:tcPr>
                <w:p w14:paraId="6B4BA88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天然气</w:t>
                  </w:r>
                </w:p>
                <w:p w14:paraId="245FE8F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工业炉</w:t>
                  </w:r>
                </w:p>
                <w:p w14:paraId="2AE5B3E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窑</w:t>
                  </w:r>
                </w:p>
              </w:tc>
              <w:tc>
                <w:tcPr>
                  <w:tcW w:w="690" w:type="dxa"/>
                  <w:vMerge w:val="restart"/>
                  <w:tcBorders>
                    <w:top w:val="single" w:color="000000" w:sz="12" w:space="0"/>
                    <w:tl2br w:val="nil"/>
                    <w:tr2bl w:val="nil"/>
                  </w:tcBorders>
                  <w:vAlign w:val="center"/>
                </w:tcPr>
                <w:p w14:paraId="70EB644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所有</w:t>
                  </w:r>
                </w:p>
                <w:p w14:paraId="569B457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规模</w:t>
                  </w:r>
                </w:p>
              </w:tc>
              <w:tc>
                <w:tcPr>
                  <w:tcW w:w="450" w:type="dxa"/>
                  <w:vMerge w:val="restart"/>
                  <w:tcBorders>
                    <w:top w:val="single" w:color="000000" w:sz="12" w:space="0"/>
                    <w:tl2br w:val="nil"/>
                    <w:tr2bl w:val="nil"/>
                  </w:tcBorders>
                  <w:textDirection w:val="tbRlV"/>
                  <w:vAlign w:val="center"/>
                </w:tcPr>
                <w:p w14:paraId="3CD9335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废气</w:t>
                  </w:r>
                </w:p>
              </w:tc>
              <w:tc>
                <w:tcPr>
                  <w:tcW w:w="850" w:type="dxa"/>
                  <w:tcBorders>
                    <w:top w:val="single" w:color="000000" w:sz="12" w:space="0"/>
                    <w:tl2br w:val="nil"/>
                    <w:tr2bl w:val="nil"/>
                  </w:tcBorders>
                  <w:vAlign w:val="center"/>
                </w:tcPr>
                <w:p w14:paraId="3756C36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工业废气量</w:t>
                  </w:r>
                </w:p>
              </w:tc>
              <w:tc>
                <w:tcPr>
                  <w:tcW w:w="1152" w:type="dxa"/>
                  <w:tcBorders>
                    <w:top w:val="single" w:color="000000" w:sz="12" w:space="0"/>
                    <w:tl2br w:val="nil"/>
                    <w:tr2bl w:val="nil"/>
                  </w:tcBorders>
                  <w:vAlign w:val="center"/>
                </w:tcPr>
                <w:p w14:paraId="382FABD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立方米/立</w:t>
                  </w:r>
                </w:p>
                <w:p w14:paraId="798CABD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方米-原料</w:t>
                  </w:r>
                </w:p>
              </w:tc>
              <w:tc>
                <w:tcPr>
                  <w:tcW w:w="1199" w:type="dxa"/>
                  <w:tcBorders>
                    <w:top w:val="single" w:color="000000" w:sz="12" w:space="0"/>
                    <w:tl2br w:val="nil"/>
                    <w:tr2bl w:val="nil"/>
                  </w:tcBorders>
                  <w:vAlign w:val="center"/>
                </w:tcPr>
                <w:p w14:paraId="4BA465B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13.6</w:t>
                  </w:r>
                </w:p>
              </w:tc>
              <w:tc>
                <w:tcPr>
                  <w:tcW w:w="1564" w:type="dxa"/>
                  <w:vMerge w:val="restart"/>
                  <w:tcBorders>
                    <w:top w:val="single" w:color="000000" w:sz="12" w:space="0"/>
                    <w:tl2br w:val="nil"/>
                    <w:tr2bl w:val="nil"/>
                  </w:tcBorders>
                  <w:vAlign w:val="center"/>
                </w:tcPr>
                <w:p w14:paraId="04381DB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《排放源统计</w:t>
                  </w:r>
                </w:p>
                <w:p w14:paraId="3D978DC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调查产排污核</w:t>
                  </w:r>
                </w:p>
                <w:p w14:paraId="064B499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算方法和系数手册》</w:t>
                  </w:r>
                  <w:r>
                    <w:rPr>
                      <w:rFonts w:hint="eastAsia" w:ascii="Times New Roman" w:hAnsi="Times New Roman" w:cs="宋体"/>
                      <w:color w:val="auto"/>
                      <w:spacing w:val="-7"/>
                      <w:sz w:val="21"/>
                      <w:lang w:val="en-US" w:eastAsia="zh-CN"/>
                    </w:rPr>
                    <w:t>（</w:t>
                  </w:r>
                  <w:r>
                    <w:rPr>
                      <w:rFonts w:hint="eastAsia" w:ascii="Times New Roman" w:hAnsi="Times New Roman" w:eastAsia="宋体" w:cs="宋体"/>
                      <w:color w:val="auto"/>
                      <w:spacing w:val="-7"/>
                      <w:sz w:val="21"/>
                      <w:lang w:val="en-US" w:eastAsia="zh-CN"/>
                    </w:rPr>
                    <w:t>2021</w:t>
                  </w:r>
                  <w:r>
                    <w:rPr>
                      <w:rFonts w:hint="eastAsia" w:ascii="Times New Roman" w:hAnsi="Times New Roman" w:cs="宋体"/>
                      <w:color w:val="auto"/>
                      <w:spacing w:val="-7"/>
                      <w:sz w:val="21"/>
                      <w:lang w:val="en-US" w:eastAsia="zh-CN"/>
                    </w:rPr>
                    <w:t>）</w:t>
                  </w:r>
                </w:p>
              </w:tc>
            </w:tr>
            <w:tr w14:paraId="336116EB">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6" w:type="dxa"/>
                  <w:vMerge w:val="continue"/>
                  <w:tcBorders>
                    <w:tl2br w:val="nil"/>
                    <w:tr2bl w:val="nil"/>
                  </w:tcBorders>
                  <w:vAlign w:val="center"/>
                </w:tcPr>
                <w:p w14:paraId="0AC2EE8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9" w:type="dxa"/>
                  <w:vMerge w:val="continue"/>
                  <w:tcBorders>
                    <w:tl2br w:val="nil"/>
                    <w:tr2bl w:val="nil"/>
                  </w:tcBorders>
                  <w:vAlign w:val="center"/>
                </w:tcPr>
                <w:p w14:paraId="5B018D8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2" w:type="dxa"/>
                  <w:vMerge w:val="continue"/>
                  <w:tcBorders>
                    <w:tl2br w:val="nil"/>
                    <w:tr2bl w:val="nil"/>
                  </w:tcBorders>
                  <w:vAlign w:val="center"/>
                </w:tcPr>
                <w:p w14:paraId="7CE42D2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12" w:type="dxa"/>
                  <w:vMerge w:val="continue"/>
                  <w:tcBorders>
                    <w:tl2br w:val="nil"/>
                    <w:tr2bl w:val="nil"/>
                  </w:tcBorders>
                  <w:vAlign w:val="center"/>
                </w:tcPr>
                <w:p w14:paraId="317B79B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90" w:type="dxa"/>
                  <w:vMerge w:val="continue"/>
                  <w:tcBorders>
                    <w:tl2br w:val="nil"/>
                    <w:tr2bl w:val="nil"/>
                  </w:tcBorders>
                  <w:vAlign w:val="center"/>
                </w:tcPr>
                <w:p w14:paraId="24C18C8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50" w:type="dxa"/>
                  <w:vMerge w:val="continue"/>
                  <w:tcBorders>
                    <w:tl2br w:val="nil"/>
                    <w:tr2bl w:val="nil"/>
                  </w:tcBorders>
                  <w:textDirection w:val="tbRlV"/>
                  <w:vAlign w:val="center"/>
                </w:tcPr>
                <w:p w14:paraId="647B881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50" w:type="dxa"/>
                  <w:tcBorders>
                    <w:tl2br w:val="nil"/>
                    <w:tr2bl w:val="nil"/>
                  </w:tcBorders>
                  <w:vAlign w:val="center"/>
                </w:tcPr>
                <w:p w14:paraId="0D265E1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颗粒物</w:t>
                  </w:r>
                </w:p>
              </w:tc>
              <w:tc>
                <w:tcPr>
                  <w:tcW w:w="1152" w:type="dxa"/>
                  <w:tcBorders>
                    <w:tl2br w:val="nil"/>
                    <w:tr2bl w:val="nil"/>
                  </w:tcBorders>
                  <w:vAlign w:val="center"/>
                </w:tcPr>
                <w:p w14:paraId="66615A0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1199" w:type="dxa"/>
                  <w:tcBorders>
                    <w:tl2br w:val="nil"/>
                    <w:tr2bl w:val="nil"/>
                  </w:tcBorders>
                  <w:vAlign w:val="center"/>
                </w:tcPr>
                <w:p w14:paraId="5AD7D87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0.000286</w:t>
                  </w:r>
                </w:p>
              </w:tc>
              <w:tc>
                <w:tcPr>
                  <w:tcW w:w="1564" w:type="dxa"/>
                  <w:vMerge w:val="continue"/>
                  <w:tcBorders>
                    <w:tl2br w:val="nil"/>
                    <w:tr2bl w:val="nil"/>
                  </w:tcBorders>
                  <w:vAlign w:val="center"/>
                </w:tcPr>
                <w:p w14:paraId="0D1C32B7">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523BC67F">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6" w:type="dxa"/>
                  <w:vMerge w:val="continue"/>
                  <w:tcBorders>
                    <w:tl2br w:val="nil"/>
                    <w:tr2bl w:val="nil"/>
                  </w:tcBorders>
                  <w:vAlign w:val="center"/>
                </w:tcPr>
                <w:p w14:paraId="44A2844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9" w:type="dxa"/>
                  <w:vMerge w:val="continue"/>
                  <w:tcBorders>
                    <w:tl2br w:val="nil"/>
                    <w:tr2bl w:val="nil"/>
                  </w:tcBorders>
                  <w:vAlign w:val="center"/>
                </w:tcPr>
                <w:p w14:paraId="111425D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2" w:type="dxa"/>
                  <w:vMerge w:val="continue"/>
                  <w:tcBorders>
                    <w:tl2br w:val="nil"/>
                    <w:tr2bl w:val="nil"/>
                  </w:tcBorders>
                  <w:vAlign w:val="center"/>
                </w:tcPr>
                <w:p w14:paraId="2BE61D2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12" w:type="dxa"/>
                  <w:vMerge w:val="continue"/>
                  <w:tcBorders>
                    <w:tl2br w:val="nil"/>
                    <w:tr2bl w:val="nil"/>
                  </w:tcBorders>
                  <w:vAlign w:val="center"/>
                </w:tcPr>
                <w:p w14:paraId="60CADDE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90" w:type="dxa"/>
                  <w:vMerge w:val="continue"/>
                  <w:tcBorders>
                    <w:tl2br w:val="nil"/>
                    <w:tr2bl w:val="nil"/>
                  </w:tcBorders>
                  <w:vAlign w:val="center"/>
                </w:tcPr>
                <w:p w14:paraId="0EA19F9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50" w:type="dxa"/>
                  <w:vMerge w:val="continue"/>
                  <w:tcBorders>
                    <w:tl2br w:val="nil"/>
                    <w:tr2bl w:val="nil"/>
                  </w:tcBorders>
                  <w:textDirection w:val="tbRlV"/>
                  <w:vAlign w:val="center"/>
                </w:tcPr>
                <w:p w14:paraId="7E322C3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50" w:type="dxa"/>
                  <w:tcBorders>
                    <w:tl2br w:val="nil"/>
                    <w:tr2bl w:val="nil"/>
                  </w:tcBorders>
                  <w:vAlign w:val="center"/>
                </w:tcPr>
                <w:p w14:paraId="104249C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二氧</w:t>
                  </w:r>
                </w:p>
                <w:p w14:paraId="006E500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化硫</w:t>
                  </w:r>
                </w:p>
              </w:tc>
              <w:tc>
                <w:tcPr>
                  <w:tcW w:w="1152" w:type="dxa"/>
                  <w:tcBorders>
                    <w:tl2br w:val="nil"/>
                    <w:tr2bl w:val="nil"/>
                  </w:tcBorders>
                  <w:vAlign w:val="center"/>
                </w:tcPr>
                <w:p w14:paraId="251EABA1">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1199" w:type="dxa"/>
                  <w:tcBorders>
                    <w:tl2br w:val="nil"/>
                    <w:tr2bl w:val="nil"/>
                  </w:tcBorders>
                  <w:vAlign w:val="center"/>
                </w:tcPr>
                <w:p w14:paraId="08F5CF1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0.000002S</w:t>
                  </w:r>
                </w:p>
              </w:tc>
              <w:tc>
                <w:tcPr>
                  <w:tcW w:w="1564" w:type="dxa"/>
                  <w:vMerge w:val="continue"/>
                  <w:tcBorders>
                    <w:tl2br w:val="nil"/>
                    <w:tr2bl w:val="nil"/>
                  </w:tcBorders>
                  <w:vAlign w:val="center"/>
                </w:tcPr>
                <w:p w14:paraId="377E25A0">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3AD30A22">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46" w:type="dxa"/>
                  <w:vMerge w:val="continue"/>
                  <w:tcBorders>
                    <w:tl2br w:val="nil"/>
                    <w:tr2bl w:val="nil"/>
                  </w:tcBorders>
                  <w:vAlign w:val="center"/>
                </w:tcPr>
                <w:p w14:paraId="7F1FF25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9" w:type="dxa"/>
                  <w:vMerge w:val="continue"/>
                  <w:tcBorders>
                    <w:tl2br w:val="nil"/>
                    <w:tr2bl w:val="nil"/>
                  </w:tcBorders>
                  <w:vAlign w:val="center"/>
                </w:tcPr>
                <w:p w14:paraId="29907A9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22" w:type="dxa"/>
                  <w:vMerge w:val="continue"/>
                  <w:tcBorders>
                    <w:tl2br w:val="nil"/>
                    <w:tr2bl w:val="nil"/>
                  </w:tcBorders>
                  <w:vAlign w:val="center"/>
                </w:tcPr>
                <w:p w14:paraId="57FDAB9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12" w:type="dxa"/>
                  <w:vMerge w:val="continue"/>
                  <w:tcBorders>
                    <w:tl2br w:val="nil"/>
                    <w:tr2bl w:val="nil"/>
                  </w:tcBorders>
                  <w:vAlign w:val="center"/>
                </w:tcPr>
                <w:p w14:paraId="42A2C3B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690" w:type="dxa"/>
                  <w:vMerge w:val="continue"/>
                  <w:tcBorders>
                    <w:tl2br w:val="nil"/>
                    <w:tr2bl w:val="nil"/>
                  </w:tcBorders>
                  <w:vAlign w:val="center"/>
                </w:tcPr>
                <w:p w14:paraId="3F95CEF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50" w:type="dxa"/>
                  <w:vMerge w:val="continue"/>
                  <w:tcBorders>
                    <w:tl2br w:val="nil"/>
                    <w:tr2bl w:val="nil"/>
                  </w:tcBorders>
                  <w:textDirection w:val="tbRlV"/>
                  <w:vAlign w:val="center"/>
                </w:tcPr>
                <w:p w14:paraId="22A27B6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850" w:type="dxa"/>
                  <w:tcBorders>
                    <w:tl2br w:val="nil"/>
                    <w:tr2bl w:val="nil"/>
                  </w:tcBorders>
                  <w:vAlign w:val="center"/>
                </w:tcPr>
                <w:p w14:paraId="44816C2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氮氧</w:t>
                  </w:r>
                </w:p>
                <w:p w14:paraId="09D72C4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化物</w:t>
                  </w:r>
                </w:p>
              </w:tc>
              <w:tc>
                <w:tcPr>
                  <w:tcW w:w="1152" w:type="dxa"/>
                  <w:tcBorders>
                    <w:tl2br w:val="nil"/>
                    <w:tr2bl w:val="nil"/>
                  </w:tcBorders>
                  <w:vAlign w:val="center"/>
                </w:tcPr>
                <w:p w14:paraId="7531335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1199" w:type="dxa"/>
                  <w:tcBorders>
                    <w:tl2br w:val="nil"/>
                    <w:tr2bl w:val="nil"/>
                  </w:tcBorders>
                  <w:vAlign w:val="center"/>
                </w:tcPr>
                <w:p w14:paraId="557DEA7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0.001</w:t>
                  </w:r>
                  <w:r>
                    <w:rPr>
                      <w:rFonts w:hint="eastAsia" w:ascii="Times New Roman" w:hAnsi="Times New Roman" w:cs="宋体"/>
                      <w:color w:val="auto"/>
                      <w:spacing w:val="-7"/>
                      <w:sz w:val="21"/>
                      <w:lang w:val="en-US" w:eastAsia="zh-CN"/>
                    </w:rPr>
                    <w:t>5</w:t>
                  </w:r>
                  <w:r>
                    <w:rPr>
                      <w:rFonts w:hint="eastAsia" w:ascii="Times New Roman" w:hAnsi="Times New Roman" w:eastAsia="宋体" w:cs="宋体"/>
                      <w:color w:val="auto"/>
                      <w:spacing w:val="-7"/>
                      <w:sz w:val="21"/>
                      <w:lang w:val="en-US" w:eastAsia="zh-CN"/>
                    </w:rPr>
                    <w:t>87</w:t>
                  </w:r>
                  <w:r>
                    <w:rPr>
                      <w:rFonts w:hint="eastAsia" w:ascii="Times New Roman" w:hAnsi="Times New Roman" w:cs="宋体"/>
                      <w:color w:val="auto"/>
                      <w:spacing w:val="-7"/>
                      <w:sz w:val="21"/>
                      <w:lang w:val="en-US" w:eastAsia="zh-CN"/>
                    </w:rPr>
                    <w:t>*</w:t>
                  </w:r>
                </w:p>
              </w:tc>
              <w:tc>
                <w:tcPr>
                  <w:tcW w:w="1564" w:type="dxa"/>
                  <w:vMerge w:val="continue"/>
                  <w:tcBorders>
                    <w:tl2br w:val="nil"/>
                    <w:tr2bl w:val="nil"/>
                  </w:tcBorders>
                  <w:vAlign w:val="center"/>
                </w:tcPr>
                <w:p w14:paraId="0A763331">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141496A2">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714" w:type="dxa"/>
                  <w:gridSpan w:val="10"/>
                  <w:tcBorders>
                    <w:tl2br w:val="nil"/>
                    <w:tr2bl w:val="nil"/>
                  </w:tcBorders>
                  <w:vAlign w:val="center"/>
                </w:tcPr>
                <w:p w14:paraId="524A0595">
                  <w:pPr>
                    <w:keepNext w:val="0"/>
                    <w:keepLines w:val="0"/>
                    <w:pageBreakBefore w:val="0"/>
                    <w:widowControl w:val="0"/>
                    <w:kinsoku/>
                    <w:wordWrap/>
                    <w:overflowPunct/>
                    <w:topLinePunct w:val="0"/>
                    <w:autoSpaceDE/>
                    <w:autoSpaceDN/>
                    <w:bidi w:val="0"/>
                    <w:adjustRightInd/>
                    <w:snapToGrid/>
                    <w:textAlignment w:val="auto"/>
                    <w:rPr>
                      <w:rFonts w:hint="default" w:ascii="Arial" w:eastAsia="宋体"/>
                      <w:color w:val="auto"/>
                      <w:sz w:val="21"/>
                      <w:lang w:val="en-US" w:eastAsia="zh-CN"/>
                    </w:rPr>
                  </w:pPr>
                  <w:r>
                    <w:rPr>
                      <w:rFonts w:hint="eastAsia" w:ascii="Arial"/>
                      <w:color w:val="auto"/>
                      <w:sz w:val="21"/>
                      <w:lang w:val="en-US" w:eastAsia="zh-CN"/>
                    </w:rPr>
                    <w:t>注：</w:t>
                  </w:r>
                  <w:r>
                    <w:rPr>
                      <w:rFonts w:hint="eastAsia" w:ascii="Times New Roman" w:hAnsi="Times New Roman" w:eastAsia="宋体" w:cs="Times New Roman"/>
                      <w:color w:val="auto"/>
                      <w:sz w:val="21"/>
                      <w:lang w:val="en-US" w:eastAsia="zh-CN"/>
                    </w:rPr>
                    <w:t>本项目烘干炉采用低氮燃烧技术，NOₓ产污系数依据《排放源统计调查产排污核算方法和系数手册》（2021）中</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4430工业锅炉（热力生产和供应行业）产污系数表-燃气工业锅炉</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低氮燃烧-国内一般系数取值，为15.87kg/万m</w:t>
                  </w:r>
                  <w:r>
                    <w:rPr>
                      <w:rFonts w:hint="eastAsia"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-原料（即0.001587kg/m</w:t>
                  </w:r>
                  <w:r>
                    <w:rPr>
                      <w:rFonts w:hint="eastAsia"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-原料）。</w:t>
                  </w:r>
                </w:p>
              </w:tc>
            </w:tr>
          </w:tbl>
          <w:p w14:paraId="3F1DD81C">
            <w:pPr>
              <w:rPr>
                <w:rFonts w:hint="eastAsia"/>
                <w:color w:val="auto"/>
                <w:lang w:val="en-US" w:eastAsia="zh-CN"/>
              </w:rPr>
            </w:pPr>
          </w:p>
          <w:p w14:paraId="0AEB5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根据《排放源统计调查产排污核算方法和系数手册》中4430工业锅炉（热力供应）行业系数手册、HJ953-2018《排污许可证申请与核发技术规范锅炉》，天然气工业炉窑颗粒物产污系数为0.000286kg/m</w:t>
            </w:r>
            <w:r>
              <w:rPr>
                <w:rFonts w:hint="eastAsia"/>
                <w:color w:val="auto"/>
                <w:sz w:val="24"/>
                <w:vertAlign w:val="superscript"/>
                <w:lang w:val="en-US" w:eastAsia="zh-CN"/>
              </w:rPr>
              <w:t>3</w:t>
            </w:r>
            <w:r>
              <w:rPr>
                <w:rFonts w:hint="eastAsia"/>
                <w:color w:val="auto"/>
                <w:sz w:val="24"/>
                <w:lang w:val="en-US" w:eastAsia="zh-CN"/>
              </w:rPr>
              <w:t>-原料；二氧化硫产污系数为0.000002Skg/m</w:t>
            </w:r>
            <w:r>
              <w:rPr>
                <w:rFonts w:hint="eastAsia"/>
                <w:color w:val="auto"/>
                <w:sz w:val="24"/>
                <w:vertAlign w:val="superscript"/>
                <w:lang w:val="en-US" w:eastAsia="zh-CN"/>
              </w:rPr>
              <w:t>3</w:t>
            </w:r>
            <w:r>
              <w:rPr>
                <w:rFonts w:hint="eastAsia"/>
                <w:color w:val="auto"/>
                <w:sz w:val="24"/>
                <w:lang w:val="en-US" w:eastAsia="zh-CN"/>
              </w:rPr>
              <w:t>-原料；氮氧化物产污系数为0.001587kg/m</w:t>
            </w:r>
            <w:r>
              <w:rPr>
                <w:rFonts w:hint="eastAsia"/>
                <w:color w:val="auto"/>
                <w:sz w:val="24"/>
                <w:vertAlign w:val="superscript"/>
                <w:lang w:val="en-US" w:eastAsia="zh-CN"/>
              </w:rPr>
              <w:t>3</w:t>
            </w:r>
            <w:r>
              <w:rPr>
                <w:rFonts w:hint="eastAsia"/>
                <w:color w:val="auto"/>
                <w:sz w:val="24"/>
                <w:lang w:val="en-US" w:eastAsia="zh-CN"/>
              </w:rPr>
              <w:t>-原料。该项目使用电泳天然气量约为4万m</w:t>
            </w:r>
            <w:r>
              <w:rPr>
                <w:rFonts w:hint="eastAsia"/>
                <w:color w:val="auto"/>
                <w:sz w:val="24"/>
                <w:vertAlign w:val="superscript"/>
                <w:lang w:val="en-US" w:eastAsia="zh-CN"/>
              </w:rPr>
              <w:t>3</w:t>
            </w:r>
            <w:r>
              <w:rPr>
                <w:rFonts w:hint="eastAsia"/>
                <w:color w:val="auto"/>
                <w:sz w:val="24"/>
                <w:lang w:val="en-US" w:eastAsia="zh-CN"/>
              </w:rPr>
              <w:t>/a，收到基硫份S取最大值100。则天然气燃烧废气颗粒物产生量为11.44kg/a，二氧化硫产生量为8kg/a，氮氧化物产生量为63.48kg/a。天然气燃烧废气与烘干固化废气一起经喷淋塔+过滤棉+二级活性炭吸附装置进行处理后由一根15m高排气筒（DA001）高空排放。天然气燃烧废气颗粒物有组织排放量为0.0103t/a，无组织排放量为0.0011t/a；二氧化硫有组织排放量为0.0072t/a，无组织排放量为0.0008t/a；氮氧化物有组织排放量为0.0571t/a，无组织排放量为0.0064t/a。</w:t>
            </w:r>
          </w:p>
          <w:p w14:paraId="24557962">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③焊接废气</w:t>
            </w:r>
          </w:p>
          <w:p w14:paraId="70FD1E41">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项目营运期对工件拼装时焊接工序会产生焊接烟尘。根据建设单位提供资料，本项目使用的焊接设备主要为二氧化碳保护焊，焊丝用量为20t/a。</w:t>
            </w:r>
          </w:p>
          <w:p w14:paraId="29B62BF8">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根据《第二次全国污染源普查工业污染源产排污系数手册》（试用版）机械行业系数手册，药芯焊丝的CO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气体保护焊颗粒物产污系数为20.5kg/t-原料。则焊接工序产生的焊接烟尘量约为0.41t/a，设风机收集焊接烟尘（收集效率90%）并经</w:t>
            </w:r>
            <w:r>
              <w:rPr>
                <w:rFonts w:hint="eastAsia" w:ascii="Times New Roman" w:cs="Times New Roman"/>
                <w:color w:val="auto"/>
                <w:kern w:val="2"/>
                <w:sz w:val="24"/>
                <w:szCs w:val="24"/>
                <w:highlight w:val="none"/>
                <w:lang w:val="en-US" w:eastAsia="zh-CN" w:bidi="ar-SA"/>
              </w:rPr>
              <w:t>布袋</w:t>
            </w:r>
            <w:r>
              <w:rPr>
                <w:rFonts w:hint="eastAsia" w:ascii="Times New Roman" w:hAnsi="Times New Roman" w:eastAsia="宋体" w:cs="Times New Roman"/>
                <w:color w:val="auto"/>
                <w:kern w:val="2"/>
                <w:sz w:val="24"/>
                <w:szCs w:val="24"/>
                <w:highlight w:val="none"/>
                <w:lang w:val="en-US" w:eastAsia="zh-CN" w:bidi="ar-SA"/>
              </w:rPr>
              <w:t>除尘器（根据《三废处理工程技术手册》（化工出版社）第二篇第五章第四节中对</w:t>
            </w:r>
            <w:r>
              <w:rPr>
                <w:rFonts w:hint="eastAsia" w:ascii="Times New Roman" w:cs="Times New Roman"/>
                <w:color w:val="auto"/>
                <w:kern w:val="2"/>
                <w:sz w:val="24"/>
                <w:szCs w:val="24"/>
                <w:highlight w:val="none"/>
                <w:lang w:val="en-US" w:eastAsia="zh-CN" w:bidi="ar-SA"/>
              </w:rPr>
              <w:t>布袋</w:t>
            </w:r>
            <w:r>
              <w:rPr>
                <w:rFonts w:hint="eastAsia" w:ascii="Times New Roman" w:hAnsi="Times New Roman" w:eastAsia="宋体" w:cs="Times New Roman"/>
                <w:color w:val="auto"/>
                <w:kern w:val="2"/>
                <w:sz w:val="24"/>
                <w:szCs w:val="24"/>
                <w:highlight w:val="none"/>
                <w:lang w:val="en-US" w:eastAsia="zh-CN" w:bidi="ar-SA"/>
              </w:rPr>
              <w:t>除尘器的除尘效率一般在95%～99%，本项目处理效率</w:t>
            </w:r>
            <w:r>
              <w:rPr>
                <w:rFonts w:hint="eastAsia" w:ascii="Times New Roman" w:cs="Times New Roman"/>
                <w:color w:val="auto"/>
                <w:kern w:val="2"/>
                <w:sz w:val="24"/>
                <w:szCs w:val="24"/>
                <w:highlight w:val="none"/>
                <w:lang w:val="en-US" w:eastAsia="zh-CN" w:bidi="ar-SA"/>
              </w:rPr>
              <w:t>取</w:t>
            </w:r>
            <w:r>
              <w:rPr>
                <w:rFonts w:hint="eastAsia" w:ascii="Times New Roman" w:hAnsi="Times New Roman" w:eastAsia="宋体" w:cs="Times New Roman"/>
                <w:color w:val="auto"/>
                <w:kern w:val="2"/>
                <w:sz w:val="24"/>
                <w:szCs w:val="24"/>
                <w:highlight w:val="none"/>
                <w:lang w:val="en-US" w:eastAsia="zh-CN" w:bidi="ar-SA"/>
              </w:rPr>
              <w:t>95%）处理后由一根20m高排气筒</w:t>
            </w:r>
            <w:r>
              <w:rPr>
                <w:rFonts w:hint="eastAsia" w:ascii="Times New Roman" w:cs="Times New Roman"/>
                <w:color w:val="auto"/>
                <w:kern w:val="2"/>
                <w:sz w:val="24"/>
                <w:szCs w:val="24"/>
                <w:highlight w:val="none"/>
                <w:lang w:val="en-US" w:eastAsia="zh-CN" w:bidi="ar-SA"/>
              </w:rPr>
              <w:t>（DA002）</w:t>
            </w:r>
            <w:r>
              <w:rPr>
                <w:rFonts w:hint="eastAsia" w:ascii="Times New Roman" w:hAnsi="Times New Roman" w:eastAsia="宋体" w:cs="Times New Roman"/>
                <w:color w:val="auto"/>
                <w:kern w:val="2"/>
                <w:sz w:val="24"/>
                <w:szCs w:val="24"/>
                <w:highlight w:val="none"/>
                <w:lang w:val="en-US" w:eastAsia="zh-CN" w:bidi="ar-SA"/>
              </w:rPr>
              <w:t>高空排放。焊接工序烟尘有组织排放量为0.018t/a，无组织排放量为0.041t/a。</w:t>
            </w:r>
          </w:p>
          <w:p w14:paraId="2E9FC9B7">
            <w:pPr>
              <w:pStyle w:val="55"/>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④废水处理废气</w:t>
            </w:r>
          </w:p>
          <w:p w14:paraId="077BB300">
            <w:pPr>
              <w:pStyle w:val="55"/>
              <w:keepNext w:val="0"/>
              <w:keepLines w:val="0"/>
              <w:pageBreakBefore w:val="0"/>
              <w:kinsoku/>
              <w:wordWrap/>
              <w:overflowPunct/>
              <w:topLinePunct w:val="0"/>
              <w:bidi w:val="0"/>
              <w:snapToGrid/>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本项目设有1座废水处理设施，处理工艺为“</w:t>
            </w:r>
            <w:r>
              <w:rPr>
                <w:rFonts w:hint="eastAsia" w:ascii="Times New Roman" w:cs="Times New Roman"/>
                <w:color w:val="auto"/>
                <w:kern w:val="2"/>
                <w:sz w:val="24"/>
                <w:szCs w:val="24"/>
                <w:highlight w:val="none"/>
                <w:lang w:val="en-US" w:eastAsia="zh-CN" w:bidi="ar-SA"/>
              </w:rPr>
              <w:t>物化+A/O+沉淀</w:t>
            </w:r>
            <w:r>
              <w:rPr>
                <w:rFonts w:hint="eastAsia" w:ascii="Times New Roman" w:hAnsi="Times New Roman" w:eastAsia="宋体" w:cs="Times New Roman"/>
                <w:color w:val="auto"/>
                <w:kern w:val="2"/>
                <w:sz w:val="24"/>
                <w:szCs w:val="24"/>
                <w:highlight w:val="none"/>
                <w:lang w:val="en-US" w:eastAsia="zh-CN" w:bidi="ar-SA"/>
              </w:rPr>
              <w:t>”，废水处理过程中有废气产生。</w:t>
            </w:r>
          </w:p>
          <w:p w14:paraId="4B33D9EC">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参考《城镇污水处理厂臭气处理技术规程》（CJJ/T243-2016）及同类工程实际运行数据，物化+A/O工艺废水处理设施臭气污染物产生系数取：NH₃为0.1kg/t-废水，H</w:t>
            </w:r>
            <w:r>
              <w:rPr>
                <w:rFonts w:hint="eastAsia" w:ascii="Times New Roman"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S为0.2kg/t-废水。NH</w:t>
            </w:r>
            <w:r>
              <w:rPr>
                <w:rFonts w:hint="eastAsia" w:ascii="Times New Roman" w:hAnsi="Times New Roman" w:eastAsia="宋体" w:cs="Times New Roman"/>
                <w:color w:val="auto"/>
                <w:kern w:val="2"/>
                <w:sz w:val="24"/>
                <w:szCs w:val="24"/>
                <w:highlight w:val="none"/>
                <w:vertAlign w:val="sub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产生量=</w:t>
            </w:r>
            <w:r>
              <w:rPr>
                <w:rFonts w:hint="eastAsia" w:ascii="Times New Roman" w:cs="Times New Roman"/>
                <w:color w:val="auto"/>
                <w:kern w:val="2"/>
                <w:sz w:val="24"/>
                <w:szCs w:val="24"/>
                <w:highlight w:val="none"/>
                <w:lang w:val="en-US" w:eastAsia="zh-CN" w:bidi="ar-SA"/>
              </w:rPr>
              <w:t>2t/d*300d</w:t>
            </w:r>
            <w:r>
              <w:rPr>
                <w:rFonts w:hint="eastAsia" w:ascii="Times New Roman" w:hAnsi="Times New Roman" w:eastAsia="宋体" w:cs="Times New Roman"/>
                <w:color w:val="auto"/>
                <w:kern w:val="2"/>
                <w:sz w:val="24"/>
                <w:szCs w:val="24"/>
                <w:highlight w:val="none"/>
                <w:lang w:val="en-US" w:eastAsia="zh-CN" w:bidi="ar-SA"/>
              </w:rPr>
              <w:t>×0.1kg/t×10</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=0.06t/a</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S产生量</w:t>
            </w:r>
            <w:r>
              <w:rPr>
                <w:rFonts w:hint="eastAsia" w:ascii="Times New Roman" w:cs="Times New Roman"/>
                <w:color w:val="auto"/>
                <w:kern w:val="2"/>
                <w:sz w:val="24"/>
                <w:szCs w:val="24"/>
                <w:highlight w:val="none"/>
                <w:lang w:val="en-US" w:eastAsia="zh-CN" w:bidi="ar-SA"/>
              </w:rPr>
              <w:t>2t/d*300d</w:t>
            </w:r>
            <w:r>
              <w:rPr>
                <w:rFonts w:hint="eastAsia" w:ascii="Times New Roman" w:hAnsi="Times New Roman" w:eastAsia="宋体" w:cs="Times New Roman"/>
                <w:color w:val="auto"/>
                <w:kern w:val="2"/>
                <w:sz w:val="24"/>
                <w:szCs w:val="24"/>
                <w:highlight w:val="none"/>
                <w:lang w:val="en-US" w:eastAsia="zh-CN" w:bidi="ar-SA"/>
              </w:rPr>
              <w:t>×0.2kg/t×10</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=0.12t/a</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恶臭气体无组织排放，满足《恶臭污染物排放标准》（GB14554-93）中的限值要求。本项目废水处理设施规模较小，其产生的废气浓度较低。通过投加除臭剂并实施设施密闭加盖措施，可从源头有效减少废气的无组织排放。鉴于废水处理设施产生的废气对环境影响较小，因此采用无组织排放方式可行。</w:t>
            </w:r>
          </w:p>
          <w:p w14:paraId="71F5B7CA">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⑤喷粉废气</w:t>
            </w:r>
          </w:p>
          <w:p w14:paraId="78A6502B">
            <w:pPr>
              <w:pStyle w:val="158"/>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项目设喷粉线</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条，年用粉末涂料约</w:t>
            </w: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t/a。根据《排放源统计调查产排污核算方法和系数手册》中“</w:t>
            </w:r>
            <w:r>
              <w:rPr>
                <w:rFonts w:hint="default" w:ascii="Times New Roman" w:hAnsi="Times New Roman" w:eastAsia="宋体" w:cs="Times New Roman"/>
                <w:color w:val="auto"/>
                <w:sz w:val="24"/>
                <w:szCs w:val="24"/>
                <w:lang w:val="en-US" w:eastAsia="zh-CN"/>
              </w:rPr>
              <w:t>33</w:t>
            </w:r>
            <w:r>
              <w:rPr>
                <w:rFonts w:hint="eastAsia" w:ascii="Times New Roman" w:hAnsi="Times New Roman" w:eastAsia="宋体" w:cs="Times New Roman"/>
                <w:color w:val="auto"/>
                <w:sz w:val="24"/>
                <w:szCs w:val="24"/>
                <w:lang w:val="en-US" w:eastAsia="zh-CN"/>
              </w:rPr>
              <w:t>金属制品业、</w:t>
            </w:r>
            <w:r>
              <w:rPr>
                <w:rFonts w:hint="default" w:ascii="Times New Roman" w:hAnsi="Times New Roman" w:eastAsia="宋体" w:cs="Times New Roman"/>
                <w:color w:val="auto"/>
                <w:sz w:val="24"/>
                <w:szCs w:val="24"/>
                <w:lang w:val="en-US" w:eastAsia="zh-CN"/>
              </w:rPr>
              <w:t>34</w:t>
            </w:r>
            <w:r>
              <w:rPr>
                <w:rFonts w:hint="eastAsia" w:ascii="Times New Roman" w:hAnsi="Times New Roman" w:eastAsia="宋体" w:cs="Times New Roman"/>
                <w:color w:val="auto"/>
                <w:sz w:val="24"/>
                <w:szCs w:val="24"/>
                <w:lang w:val="en-US" w:eastAsia="zh-CN"/>
              </w:rPr>
              <w:t>通用设备制造业、</w:t>
            </w:r>
            <w:r>
              <w:rPr>
                <w:rFonts w:hint="default" w:ascii="Times New Roman" w:hAnsi="Times New Roman" w:eastAsia="宋体" w:cs="Times New Roman"/>
                <w:color w:val="auto"/>
                <w:sz w:val="24"/>
                <w:szCs w:val="24"/>
                <w:lang w:val="en-US" w:eastAsia="zh-CN"/>
              </w:rPr>
              <w:t>35</w:t>
            </w:r>
            <w:r>
              <w:rPr>
                <w:rFonts w:hint="eastAsia" w:ascii="Times New Roman" w:hAnsi="Times New Roman" w:eastAsia="宋体" w:cs="Times New Roman"/>
                <w:color w:val="auto"/>
                <w:sz w:val="24"/>
                <w:szCs w:val="24"/>
                <w:lang w:val="en-US" w:eastAsia="zh-CN"/>
              </w:rPr>
              <w:t>专用设备制造业、</w:t>
            </w:r>
            <w:r>
              <w:rPr>
                <w:rFonts w:hint="default" w:ascii="Times New Roman" w:hAnsi="Times New Roman" w:eastAsia="宋体" w:cs="Times New Roman"/>
                <w:color w:val="auto"/>
                <w:sz w:val="24"/>
                <w:szCs w:val="24"/>
                <w:lang w:val="en-US" w:eastAsia="zh-CN"/>
              </w:rPr>
              <w:t>36</w:t>
            </w:r>
            <w:r>
              <w:rPr>
                <w:rFonts w:hint="eastAsia" w:ascii="Times New Roman" w:hAnsi="Times New Roman" w:eastAsia="宋体" w:cs="Times New Roman"/>
                <w:color w:val="auto"/>
                <w:sz w:val="24"/>
                <w:szCs w:val="24"/>
                <w:lang w:val="en-US" w:eastAsia="zh-CN"/>
              </w:rPr>
              <w:t>汽车制造业、</w:t>
            </w:r>
            <w:r>
              <w:rPr>
                <w:rFonts w:hint="default" w:ascii="Times New Roman" w:hAnsi="Times New Roman" w:eastAsia="宋体" w:cs="Times New Roman"/>
                <w:color w:val="auto"/>
                <w:sz w:val="24"/>
                <w:szCs w:val="24"/>
                <w:lang w:val="en-US" w:eastAsia="zh-CN"/>
              </w:rPr>
              <w:t>37</w:t>
            </w:r>
            <w:r>
              <w:rPr>
                <w:rFonts w:hint="eastAsia" w:ascii="Times New Roman" w:hAnsi="Times New Roman" w:eastAsia="宋体" w:cs="Times New Roman"/>
                <w:color w:val="auto"/>
                <w:sz w:val="24"/>
                <w:szCs w:val="24"/>
                <w:lang w:val="en-US" w:eastAsia="zh-CN"/>
              </w:rPr>
              <w:t>铁路、船舶、航空航天和其他运输设备制造业、</w:t>
            </w:r>
            <w:r>
              <w:rPr>
                <w:rFonts w:hint="default" w:ascii="Times New Roman" w:hAnsi="Times New Roman" w:eastAsia="宋体" w:cs="Times New Roman"/>
                <w:color w:val="auto"/>
                <w:sz w:val="24"/>
                <w:szCs w:val="24"/>
                <w:lang w:val="en-US" w:eastAsia="zh-CN"/>
              </w:rPr>
              <w:t>431</w:t>
            </w:r>
            <w:r>
              <w:rPr>
                <w:rFonts w:hint="eastAsia" w:ascii="Times New Roman" w:hAnsi="Times New Roman" w:eastAsia="宋体" w:cs="Times New Roman"/>
                <w:color w:val="auto"/>
                <w:sz w:val="24"/>
                <w:szCs w:val="24"/>
                <w:lang w:val="en-US" w:eastAsia="zh-CN"/>
              </w:rPr>
              <w:t>金属制品修理、</w:t>
            </w:r>
            <w:r>
              <w:rPr>
                <w:rFonts w:hint="default" w:ascii="Times New Roman" w:hAnsi="Times New Roman" w:eastAsia="宋体" w:cs="Times New Roman"/>
                <w:color w:val="auto"/>
                <w:sz w:val="24"/>
                <w:szCs w:val="24"/>
                <w:lang w:val="en-US" w:eastAsia="zh-CN"/>
              </w:rPr>
              <w:t>432</w:t>
            </w:r>
            <w:r>
              <w:rPr>
                <w:rFonts w:hint="eastAsia" w:ascii="Times New Roman" w:hAnsi="Times New Roman" w:eastAsia="宋体" w:cs="Times New Roman"/>
                <w:color w:val="auto"/>
                <w:sz w:val="24"/>
                <w:szCs w:val="24"/>
                <w:lang w:val="en-US" w:eastAsia="zh-CN"/>
              </w:rPr>
              <w:t>通用设备修理、</w:t>
            </w:r>
            <w:r>
              <w:rPr>
                <w:rFonts w:hint="default" w:ascii="Times New Roman" w:hAnsi="Times New Roman" w:eastAsia="宋体" w:cs="Times New Roman"/>
                <w:color w:val="auto"/>
                <w:sz w:val="24"/>
                <w:szCs w:val="24"/>
                <w:lang w:val="en-US" w:eastAsia="zh-CN"/>
              </w:rPr>
              <w:t>433</w:t>
            </w:r>
            <w:r>
              <w:rPr>
                <w:rFonts w:hint="eastAsia" w:ascii="Times New Roman" w:hAnsi="Times New Roman" w:eastAsia="宋体" w:cs="Times New Roman"/>
                <w:color w:val="auto"/>
                <w:sz w:val="24"/>
                <w:szCs w:val="24"/>
                <w:lang w:val="en-US" w:eastAsia="zh-CN"/>
              </w:rPr>
              <w:t>专用设备修理、</w:t>
            </w:r>
            <w:r>
              <w:rPr>
                <w:rFonts w:hint="default" w:ascii="Times New Roman" w:hAnsi="Times New Roman" w:eastAsia="宋体" w:cs="Times New Roman"/>
                <w:color w:val="auto"/>
                <w:sz w:val="24"/>
                <w:szCs w:val="24"/>
                <w:lang w:val="en-US" w:eastAsia="zh-CN"/>
              </w:rPr>
              <w:t>434</w:t>
            </w:r>
            <w:r>
              <w:rPr>
                <w:rFonts w:hint="eastAsia" w:ascii="Times New Roman" w:hAnsi="Times New Roman" w:eastAsia="宋体" w:cs="Times New Roman"/>
                <w:color w:val="auto"/>
                <w:sz w:val="24"/>
                <w:szCs w:val="24"/>
                <w:lang w:val="en-US" w:eastAsia="zh-CN"/>
              </w:rPr>
              <w:t>铁路、船舶、航空航天等运输设备修理（不包括电镀工艺）行业系数手册”中的“</w:t>
            </w:r>
            <w:r>
              <w:rPr>
                <w:rFonts w:hint="default" w:ascii="Times New Roman" w:hAnsi="Times New Roman" w:eastAsia="宋体"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涂装”可知，喷塑颗粒物产生系数为300千克/吨-原料，则喷粉线粉尘产生量约</w:t>
            </w: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，经滤芯除尘</w:t>
            </w:r>
            <w:r>
              <w:rPr>
                <w:rFonts w:hint="eastAsia" w:ascii="Times New Roman" w:hAnsi="Times New Roman" w:cs="Times New Roman"/>
                <w:color w:val="auto"/>
                <w:sz w:val="24"/>
                <w:szCs w:val="24"/>
                <w:lang w:val="en-US" w:eastAsia="zh-CN"/>
              </w:rPr>
              <w:t>系统（二次粉尘过滤装置）</w:t>
            </w:r>
            <w:r>
              <w:rPr>
                <w:rFonts w:hint="eastAsia" w:ascii="Times New Roman" w:hAnsi="Times New Roman" w:eastAsia="宋体" w:cs="Times New Roman"/>
                <w:color w:val="auto"/>
                <w:sz w:val="24"/>
                <w:szCs w:val="24"/>
                <w:lang w:val="en-US" w:eastAsia="zh-CN"/>
              </w:rPr>
              <w:t>收集后送回供粉系统循环使用，尾气</w:t>
            </w:r>
            <w:r>
              <w:rPr>
                <w:rFonts w:hint="default" w:ascii="Times New Roman" w:hAnsi="Times New Roman" w:cs="Times New Roman"/>
                <w:spacing w:val="0"/>
                <w:sz w:val="24"/>
                <w:szCs w:val="24"/>
                <w:highlight w:val="none"/>
                <w:lang w:val="en-US" w:eastAsia="zh-CN"/>
              </w:rPr>
              <w:t>由1根15m高排气筒</w:t>
            </w:r>
            <w:r>
              <w:rPr>
                <w:rFonts w:hint="eastAsia" w:ascii="Times New Roman" w:hAnsi="Times New Roman" w:cs="Times New Roman"/>
                <w:spacing w:val="0"/>
                <w:sz w:val="24"/>
                <w:szCs w:val="24"/>
                <w:highlight w:val="none"/>
                <w:lang w:val="en-US" w:eastAsia="zh-CN"/>
              </w:rPr>
              <w:t>（DA003）</w:t>
            </w:r>
            <w:r>
              <w:rPr>
                <w:rFonts w:hint="default" w:ascii="Times New Roman" w:hAnsi="Times New Roman" w:cs="Times New Roman"/>
                <w:spacing w:val="0"/>
                <w:sz w:val="24"/>
                <w:szCs w:val="24"/>
                <w:highlight w:val="none"/>
                <w:lang w:val="en-US" w:eastAsia="zh-CN"/>
              </w:rPr>
              <w:t>排放</w:t>
            </w:r>
            <w:r>
              <w:rPr>
                <w:rFonts w:hint="eastAsia" w:ascii="Times New Roman" w:hAnsi="Times New Roman" w:eastAsia="宋体" w:cs="Times New Roman"/>
                <w:color w:val="auto"/>
                <w:sz w:val="24"/>
                <w:szCs w:val="24"/>
                <w:lang w:val="en-US" w:eastAsia="zh-CN"/>
              </w:rPr>
              <w:t>。</w:t>
            </w:r>
          </w:p>
          <w:p w14:paraId="4887B93D">
            <w:pPr>
              <w:pStyle w:val="158"/>
              <w:keepNext w:val="0"/>
              <w:keepLines w:val="0"/>
              <w:pageBreakBefore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未被收集的喷粉粉尘，受喷粉房拦截，部分在室内沉降，参考《未纳入排污许可管理行业适用的排污系数、物料衡算方法（试行）》中锯材加工业产排污系数表重力沉降法数据计算，木工粉尘重力沉降率约为85%，喷粉粉尘较轻，评价按70%沉降计。</w:t>
            </w:r>
          </w:p>
          <w:p w14:paraId="56BE8B3A">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⑥喷粉固化废气</w:t>
            </w:r>
          </w:p>
          <w:p w14:paraId="2C2CA980">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项目工件喷粉后进行烘干固化，固化过程中会产生有机废气。根据建设单位提供的粉末涂料的挥发性有机化合物检测结果为</w:t>
            </w:r>
            <w:r>
              <w:rPr>
                <w:rFonts w:hint="eastAsia" w:ascii="Times New Roman" w:hAnsi="Times New Roman" w:eastAsia="宋体" w:cs="Times New Roman"/>
                <w:color w:val="auto"/>
                <w:sz w:val="24"/>
                <w:szCs w:val="24"/>
                <w:lang w:val="en-US" w:eastAsia="zh-CN"/>
              </w:rPr>
              <w:t>6g/L</w:t>
            </w:r>
            <w:r>
              <w:rPr>
                <w:rFonts w:hint="default" w:ascii="Times New Roman" w:hAnsi="Times New Roman" w:eastAsia="宋体" w:cs="Times New Roman"/>
                <w:color w:val="auto"/>
                <w:sz w:val="24"/>
                <w:szCs w:val="24"/>
                <w:lang w:val="en-US" w:eastAsia="zh-CN"/>
              </w:rPr>
              <w:t>（检测报告见附件</w:t>
            </w:r>
            <w:r>
              <w:rPr>
                <w:rFonts w:hint="eastAsia" w:ascii="Times New Roman"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粉末涂料相对密度取1.5</w:t>
            </w:r>
            <w:r>
              <w:rPr>
                <w:rFonts w:hint="default" w:ascii="Times New Roman" w:hAnsi="Times New Roman" w:eastAsia="宋体" w:cs="Times New Roman"/>
                <w:color w:val="auto"/>
                <w:sz w:val="24"/>
                <w:szCs w:val="24"/>
                <w:lang w:val="en-US" w:eastAsia="zh-CN"/>
              </w:rPr>
              <w:t>，设计粉末涂料年用量为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kern w:val="2"/>
                <w:sz w:val="24"/>
                <w:szCs w:val="24"/>
                <w:highlight w:val="none"/>
                <w:lang w:val="en-US" w:eastAsia="zh-CN" w:bidi="ar-SA"/>
              </w:rPr>
              <w:t>以涂料中VOC全部挥发计，</w:t>
            </w:r>
            <w:r>
              <w:rPr>
                <w:rFonts w:hint="default"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kern w:val="2"/>
                <w:sz w:val="24"/>
                <w:szCs w:val="24"/>
                <w:highlight w:val="none"/>
                <w:lang w:val="en-US" w:eastAsia="zh-CN" w:bidi="ar-SA"/>
              </w:rPr>
              <w:t>VOC（</w:t>
            </w:r>
            <w:r>
              <w:rPr>
                <w:rFonts w:hint="default" w:ascii="Times New Roman" w:hAnsi="Times New Roman" w:eastAsia="宋体" w:cs="Times New Roman"/>
                <w:color w:val="auto"/>
                <w:kern w:val="2"/>
                <w:sz w:val="24"/>
                <w:szCs w:val="24"/>
                <w:highlight w:val="none"/>
                <w:lang w:val="en-US" w:eastAsia="zh-CN" w:bidi="ar-SA"/>
              </w:rPr>
              <w:t>以</w:t>
            </w:r>
            <w:r>
              <w:rPr>
                <w:rFonts w:hint="default" w:ascii="Times New Roman" w:hAnsi="Times New Roman" w:eastAsia="宋体" w:cs="Times New Roman"/>
                <w:color w:val="auto"/>
                <w:sz w:val="24"/>
                <w:szCs w:val="24"/>
                <w:lang w:val="en-US" w:eastAsia="zh-CN"/>
              </w:rPr>
              <w:t>非甲烷总烃计</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产生量为</w:t>
            </w:r>
            <w:r>
              <w:rPr>
                <w:rFonts w:hint="eastAsia" w:ascii="Times New Roman" w:cs="Times New Roman"/>
                <w:color w:val="auto"/>
                <w:sz w:val="24"/>
                <w:szCs w:val="24"/>
                <w:lang w:val="en-US" w:eastAsia="zh-CN"/>
              </w:rPr>
              <w:t>5*6/(1.5*1000)=</w:t>
            </w:r>
            <w:r>
              <w:rPr>
                <w:rFonts w:hint="default" w:ascii="Times New Roman" w:hAnsi="Times New Roman" w:eastAsia="宋体" w:cs="Times New Roman"/>
                <w:color w:val="auto"/>
                <w:sz w:val="24"/>
                <w:szCs w:val="24"/>
                <w:lang w:val="en-US" w:eastAsia="zh-CN"/>
              </w:rPr>
              <w:t>0.0</w:t>
            </w:r>
            <w:r>
              <w:rPr>
                <w:rFonts w:hint="eastAsia" w:asci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t/a。喷粉固化废气经集气罩收集后与</w:t>
            </w:r>
            <w:r>
              <w:rPr>
                <w:rFonts w:hint="eastAsia" w:ascii="Times New Roman" w:hAnsi="Times New Roman" w:eastAsia="宋体" w:cs="Times New Roman"/>
                <w:color w:val="auto"/>
                <w:sz w:val="24"/>
                <w:szCs w:val="24"/>
                <w:lang w:val="en-US" w:eastAsia="zh-CN"/>
              </w:rPr>
              <w:t>喷漆</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lang w:val="en-US" w:eastAsia="zh-CN"/>
              </w:rPr>
              <w:t>一同</w:t>
            </w:r>
            <w:r>
              <w:rPr>
                <w:rFonts w:hint="default" w:ascii="Times New Roman" w:hAnsi="Times New Roman" w:eastAsia="宋体" w:cs="Times New Roman"/>
                <w:color w:val="auto"/>
                <w:sz w:val="24"/>
                <w:szCs w:val="24"/>
                <w:highlight w:val="none"/>
                <w:lang w:val="en-US" w:eastAsia="zh-CN"/>
              </w:rPr>
              <w:t>采用“</w:t>
            </w:r>
            <w:r>
              <w:rPr>
                <w:rFonts w:hint="eastAsia" w:ascii="Times New Roman" w:cs="Times New Roman"/>
                <w:spacing w:val="0"/>
                <w:sz w:val="24"/>
                <w:szCs w:val="24"/>
                <w:highlight w:val="none"/>
                <w:lang w:val="en-US" w:eastAsia="zh-CN"/>
              </w:rPr>
              <w:t>喷淋塔+过滤棉+二级活性炭吸附</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pacing w:val="0"/>
                <w:sz w:val="24"/>
                <w:szCs w:val="24"/>
                <w:highlight w:val="none"/>
                <w:lang w:val="en-US" w:eastAsia="zh-CN"/>
              </w:rPr>
              <w:t>处理后，由1根15m高排气筒</w:t>
            </w:r>
            <w:r>
              <w:rPr>
                <w:rFonts w:hint="eastAsia" w:ascii="Times New Roman" w:cs="Times New Roman"/>
                <w:spacing w:val="0"/>
                <w:sz w:val="24"/>
                <w:szCs w:val="24"/>
                <w:highlight w:val="none"/>
                <w:lang w:val="en-US" w:eastAsia="zh-CN"/>
              </w:rPr>
              <w:t>（</w:t>
            </w:r>
            <w:r>
              <w:rPr>
                <w:rFonts w:hint="eastAsia" w:ascii="Times New Roman" w:hAnsi="Times New Roman" w:cs="Times New Roman"/>
                <w:spacing w:val="0"/>
                <w:sz w:val="24"/>
                <w:szCs w:val="24"/>
                <w:highlight w:val="none"/>
                <w:lang w:val="en-US" w:eastAsia="zh-CN"/>
              </w:rPr>
              <w:t>DA004</w:t>
            </w:r>
            <w:r>
              <w:rPr>
                <w:rFonts w:hint="eastAsia" w:ascii="Times New Roman" w:cs="Times New Roman"/>
                <w:spacing w:val="0"/>
                <w:sz w:val="24"/>
                <w:szCs w:val="24"/>
                <w:highlight w:val="none"/>
                <w:lang w:val="en-US" w:eastAsia="zh-CN"/>
              </w:rPr>
              <w:t>）</w:t>
            </w:r>
            <w:r>
              <w:rPr>
                <w:rFonts w:hint="default" w:ascii="Times New Roman" w:hAnsi="Times New Roman" w:cs="Times New Roman"/>
                <w:spacing w:val="0"/>
                <w:sz w:val="24"/>
                <w:szCs w:val="24"/>
                <w:highlight w:val="none"/>
                <w:lang w:val="en-US" w:eastAsia="zh-CN"/>
              </w:rPr>
              <w:t>排放</w:t>
            </w:r>
            <w:r>
              <w:rPr>
                <w:rFonts w:hint="default" w:ascii="Times New Roman" w:hAnsi="Times New Roman" w:eastAsia="宋体" w:cs="Times New Roman"/>
                <w:color w:val="auto"/>
                <w:sz w:val="24"/>
                <w:szCs w:val="24"/>
                <w:lang w:val="en-US" w:eastAsia="zh-CN"/>
              </w:rPr>
              <w:t>，未能捕集到的VOC</w:t>
            </w:r>
            <w:r>
              <w:rPr>
                <w:rFonts w:hint="default" w:ascii="Times New Roman" w:hAnsi="Times New Roman" w:eastAsia="宋体" w:cs="Times New Roman"/>
                <w:color w:val="auto"/>
                <w:sz w:val="24"/>
                <w:szCs w:val="24"/>
                <w:vertAlign w:val="subscript"/>
                <w:lang w:val="en-US" w:eastAsia="zh-CN"/>
              </w:rPr>
              <w:t>S</w:t>
            </w:r>
            <w:r>
              <w:rPr>
                <w:rFonts w:hint="default" w:ascii="Times New Roman" w:hAnsi="Times New Roman" w:eastAsia="宋体" w:cs="Times New Roman"/>
                <w:color w:val="auto"/>
                <w:sz w:val="24"/>
                <w:szCs w:val="24"/>
                <w:lang w:val="en-US" w:eastAsia="zh-CN"/>
              </w:rPr>
              <w:t>在车间无组织排放。</w:t>
            </w:r>
          </w:p>
          <w:p w14:paraId="687E0E93">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⑦喷粉、喷漆天然气烘干炉燃烧废气</w:t>
            </w:r>
          </w:p>
          <w:p w14:paraId="129509BA">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烘道利用天然气为能源进行直接加热，在烘道进出口设置集气罩收集尾气（收集效率90%）。项目天然气燃烧产生的废气参照《排放源统计调查产排污核算方法和系数手册》</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2021</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中“33金属制品业行业系数表-14涂装进行源强核算。项目天然气烘干炉采用低氮燃烧技术，低氮燃烧器通过分级燃烧和烟气再循环降低NOx产生。</w:t>
            </w:r>
          </w:p>
          <w:p w14:paraId="0A11AEE7">
            <w:pPr>
              <w:pStyle w:val="55"/>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天然气产污系数表见表4.2-2。</w:t>
            </w:r>
          </w:p>
          <w:p w14:paraId="134F8A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根据《排放源统计调查产排污核算方法和系数手册》中4430工业锅炉（热力供应）行业系数手册、HJ953-2018《排污许可证申请与核发技术规范锅炉》，天然气工业炉窑颗粒物产污系数为0.000286kg/m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-原料；二氧化硫产污系数为0.000002Skg/m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-原料；氮氧化物产污系数为0.001587kg/m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-原料。该项目使用喷粉、喷漆天然气量约为1万m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/a，收到基硫份S取最大值100。则</w:t>
            </w:r>
            <w:r>
              <w:rPr>
                <w:rFonts w:hint="eastAsia" w:ascii="Times New Roman" w:hAnsi="Times New Roman" w:eastAsia="宋体" w:cs="Times New Roman"/>
                <w:color w:val="auto"/>
                <w:kern w:val="2"/>
                <w:sz w:val="24"/>
                <w:szCs w:val="24"/>
                <w:highlight w:val="none"/>
                <w:lang w:val="en-US" w:eastAsia="zh-CN" w:bidi="ar-SA"/>
              </w:rPr>
              <w:t>喷粉、喷漆天然气烘干炉</w:t>
            </w:r>
            <w:r>
              <w:rPr>
                <w:rFonts w:hint="eastAsia" w:ascii="Times New Roman" w:hAnsi="Times New Roman" w:eastAsia="宋体" w:cs="Times New Roman"/>
                <w:color w:val="auto"/>
                <w:sz w:val="24"/>
                <w:lang w:val="en-US" w:eastAsia="zh-CN"/>
              </w:rPr>
              <w:t>颗粒物产生量为2.86kg/a，二氧化硫产生量为2kg/a，氮氧化物产生量为18.7kg/a。天然气燃烧废气与烘干固化废气一起经</w:t>
            </w:r>
            <w:r>
              <w:rPr>
                <w:rFonts w:hint="eastAsia" w:cs="Times New Roman"/>
                <w:color w:val="auto"/>
                <w:sz w:val="24"/>
                <w:lang w:val="en-US" w:eastAsia="zh-CN"/>
              </w:rPr>
              <w:t>喷淋塔+过滤棉+二级活性炭吸附</w:t>
            </w:r>
            <w:r>
              <w:rPr>
                <w:rFonts w:hint="eastAsia" w:ascii="Times New Roman" w:hAnsi="Times New Roman" w:eastAsia="宋体" w:cs="Times New Roman"/>
                <w:color w:val="auto"/>
                <w:sz w:val="24"/>
                <w:lang w:val="en-US" w:eastAsia="zh-CN"/>
              </w:rPr>
              <w:t>装置进行处理后由一根15m高排气筒</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DA004</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高空排放。</w:t>
            </w:r>
            <w:r>
              <w:rPr>
                <w:rFonts w:hint="eastAsia" w:ascii="Times New Roman" w:hAnsi="Times New Roman" w:eastAsia="宋体" w:cs="Times New Roman"/>
                <w:color w:val="auto"/>
                <w:kern w:val="2"/>
                <w:sz w:val="24"/>
                <w:szCs w:val="24"/>
                <w:highlight w:val="none"/>
                <w:lang w:val="en-US" w:eastAsia="zh-CN" w:bidi="ar-SA"/>
              </w:rPr>
              <w:t>喷粉、喷漆天然气烘干炉</w:t>
            </w:r>
            <w:r>
              <w:rPr>
                <w:rFonts w:hint="eastAsia" w:ascii="Times New Roman" w:hAnsi="Times New Roman" w:eastAsia="宋体" w:cs="Times New Roman"/>
                <w:color w:val="auto"/>
                <w:sz w:val="24"/>
                <w:lang w:val="en-US" w:eastAsia="zh-CN"/>
              </w:rPr>
              <w:t>颗粒物有组织排放量为0.0026t/a，无组织排放量为0.0003t/a；二氧化硫有组织排放量为0.0018t/a，无组织排放量为0.0002t/a；氮氧化物有组织排放量为0.0168t/a，无组织排放量为0.0019t/a。</w:t>
            </w:r>
          </w:p>
          <w:p w14:paraId="473014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⑧调漆、喷漆、喷漆固化废气</w:t>
            </w:r>
          </w:p>
          <w:p w14:paraId="6922CB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A.漆雾</w:t>
            </w:r>
          </w:p>
          <w:p w14:paraId="370EE1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项目所用到的喷漆涂料为水性环氧酯涂料，喷漆工序漆雾（颗粒物）产生量依据《污染源源强核算技术指南汽车制造》（HJ 1097-2020）附录E物料衡算法核算。水性漆年用量8t/a，固体分含量45%，参照附录E</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水性涂料-空气喷涂-零部件喷涂</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固体分附着率取40%，则：漆雾产生量=8×45%×(1-40%)=2.16t/a。</w:t>
            </w:r>
          </w:p>
          <w:p w14:paraId="154DE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项目采用水帘喷漆台处理漆雾，参照HJ 1097-2020附录F，湿式水帘净化效率取85%，集气罩收集效率90%，则颗粒物有组织排放量为0.292t/a，无组织排放0.216t/a。</w:t>
            </w:r>
          </w:p>
          <w:p w14:paraId="6AA07900">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B.调漆废气</w:t>
            </w:r>
          </w:p>
          <w:p w14:paraId="4A67962E">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拟将调漆挥发的少量有机废气经集气系统收集后并入喷漆、固化等废气集中处理后排放，由于本项目调漆、喷漆、固化等废气全部统一收集后处理排放，因此，不单独计算调漆工序挥发量，要求喷漆房需要严格密闭，并经收集后处理排放，降低有机废气的无组织排放。</w:t>
            </w:r>
          </w:p>
          <w:p w14:paraId="074B9F55">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喷漆、喷漆固化废气</w:t>
            </w:r>
          </w:p>
          <w:p w14:paraId="6C6B227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根据建设单位提供的资料及规划，项目拟设置1条喷漆线，喷漆后的工件</w:t>
            </w:r>
            <w:r>
              <w:rPr>
                <w:rFonts w:hint="default" w:ascii="Times New Roman" w:hAnsi="Times New Roman" w:eastAsia="宋体" w:cs="Times New Roman"/>
                <w:b w:val="0"/>
                <w:bCs w:val="0"/>
                <w:color w:val="auto"/>
                <w:kern w:val="2"/>
                <w:sz w:val="24"/>
                <w:szCs w:val="24"/>
                <w:highlight w:val="none"/>
                <w:lang w:val="en-US" w:eastAsia="zh-CN" w:bidi="ar-SA"/>
              </w:rPr>
              <w:t>固化，将液体漆固化成稳定的漆膜。</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由于本项目调漆、喷漆、固化全部统一收集后处理排放，因此，本评价不单独计算各工序挥发的有机废气量，直接统一核算。根据前文辅材料性质介绍，结合项目涂料使用情况，废气挥发情况详见下表。</w:t>
            </w:r>
          </w:p>
          <w:p w14:paraId="62130032">
            <w:pPr>
              <w:pStyle w:val="44"/>
              <w:keepNext/>
              <w:keepLines/>
              <w:pageBreakBefore w:val="0"/>
              <w:widowControl w:val="0"/>
              <w:numPr>
                <w:ilvl w:val="7"/>
                <w:numId w:val="15"/>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喷漆、喷漆固化有机废气挥发情况一览表</w:t>
            </w:r>
          </w:p>
          <w:tbl>
            <w:tblPr>
              <w:tblStyle w:val="86"/>
              <w:tblW w:w="8776" w:type="dxa"/>
              <w:tblInd w:w="-52" w:type="dxa"/>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Layout w:type="fixed"/>
              <w:tblCellMar>
                <w:top w:w="0" w:type="dxa"/>
                <w:left w:w="0" w:type="dxa"/>
                <w:bottom w:w="0" w:type="dxa"/>
                <w:right w:w="0" w:type="dxa"/>
              </w:tblCellMar>
            </w:tblPr>
            <w:tblGrid>
              <w:gridCol w:w="1905"/>
              <w:gridCol w:w="1500"/>
              <w:gridCol w:w="2606"/>
              <w:gridCol w:w="2765"/>
            </w:tblGrid>
            <w:tr w14:paraId="6F968CA1">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905" w:type="dxa"/>
                  <w:tcBorders>
                    <w:tl2br w:val="nil"/>
                    <w:tr2bl w:val="nil"/>
                  </w:tcBorders>
                  <w:vAlign w:val="center"/>
                </w:tcPr>
                <w:p w14:paraId="6660E1F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工序</w:t>
                  </w:r>
                </w:p>
              </w:tc>
              <w:tc>
                <w:tcPr>
                  <w:tcW w:w="1500" w:type="dxa"/>
                  <w:tcBorders>
                    <w:tl2br w:val="nil"/>
                    <w:tr2bl w:val="nil"/>
                  </w:tcBorders>
                  <w:vAlign w:val="center"/>
                </w:tcPr>
                <w:p w14:paraId="651EB7D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w:t>
                  </w:r>
                </w:p>
              </w:tc>
              <w:tc>
                <w:tcPr>
                  <w:tcW w:w="2606" w:type="dxa"/>
                  <w:tcBorders>
                    <w:tl2br w:val="nil"/>
                    <w:tr2bl w:val="nil"/>
                  </w:tcBorders>
                  <w:vAlign w:val="center"/>
                </w:tcPr>
                <w:p w14:paraId="36FF259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color w:val="auto"/>
                      <w:highlight w:val="none"/>
                      <w:lang w:val="en-US" w:eastAsia="zh-CN"/>
                    </w:rPr>
                    <w:t>挥发比例</w:t>
                  </w:r>
                </w:p>
              </w:tc>
              <w:tc>
                <w:tcPr>
                  <w:tcW w:w="2765" w:type="dxa"/>
                  <w:tcBorders>
                    <w:tl2br w:val="nil"/>
                    <w:tr2bl w:val="nil"/>
                  </w:tcBorders>
                  <w:vAlign w:val="center"/>
                </w:tcPr>
                <w:p w14:paraId="1F0DEFA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产生量（t/a）</w:t>
                  </w:r>
                </w:p>
              </w:tc>
            </w:tr>
            <w:tr w14:paraId="2BAEB129">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905" w:type="dxa"/>
                  <w:tcBorders>
                    <w:bottom w:val="single" w:color="000000" w:sz="4" w:space="0"/>
                  </w:tcBorders>
                  <w:vAlign w:val="center"/>
                </w:tcPr>
                <w:p w14:paraId="0B00C18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喷漆</w:t>
                  </w:r>
                </w:p>
              </w:tc>
              <w:tc>
                <w:tcPr>
                  <w:tcW w:w="1500" w:type="dxa"/>
                  <w:tcBorders>
                    <w:bottom w:val="single" w:color="000000" w:sz="4" w:space="0"/>
                  </w:tcBorders>
                  <w:vAlign w:val="center"/>
                </w:tcPr>
                <w:p w14:paraId="537ED3B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2606" w:type="dxa"/>
                  <w:tcBorders>
                    <w:bottom w:val="single" w:color="000000" w:sz="4" w:space="0"/>
                  </w:tcBorders>
                  <w:vAlign w:val="center"/>
                </w:tcPr>
                <w:p w14:paraId="5D04499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80%</w:t>
                  </w:r>
                </w:p>
              </w:tc>
              <w:tc>
                <w:tcPr>
                  <w:tcW w:w="2765" w:type="dxa"/>
                  <w:tcBorders>
                    <w:bottom w:val="single" w:color="000000" w:sz="4" w:space="0"/>
                  </w:tcBorders>
                  <w:vAlign w:val="center"/>
                </w:tcPr>
                <w:p w14:paraId="05047BD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1.408</w:t>
                  </w:r>
                </w:p>
              </w:tc>
            </w:tr>
            <w:tr w14:paraId="6A476FAB">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905" w:type="dxa"/>
                  <w:tcBorders>
                    <w:top w:val="single" w:color="000000" w:sz="4" w:space="0"/>
                    <w:tl2br w:val="nil"/>
                    <w:tr2bl w:val="nil"/>
                  </w:tcBorders>
                  <w:vAlign w:val="center"/>
                </w:tcPr>
                <w:p w14:paraId="3209D95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烘干固化（含热流平）</w:t>
                  </w:r>
                </w:p>
              </w:tc>
              <w:tc>
                <w:tcPr>
                  <w:tcW w:w="1500" w:type="dxa"/>
                  <w:tcBorders>
                    <w:top w:val="single" w:color="000000" w:sz="4" w:space="0"/>
                    <w:tl2br w:val="nil"/>
                    <w:tr2bl w:val="nil"/>
                  </w:tcBorders>
                  <w:vAlign w:val="center"/>
                </w:tcPr>
                <w:p w14:paraId="11918EC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2606" w:type="dxa"/>
                  <w:tcBorders>
                    <w:top w:val="single" w:color="000000" w:sz="4" w:space="0"/>
                    <w:tl2br w:val="nil"/>
                    <w:tr2bl w:val="nil"/>
                  </w:tcBorders>
                  <w:vAlign w:val="center"/>
                </w:tcPr>
                <w:p w14:paraId="0058715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c>
                <w:tcPr>
                  <w:tcW w:w="2765" w:type="dxa"/>
                  <w:tcBorders>
                    <w:top w:val="single" w:color="000000" w:sz="4" w:space="0"/>
                    <w:tl2br w:val="nil"/>
                    <w:tr2bl w:val="nil"/>
                  </w:tcBorders>
                  <w:vAlign w:val="center"/>
                </w:tcPr>
                <w:p w14:paraId="3CFCA2B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0.352</w:t>
                  </w:r>
                </w:p>
              </w:tc>
            </w:tr>
          </w:tbl>
          <w:p w14:paraId="131E869A">
            <w:pPr>
              <w:rPr>
                <w:rFonts w:hint="default"/>
                <w:lang w:val="en-US" w:eastAsia="zh-CN"/>
              </w:rPr>
            </w:pPr>
          </w:p>
          <w:p w14:paraId="0E7F9D2D">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项目拟设置密闭的调漆房、喷漆房、固化房；调漆房在调漆过程中、喷漆房在喷漆固化过程中均维持在负压密闭状态，集气效率取90%，调漆、喷漆、固化等工序产生有机废气经密闭负压收集后采用喷淋塔+过滤棉+二级活性炭吸附装置净化后合并引至1根15m高排气筒排放（DA004），少量未经收集的直接以无组织形式排放。</w:t>
            </w:r>
          </w:p>
          <w:p w14:paraId="6C421722">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根据生态环境部发布《关于印发〈主要污染物总量减排核算技术指南（2022年修订）〉的通知》〔2022〕350号中规定，一次性活性炭的吸附效率50%。采用二级活性炭吸附效率为1-（1-50%）×（1-50%）=75%。因此本项目活性炭处理效率以75%计。则非甲烷总烃有组织排放量为0.396t/a，无组织排放0.0176t/a。</w:t>
            </w:r>
          </w:p>
          <w:p w14:paraId="51A0F9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（2）防治措施</w:t>
            </w:r>
          </w:p>
          <w:p w14:paraId="07E45F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lang w:val="en-US" w:eastAsia="zh-CN"/>
              </w:rPr>
              <w:t>根据项目设计方案，</w:t>
            </w:r>
            <w:r>
              <w:rPr>
                <w:rFonts w:hint="eastAsia" w:ascii="Times New Roman" w:hAnsi="Times New Roman" w:eastAsia="宋体" w:cs="Times New Roman"/>
                <w:color w:val="auto"/>
                <w:kern w:val="2"/>
                <w:sz w:val="24"/>
                <w:szCs w:val="24"/>
                <w:highlight w:val="none"/>
                <w:lang w:val="en-US" w:eastAsia="zh-CN" w:bidi="ar-SA"/>
              </w:rPr>
              <w:t>针对本项目产生的废气，采取以下防治措施：</w:t>
            </w:r>
          </w:p>
          <w:p w14:paraId="1D7B6B66">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①电泳废气、固化废气、</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kern w:val="2"/>
                <w:sz w:val="24"/>
                <w:szCs w:val="24"/>
                <w:highlight w:val="none"/>
                <w:lang w:val="en-US" w:eastAsia="zh-CN" w:bidi="ar-SA"/>
              </w:rPr>
              <w:t>天然气</w:t>
            </w:r>
            <w:r>
              <w:rPr>
                <w:rFonts w:hint="eastAsia" w:ascii="Times New Roman" w:cs="Times New Roman"/>
                <w:color w:val="auto"/>
                <w:kern w:val="2"/>
                <w:sz w:val="24"/>
                <w:szCs w:val="24"/>
                <w:highlight w:val="none"/>
                <w:lang w:val="en-US" w:eastAsia="zh-CN" w:bidi="ar-SA"/>
              </w:rPr>
              <w:t>烘干炉</w:t>
            </w:r>
            <w:r>
              <w:rPr>
                <w:rFonts w:hint="eastAsia" w:ascii="Times New Roman" w:hAnsi="Times New Roman" w:eastAsia="宋体" w:cs="Times New Roman"/>
                <w:color w:val="auto"/>
                <w:kern w:val="2"/>
                <w:sz w:val="24"/>
                <w:szCs w:val="24"/>
                <w:highlight w:val="none"/>
                <w:lang w:val="en-US" w:eastAsia="zh-CN" w:bidi="ar-SA"/>
              </w:rPr>
              <w:t>燃烧废气</w:t>
            </w:r>
          </w:p>
          <w:p w14:paraId="4759E626">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本项目电泳废气、固化废气</w:t>
            </w:r>
            <w:r>
              <w:rPr>
                <w:rFonts w:hint="eastAsia" w:ascii="Times New Roman" w:cs="Times New Roman"/>
                <w:color w:val="auto"/>
                <w:kern w:val="2"/>
                <w:sz w:val="24"/>
                <w:szCs w:val="24"/>
                <w:highlight w:val="none"/>
                <w:lang w:val="en-US" w:eastAsia="zh-CN" w:bidi="ar-SA"/>
              </w:rPr>
              <w:t>经过负压</w:t>
            </w:r>
            <w:r>
              <w:rPr>
                <w:rFonts w:hint="eastAsia" w:ascii="Times New Roman" w:hAnsi="Times New Roman" w:eastAsia="宋体" w:cs="Times New Roman"/>
                <w:color w:val="auto"/>
                <w:kern w:val="2"/>
                <w:sz w:val="24"/>
                <w:szCs w:val="24"/>
                <w:highlight w:val="none"/>
                <w:lang w:val="en-US" w:eastAsia="zh-CN" w:bidi="ar-SA"/>
              </w:rPr>
              <w:t>收集后，经</w:t>
            </w:r>
            <w:r>
              <w:rPr>
                <w:rFonts w:hint="eastAsia" w:ascii="Times New Roman" w:cs="Times New Roman"/>
                <w:color w:val="auto"/>
                <w:kern w:val="2"/>
                <w:sz w:val="24"/>
                <w:szCs w:val="24"/>
                <w:highlight w:val="none"/>
                <w:lang w:val="en-US" w:eastAsia="zh-CN" w:bidi="ar-SA"/>
              </w:rPr>
              <w:t>喷淋塔+过滤棉+二级活性炭吸附</w:t>
            </w:r>
            <w:r>
              <w:rPr>
                <w:rFonts w:hint="eastAsia" w:ascii="Times New Roman" w:hAnsi="Times New Roman" w:eastAsia="宋体" w:cs="Times New Roman"/>
                <w:color w:val="auto"/>
                <w:kern w:val="2"/>
                <w:sz w:val="24"/>
                <w:szCs w:val="24"/>
                <w:highlight w:val="none"/>
                <w:lang w:val="en-US" w:eastAsia="zh-CN" w:bidi="ar-SA"/>
              </w:rPr>
              <w:t>净化处理后，通过DA001排气筒排放（高度</w:t>
            </w:r>
            <w:r>
              <w:rPr>
                <w:rFonts w:hint="eastAsia" w:ascii="Times New Roman"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），风机风量为10000m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kern w:val="2"/>
                <w:sz w:val="24"/>
                <w:szCs w:val="24"/>
                <w:highlight w:val="none"/>
                <w:lang w:val="en-US" w:eastAsia="zh-CN" w:bidi="ar-SA"/>
              </w:rPr>
              <w:t>天然气</w:t>
            </w:r>
            <w:r>
              <w:rPr>
                <w:rFonts w:hint="eastAsia" w:ascii="Times New Roman" w:cs="Times New Roman"/>
                <w:color w:val="auto"/>
                <w:kern w:val="2"/>
                <w:sz w:val="24"/>
                <w:szCs w:val="24"/>
                <w:highlight w:val="none"/>
                <w:lang w:val="en-US" w:eastAsia="zh-CN" w:bidi="ar-SA"/>
              </w:rPr>
              <w:t>烘干炉</w:t>
            </w:r>
            <w:r>
              <w:rPr>
                <w:rFonts w:hint="eastAsia" w:ascii="Times New Roman" w:hAnsi="Times New Roman" w:eastAsia="宋体" w:cs="Times New Roman"/>
                <w:color w:val="auto"/>
                <w:kern w:val="2"/>
                <w:sz w:val="24"/>
                <w:szCs w:val="24"/>
                <w:highlight w:val="none"/>
                <w:lang w:val="en-US" w:eastAsia="zh-CN" w:bidi="ar-SA"/>
              </w:rPr>
              <w:t>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烧废气与烘干固化废气一起经</w:t>
            </w:r>
            <w:r>
              <w:rPr>
                <w:rFonts w:hint="eastAsia" w:ascii="Times New Roman" w:hAnsi="Times New Roman" w:cs="Times New Roman"/>
                <w:color w:val="000000" w:themeColor="text1"/>
                <w:highlight w:val="none"/>
                <w:lang w:val="en-US" w:eastAsia="zh-CN"/>
                <w14:textFill>
                  <w14:solidFill>
                    <w14:schemeClr w14:val="tx1"/>
                  </w14:solidFill>
                </w14:textFill>
              </w:rPr>
              <w:t>喷淋塔+过滤棉+二级活性炭吸附</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装置进行处理后达标排放。</w:t>
            </w:r>
          </w:p>
          <w:p w14:paraId="6BB21211">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密闭电泳槽风量：根据《</w:t>
            </w:r>
            <w:r>
              <w:rPr>
                <w:rFonts w:hint="eastAsia" w:ascii="Times New Roman" w:hAnsi="Times New Roman" w:cs="Times New Roman"/>
                <w:color w:val="000000" w:themeColor="text1"/>
                <w:highlight w:val="none"/>
                <w:lang w:val="en-US" w:eastAsia="zh-CN"/>
                <w14:textFill>
                  <w14:solidFill>
                    <w14:schemeClr w14:val="tx1"/>
                  </w14:solidFill>
                </w14:textFill>
              </w:rPr>
              <w:t>涂装作业安全规程 涂漆工艺安全及其通风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GB 6514-2023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）及《涂装车间设计手册》，密闭槽排风主要针对开口部位防止废气外逸。电泳槽（12m×1.5m）设有工件进出口（悬挂输送线通过，开口面积约1.5m²）及检修观察口（面积约0.5m²），总开口面积2.0 m²，按断面风速0.5m/s（不小于0.3m/s）计算，则风量为3600×2.0×0.5=3600m³/h，考虑安全系数后取4000m³/h。</w:t>
            </w:r>
          </w:p>
          <w:p w14:paraId="66BE1FFC">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电泳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固化炉风量：天然气烘干炉（45m×3m×3m）为隧道式结构，按《涂装车间设计手册》换气次数法，炉膛容积405m³，换气次数10</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12次/h，温度修正后取6,000m³/h（含热风循环排放口）。</w:t>
            </w:r>
            <w:r>
              <w:rPr>
                <w:rFonts w:hint="eastAsia" w:ascii="Times New Roman" w:hAnsi="Times New Roman" w:cs="Times New Roman"/>
                <w:color w:val="000000" w:themeColor="text1"/>
                <w:highlight w:val="none"/>
                <w:lang w:val="en-US" w:eastAsia="zh-CN"/>
                <w14:textFill>
                  <w14:solidFill>
                    <w14:schemeClr w14:val="tx1"/>
                  </w14:solidFill>
                </w14:textFill>
              </w:rPr>
              <w:t>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电泳及固化废气系统总风量按1</w:t>
            </w:r>
            <w:r>
              <w:rPr>
                <w:rFonts w:hint="eastAsia" w:ascii="Times New Roman" w:hAnsi="Times New Roman" w:cs="Times New Roman"/>
                <w:color w:val="000000" w:themeColor="text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000m³/h</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5C703B0">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②焊接废气</w:t>
            </w:r>
          </w:p>
          <w:p w14:paraId="7C94F879">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本项目焊接工位产生的焊接烟尘经集气罩收集后，经布袋除尘器（</w:t>
            </w:r>
            <w:r>
              <w:rPr>
                <w:rFonts w:hint="eastAsia" w:ascii="Times New Roman" w:hAnsi="Times New Roman" w:cs="Times New Roman"/>
                <w:color w:val="000000" w:themeColor="text1"/>
                <w:highlight w:val="none"/>
                <w:lang w:val="en-US" w:eastAsia="zh-CN"/>
                <w14:textFill>
                  <w14:solidFill>
                    <w14:schemeClr w14:val="tx1"/>
                  </w14:solidFill>
                </w14:textFill>
              </w:rPr>
              <w:t>本次评价保守取值，则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处理效率为95%）处理后由一根20m高排气筒（DA002）高空排放，风机风量为</w:t>
            </w:r>
            <w:r>
              <w:rPr>
                <w:rFonts w:hint="eastAsia" w:ascii="Times New Roman" w:hAnsi="Times New Roman" w:cs="Times New Roman"/>
                <w:color w:val="000000" w:themeColor="text1"/>
                <w:highlight w:val="none"/>
                <w:lang w:val="en-US" w:eastAsia="zh-CN"/>
                <w14:textFill>
                  <w14:solidFill>
                    <w14:schemeClr w14:val="tx1"/>
                  </w14:solidFill>
                </w14:textFill>
              </w:rPr>
              <w:t>10000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w:t>
            </w:r>
          </w:p>
          <w:p w14:paraId="605A4154">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本项目焊接烟尘收集系统风量根据《排风罩的分类及技术条件》（GB/T</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16758-2008）及《除尘工程设计手册》计算。10个焊接工位按实际生产</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频率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，最大同时工作工位数为4个（同时工作系数0.4）；采用</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（罩口尺寸0.5m×0.5m，面积F=0.25m²，距焊点X=0.25m），控制风速V₀取0.8m/s，安全系数K=1.1，单工位风量为：</w:t>
            </w:r>
          </w:p>
          <w:p w14:paraId="698C2286">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Q=3600×(5×0.252+0.25)×0.8×1.1=1782m³/h≈1800m³/h</w:t>
            </w:r>
          </w:p>
          <w:p w14:paraId="0EC4E5F0">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系统计算风量1800×4=7200m³/h，考虑管道漏风10%后，确定风机风量为10</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00m³/h</w:t>
            </w:r>
          </w:p>
          <w:p w14:paraId="265AD14B">
            <w:pPr>
              <w:pStyle w:val="53"/>
              <w:spacing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喷粉废气</w:t>
            </w:r>
          </w:p>
          <w:p w14:paraId="0090E4DB">
            <w:pPr>
              <w:pStyle w:val="158"/>
              <w:ind w:firstLine="48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本项目喷粉工序产生的颗粒物经过收集后，由滤芯除尘系统（二次粉尘过滤装置）收集后送回供粉系统循环使用，尾气</w:t>
            </w:r>
            <w:r>
              <w:rPr>
                <w:rFonts w:hint="default" w:ascii="Times New Roman" w:hAnsi="Times New Roman" w:eastAsia="宋体" w:cs="Times New Roman"/>
                <w:color w:val="auto"/>
                <w:kern w:val="2"/>
                <w:sz w:val="24"/>
                <w:szCs w:val="24"/>
                <w:highlight w:val="none"/>
                <w:lang w:val="en-US" w:eastAsia="zh-CN" w:bidi="ar-SA"/>
              </w:rPr>
              <w:t>由1根15m高排气筒</w:t>
            </w:r>
            <w:r>
              <w:rPr>
                <w:rFonts w:hint="eastAsia" w:ascii="Times New Roman" w:hAnsi="Times New Roman" w:eastAsia="宋体" w:cs="Times New Roman"/>
                <w:color w:val="auto"/>
                <w:kern w:val="2"/>
                <w:sz w:val="24"/>
                <w:szCs w:val="24"/>
                <w:highlight w:val="none"/>
                <w:lang w:val="en-US" w:eastAsia="zh-CN" w:bidi="ar-SA"/>
              </w:rPr>
              <w:t>（DA003）</w:t>
            </w:r>
            <w:r>
              <w:rPr>
                <w:rFonts w:hint="default" w:ascii="Times New Roman" w:hAnsi="Times New Roman" w:eastAsia="宋体" w:cs="Times New Roman"/>
                <w:color w:val="auto"/>
                <w:kern w:val="2"/>
                <w:sz w:val="24"/>
                <w:szCs w:val="24"/>
                <w:highlight w:val="none"/>
                <w:lang w:val="en-US" w:eastAsia="zh-CN" w:bidi="ar-SA"/>
              </w:rPr>
              <w:t>排放</w:t>
            </w:r>
            <w:r>
              <w:rPr>
                <w:rFonts w:hint="eastAsia" w:ascii="Times New Roman" w:hAnsi="Times New Roman" w:eastAsia="宋体" w:cs="Times New Roman"/>
                <w:color w:val="auto"/>
                <w:kern w:val="2"/>
                <w:sz w:val="24"/>
                <w:szCs w:val="24"/>
                <w:highlight w:val="none"/>
                <w:lang w:val="en-US" w:eastAsia="zh-CN" w:bidi="ar-SA"/>
              </w:rPr>
              <w:t>。风机为</w:t>
            </w:r>
            <w:r>
              <w:rPr>
                <w:rFonts w:hint="eastAsia" w:ascii="Times New Roman" w:hAnsi="Times New Roman" w:cs="Times New Roman"/>
                <w:color w:val="auto"/>
                <w:kern w:val="2"/>
                <w:sz w:val="24"/>
                <w:szCs w:val="24"/>
                <w:highlight w:val="none"/>
                <w:lang w:val="en-US" w:eastAsia="zh-CN" w:bidi="ar-SA"/>
              </w:rPr>
              <w:t>6000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p>
          <w:p w14:paraId="4E5F9B0F">
            <w:pPr>
              <w:pStyle w:val="53"/>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本项目喷粉工序风机风量依据《涂装作业安全规程粉末静电喷涂工艺安全》（</w:t>
            </w:r>
            <w:r>
              <w:rPr>
                <w:rFonts w:hint="eastAsia" w:ascii="Times New Roman" w:hAnsi="Times New Roman" w:cs="Times New Roman"/>
                <w:color w:val="auto"/>
                <w:kern w:val="2"/>
                <w:sz w:val="24"/>
                <w:szCs w:val="24"/>
                <w:highlight w:val="none"/>
                <w:lang w:val="en-US" w:eastAsia="zh-CN" w:bidi="ar-SA"/>
              </w:rPr>
              <w:t>GB 15607-2023</w:t>
            </w:r>
            <w:r>
              <w:rPr>
                <w:rFonts w:hint="default" w:ascii="Times New Roman" w:hAnsi="Times New Roman" w:eastAsia="宋体" w:cs="Times New Roman"/>
                <w:color w:val="auto"/>
                <w:kern w:val="2"/>
                <w:sz w:val="24"/>
                <w:szCs w:val="24"/>
                <w:highlight w:val="none"/>
                <w:lang w:val="en-US" w:eastAsia="zh-CN" w:bidi="ar-SA"/>
              </w:rPr>
              <w:t>）第6.2条及附录B，采用断面风速法计算以防止粉尘外逸。计算公式为</w:t>
            </w:r>
            <w:r>
              <w:rPr>
                <w:rFonts w:hint="eastAsia"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lang w:val="en-US" w:eastAsia="zh-CN" w:bidi="ar-SA"/>
              </w:rPr>
              <w:t>=3600×(A</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)×V，其中操作面开口面积A</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取1.2m²、工件进出口面积A</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取1.5m²、工艺及其他孔洞面积A</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取0.3m²，开口处平均断面风速V根据规范要求不小于0.6m/s（本评价保守取0.5 m/s），经计算得最小排风量为5400m³/h。</w:t>
            </w:r>
          </w:p>
          <w:p w14:paraId="21A63A2E">
            <w:pPr>
              <w:pStyle w:val="53"/>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根据《涂装作业安全规程 粉末静电喷涂工艺安全》GB15607-20</w:t>
            </w:r>
            <w:r>
              <w:rPr>
                <w:rFonts w:hint="eastAsia"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要求，排风系统需附加10%的管道漏风量，则系统计算风量为5400×1.10=5940m³/h，</w:t>
            </w:r>
            <w:r>
              <w:rPr>
                <w:rFonts w:hint="eastAsia" w:ascii="Times New Roman" w:hAnsi="Times New Roman" w:cs="Times New Roman"/>
                <w:color w:val="auto"/>
                <w:kern w:val="2"/>
                <w:sz w:val="24"/>
                <w:szCs w:val="24"/>
                <w:highlight w:val="none"/>
                <w:lang w:val="en-US" w:eastAsia="zh-CN" w:bidi="ar-SA"/>
              </w:rPr>
              <w:t>则</w:t>
            </w:r>
            <w:r>
              <w:rPr>
                <w:rFonts w:hint="default" w:ascii="Times New Roman" w:hAnsi="Times New Roman" w:eastAsia="宋体" w:cs="Times New Roman"/>
                <w:color w:val="auto"/>
                <w:kern w:val="2"/>
                <w:sz w:val="24"/>
                <w:szCs w:val="24"/>
                <w:highlight w:val="none"/>
                <w:lang w:val="en-US" w:eastAsia="zh-CN" w:bidi="ar-SA"/>
              </w:rPr>
              <w:t>风机设计风量为6000m³/h</w:t>
            </w:r>
          </w:p>
          <w:p w14:paraId="1D650C05">
            <w:pPr>
              <w:pStyle w:val="158"/>
              <w:ind w:firstLine="48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④喷粉固化废气、喷粉、喷漆天然气烘干炉燃烧废气、调漆、喷漆、喷漆固化废气</w:t>
            </w:r>
          </w:p>
          <w:p w14:paraId="75D98CA1">
            <w:pPr>
              <w:pStyle w:val="53"/>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本项目喷粉固化废气、喷粉、喷漆天然气烘干炉燃烧废气、调漆、喷漆、喷漆固化废气分别经过收集后，经</w:t>
            </w:r>
            <w:r>
              <w:rPr>
                <w:rFonts w:hint="eastAsia" w:ascii="Times New Roman" w:cs="Times New Roman"/>
                <w:color w:val="auto"/>
                <w:kern w:val="2"/>
                <w:sz w:val="24"/>
                <w:szCs w:val="24"/>
                <w:highlight w:val="none"/>
                <w:lang w:val="en-US" w:eastAsia="zh-CN" w:bidi="ar-SA"/>
              </w:rPr>
              <w:t>喷淋塔+过滤棉+二级活性炭吸附</w:t>
            </w:r>
            <w:r>
              <w:rPr>
                <w:rFonts w:hint="eastAsia" w:ascii="Times New Roman" w:hAnsi="Times New Roman" w:eastAsia="宋体" w:cs="Times New Roman"/>
                <w:color w:val="auto"/>
                <w:kern w:val="2"/>
                <w:sz w:val="24"/>
                <w:szCs w:val="24"/>
                <w:highlight w:val="none"/>
                <w:lang w:val="en-US" w:eastAsia="zh-CN" w:bidi="ar-SA"/>
              </w:rPr>
              <w:t>净化处理后，通过DA004排气筒排放（高度</w:t>
            </w:r>
            <w:r>
              <w:rPr>
                <w:rFonts w:hint="eastAsia" w:ascii="Times New Roman"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），风机风量为1</w:t>
            </w:r>
            <w:r>
              <w:rPr>
                <w:rFonts w:hint="eastAsia" w:ascii="Times New Roman" w:hAnsi="Times New Roman"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000m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p>
          <w:p w14:paraId="577897A0">
            <w:pPr>
              <w:pStyle w:val="53"/>
              <w:spacing w:line="360" w:lineRule="auto"/>
              <w:ind w:firstLine="480" w:firstLineChars="20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本项目喷粉喷漆漆区总面积为624m</w:t>
            </w:r>
            <w:r>
              <w:rPr>
                <w:rFonts w:hint="eastAsia" w:ascii="Times New Roman" w:hAnsi="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olor w:val="000000" w:themeColor="text1"/>
                <w:highlight w:val="none"/>
                <w:lang w:val="en-US" w:eastAsia="zh-CN"/>
                <w14:textFill>
                  <w14:solidFill>
                    <w14:schemeClr w14:val="tx1"/>
                  </w14:solidFill>
                </w14:textFill>
              </w:rPr>
              <w:t>，高度为3.8m，即局部收集体积为2371.2m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w:t>
            </w:r>
            <w:r>
              <w:rPr>
                <w:rFonts w:hint="eastAsia"/>
              </w:rPr>
              <w:t>为</w:t>
            </w:r>
            <w:r>
              <w:rPr>
                <w:rFonts w:hint="eastAsia" w:ascii="Times New Roman" w:hAnsi="Times New Roman" w:cs="Times New Roman"/>
                <w:color w:val="000000" w:themeColor="text1"/>
                <w:highlight w:val="none"/>
                <w:lang w:val="en-US" w:eastAsia="zh-CN"/>
                <w14:textFill>
                  <w14:solidFill>
                    <w14:schemeClr w14:val="tx1"/>
                  </w14:solidFill>
                </w14:textFill>
              </w:rPr>
              <w:t>确保喷漆、调漆、固化废气的高效捕集，本项目依据即将实施的强制性国家标准GB 14444-2023《涂装作业安全规程喷漆室安全技术规定》第5.3.3条及表2进行设计。该标准规定，对于小型喷漆室，其作业区控制风速应达到0.30m/s～0.45m/s。本次设计取上限值0.45m/s，以实现最保守且可靠的收集效果。</w:t>
            </w:r>
          </w:p>
          <w:p w14:paraId="31A01F9C">
            <w:pPr>
              <w:pStyle w:val="53"/>
              <w:spacing w:line="360" w:lineRule="auto"/>
              <w:ind w:firstLine="480" w:firstLineChars="20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风量计算采用控制风速法，核心是确保在废气逸散的潜在开口处形成足够的吸入气流。经核算，调漆、喷漆及固化区域总有效开口面积约为8m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。据此计算理论最小风量：8m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×0.45m/s×3600s/h=12960m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p>
          <w:p w14:paraId="2BE99640">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在此基础上，综合计入管道系统漏风（系数1.1）及运行安全余量（系数1.15），确定设计风量为：12960 m³/h×(1.1×1.15)=16394.4‬m³/h。为匹配风机标准规格并预留长期运行的适应性，最终将废气收集与处理系统的风机额定风量确定为18000m³/h。该风量可确保各操作单元维持稳定负压，</w:t>
            </w:r>
            <w:r>
              <w:rPr>
                <w:rFonts w:hint="eastAsia" w:ascii="Times New Roman" w:hAnsi="Times New Roman"/>
                <w:color w:val="000000" w:themeColor="text1"/>
                <w:highlight w:val="none"/>
                <w:lang w:val="en-US" w:eastAsia="zh-CN"/>
                <w14:textFill>
                  <w14:solidFill>
                    <w14:schemeClr w14:val="tx1"/>
                  </w14:solidFill>
                </w14:textFill>
              </w:rPr>
              <w:t>通过上述措施以保证废气集气效率为90%。</w:t>
            </w:r>
          </w:p>
          <w:p w14:paraId="4745752E">
            <w:pPr>
              <w:pStyle w:val="53"/>
              <w:spacing w:line="360" w:lineRule="auto"/>
              <w:ind w:firstLine="480" w:firstLineChars="200"/>
              <w:jc w:val="both"/>
              <w:rPr>
                <w:rFonts w:hint="default" w:ascii="Times New Roman" w:hAnsi="Times New Roman" w:cs="Times New Roman"/>
                <w:color w:val="auto"/>
                <w:highlight w:val="none"/>
                <w:lang w:val="en-US" w:eastAsia="zh-CN"/>
              </w:rPr>
            </w:pPr>
            <w:r>
              <w:rPr>
                <w:rFonts w:hint="eastAsia" w:ascii="Times New Roman" w:hAnsi="Times New Roman"/>
                <w:color w:val="auto"/>
                <w:highlight w:val="none"/>
                <w:lang w:val="en-US" w:eastAsia="zh-CN"/>
              </w:rPr>
              <w:t>项目废气污染源源强核算结果及相关参数一览表4.2-2。</w:t>
            </w:r>
          </w:p>
        </w:tc>
      </w:tr>
    </w:tbl>
    <w:p w14:paraId="23B6C4E8">
      <w:pPr>
        <w:adjustRightInd w:val="0"/>
        <w:snapToGrid w:val="0"/>
        <w:spacing w:line="360" w:lineRule="auto"/>
        <w:rPr>
          <w:rFonts w:ascii="宋体" w:cs="宋体"/>
          <w:b/>
          <w:color w:val="auto"/>
          <w:kern w:val="0"/>
          <w:sz w:val="28"/>
          <w:szCs w:val="28"/>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4DE31D85">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auto"/>
          <w:highlight w:val="none"/>
          <w:lang w:val="en-US" w:eastAsia="zh-CN"/>
        </w:rPr>
      </w:pPr>
      <w:r>
        <w:rPr>
          <w:rFonts w:hint="eastAsia"/>
          <w:color w:val="auto"/>
          <w:highlight w:val="none"/>
          <w:lang w:val="en-US" w:eastAsia="zh-CN"/>
        </w:rPr>
        <w:t xml:space="preserve"> 项目废气污染源源强核算结果及相关参数一览表</w:t>
      </w:r>
    </w:p>
    <w:tbl>
      <w:tblPr>
        <w:tblStyle w:val="86"/>
        <w:tblW w:w="140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477"/>
        <w:gridCol w:w="716"/>
        <w:gridCol w:w="344"/>
        <w:gridCol w:w="718"/>
        <w:gridCol w:w="915"/>
        <w:gridCol w:w="708"/>
        <w:gridCol w:w="657"/>
        <w:gridCol w:w="315"/>
        <w:gridCol w:w="587"/>
        <w:gridCol w:w="395"/>
        <w:gridCol w:w="500"/>
        <w:gridCol w:w="500"/>
        <w:gridCol w:w="612"/>
        <w:gridCol w:w="703"/>
        <w:gridCol w:w="708"/>
        <w:gridCol w:w="657"/>
        <w:gridCol w:w="1167"/>
        <w:gridCol w:w="1011"/>
        <w:gridCol w:w="1266"/>
        <w:gridCol w:w="545"/>
      </w:tblGrid>
      <w:tr w14:paraId="7EE113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restart"/>
            <w:tcBorders>
              <w:tl2br w:val="nil"/>
              <w:tr2bl w:val="nil"/>
            </w:tcBorders>
            <w:vAlign w:val="center"/>
          </w:tcPr>
          <w:p w14:paraId="691DF55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产排污环节</w:t>
            </w:r>
          </w:p>
        </w:tc>
        <w:tc>
          <w:tcPr>
            <w:tcW w:w="477" w:type="dxa"/>
            <w:vMerge w:val="restart"/>
            <w:tcBorders>
              <w:tl2br w:val="nil"/>
              <w:tr2bl w:val="nil"/>
            </w:tcBorders>
            <w:vAlign w:val="center"/>
          </w:tcPr>
          <w:p w14:paraId="0FC96B0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w:t>
            </w:r>
          </w:p>
        </w:tc>
        <w:tc>
          <w:tcPr>
            <w:tcW w:w="716" w:type="dxa"/>
            <w:vMerge w:val="restart"/>
            <w:tcBorders>
              <w:tl2br w:val="nil"/>
              <w:tr2bl w:val="nil"/>
            </w:tcBorders>
            <w:vAlign w:val="center"/>
          </w:tcPr>
          <w:p w14:paraId="45AC3A4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污染物种类</w:t>
            </w:r>
          </w:p>
        </w:tc>
        <w:tc>
          <w:tcPr>
            <w:tcW w:w="3342" w:type="dxa"/>
            <w:gridSpan w:val="5"/>
            <w:tcBorders>
              <w:tl2br w:val="nil"/>
              <w:tr2bl w:val="nil"/>
            </w:tcBorders>
            <w:vAlign w:val="center"/>
          </w:tcPr>
          <w:p w14:paraId="4C34805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污染源产生</w:t>
            </w:r>
          </w:p>
        </w:tc>
        <w:tc>
          <w:tcPr>
            <w:tcW w:w="315" w:type="dxa"/>
            <w:vMerge w:val="restart"/>
            <w:tcBorders>
              <w:tl2br w:val="nil"/>
              <w:tr2bl w:val="nil"/>
            </w:tcBorders>
            <w:vAlign w:val="center"/>
          </w:tcPr>
          <w:p w14:paraId="39898F1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排放方式</w:t>
            </w:r>
          </w:p>
        </w:tc>
        <w:tc>
          <w:tcPr>
            <w:tcW w:w="1982" w:type="dxa"/>
            <w:gridSpan w:val="4"/>
            <w:tcBorders>
              <w:tl2br w:val="nil"/>
              <w:tr2bl w:val="nil"/>
            </w:tcBorders>
            <w:vAlign w:val="center"/>
          </w:tcPr>
          <w:p w14:paraId="39969A4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治理措施</w:t>
            </w:r>
          </w:p>
        </w:tc>
        <w:tc>
          <w:tcPr>
            <w:tcW w:w="2680" w:type="dxa"/>
            <w:gridSpan w:val="4"/>
            <w:tcBorders>
              <w:tl2br w:val="nil"/>
              <w:tr2bl w:val="nil"/>
            </w:tcBorders>
            <w:vAlign w:val="center"/>
          </w:tcPr>
          <w:p w14:paraId="74C10D9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污染物排放</w:t>
            </w:r>
          </w:p>
        </w:tc>
        <w:tc>
          <w:tcPr>
            <w:tcW w:w="3444" w:type="dxa"/>
            <w:gridSpan w:val="3"/>
            <w:tcBorders>
              <w:tl2br w:val="nil"/>
              <w:tr2bl w:val="nil"/>
            </w:tcBorders>
            <w:vAlign w:val="center"/>
          </w:tcPr>
          <w:p w14:paraId="415DBB4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排放口基本信息</w:t>
            </w:r>
          </w:p>
        </w:tc>
        <w:tc>
          <w:tcPr>
            <w:tcW w:w="545" w:type="dxa"/>
            <w:vMerge w:val="restart"/>
            <w:tcBorders>
              <w:tl2br w:val="nil"/>
              <w:tr2bl w:val="nil"/>
            </w:tcBorders>
            <w:vAlign w:val="center"/>
          </w:tcPr>
          <w:p w14:paraId="7BCBBC4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排放时间h</w:t>
            </w:r>
          </w:p>
        </w:tc>
      </w:tr>
      <w:tr w14:paraId="701C23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28" w:type="dxa"/>
            <w:vMerge w:val="continue"/>
            <w:tcBorders>
              <w:tl2br w:val="nil"/>
              <w:tr2bl w:val="nil"/>
            </w:tcBorders>
            <w:vAlign w:val="center"/>
          </w:tcPr>
          <w:p w14:paraId="5D3D89E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490F29B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2F5B119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tcBorders>
              <w:tl2br w:val="nil"/>
              <w:tr2bl w:val="nil"/>
            </w:tcBorders>
            <w:vAlign w:val="center"/>
          </w:tcPr>
          <w:p w14:paraId="14DD050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核算方法</w:t>
            </w:r>
          </w:p>
        </w:tc>
        <w:tc>
          <w:tcPr>
            <w:tcW w:w="718" w:type="dxa"/>
            <w:tcBorders>
              <w:tl2br w:val="nil"/>
              <w:tr2bl w:val="nil"/>
            </w:tcBorders>
            <w:vAlign w:val="center"/>
          </w:tcPr>
          <w:p w14:paraId="636602D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废气量/(m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/h)</w:t>
            </w:r>
          </w:p>
        </w:tc>
        <w:tc>
          <w:tcPr>
            <w:tcW w:w="915" w:type="dxa"/>
            <w:tcBorders>
              <w:tl2br w:val="nil"/>
              <w:tr2bl w:val="nil"/>
            </w:tcBorders>
            <w:vAlign w:val="center"/>
          </w:tcPr>
          <w:p w14:paraId="37FBBEC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产生浓度/(mg/m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w:t>
            </w:r>
          </w:p>
        </w:tc>
        <w:tc>
          <w:tcPr>
            <w:tcW w:w="708" w:type="dxa"/>
            <w:tcBorders>
              <w:tl2br w:val="nil"/>
              <w:tr2bl w:val="nil"/>
            </w:tcBorders>
            <w:vAlign w:val="center"/>
          </w:tcPr>
          <w:p w14:paraId="3454461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产生速率/kg/h</w:t>
            </w:r>
          </w:p>
        </w:tc>
        <w:tc>
          <w:tcPr>
            <w:tcW w:w="657" w:type="dxa"/>
            <w:tcBorders>
              <w:tl2br w:val="nil"/>
              <w:tr2bl w:val="nil"/>
            </w:tcBorders>
            <w:vAlign w:val="center"/>
          </w:tcPr>
          <w:p w14:paraId="1B82526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产生量/t/a</w:t>
            </w:r>
          </w:p>
        </w:tc>
        <w:tc>
          <w:tcPr>
            <w:tcW w:w="315" w:type="dxa"/>
            <w:vMerge w:val="continue"/>
            <w:tcBorders>
              <w:tl2br w:val="nil"/>
              <w:tr2bl w:val="nil"/>
            </w:tcBorders>
            <w:vAlign w:val="center"/>
          </w:tcPr>
          <w:p w14:paraId="412ECA8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587" w:type="dxa"/>
            <w:tcBorders>
              <w:tl2br w:val="nil"/>
              <w:tr2bl w:val="nil"/>
            </w:tcBorders>
            <w:vAlign w:val="center"/>
          </w:tcPr>
          <w:p w14:paraId="1BC08C0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处理能力及工艺</w:t>
            </w:r>
          </w:p>
        </w:tc>
        <w:tc>
          <w:tcPr>
            <w:tcW w:w="395" w:type="dxa"/>
            <w:tcBorders>
              <w:tl2br w:val="nil"/>
              <w:tr2bl w:val="nil"/>
            </w:tcBorders>
            <w:vAlign w:val="center"/>
          </w:tcPr>
          <w:p w14:paraId="13CD6FA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收集效率</w:t>
            </w:r>
          </w:p>
        </w:tc>
        <w:tc>
          <w:tcPr>
            <w:tcW w:w="500" w:type="dxa"/>
            <w:tcBorders>
              <w:tl2br w:val="nil"/>
              <w:tr2bl w:val="nil"/>
            </w:tcBorders>
            <w:vAlign w:val="center"/>
          </w:tcPr>
          <w:p w14:paraId="4B6CAF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工艺去除率</w:t>
            </w:r>
          </w:p>
        </w:tc>
        <w:tc>
          <w:tcPr>
            <w:tcW w:w="500" w:type="dxa"/>
            <w:tcBorders>
              <w:tl2br w:val="nil"/>
              <w:tr2bl w:val="nil"/>
            </w:tcBorders>
            <w:vAlign w:val="center"/>
          </w:tcPr>
          <w:p w14:paraId="64E2587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是否为可行技术</w:t>
            </w:r>
          </w:p>
        </w:tc>
        <w:tc>
          <w:tcPr>
            <w:tcW w:w="612" w:type="dxa"/>
            <w:tcBorders>
              <w:tl2br w:val="nil"/>
              <w:tr2bl w:val="nil"/>
            </w:tcBorders>
            <w:vAlign w:val="center"/>
          </w:tcPr>
          <w:p w14:paraId="4E2A08F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废气量/(m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/h)</w:t>
            </w:r>
          </w:p>
        </w:tc>
        <w:tc>
          <w:tcPr>
            <w:tcW w:w="703" w:type="dxa"/>
            <w:tcBorders>
              <w:tl2br w:val="nil"/>
              <w:tr2bl w:val="nil"/>
            </w:tcBorders>
            <w:vAlign w:val="center"/>
          </w:tcPr>
          <w:p w14:paraId="3D8273A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排放浓度/mg/m</w:t>
            </w:r>
            <w:r>
              <w:rPr>
                <w:rFonts w:hint="eastAsia" w:ascii="Times New Roman" w:hAnsi="Times New Roman" w:eastAsia="宋体" w:cs="Times New Roman"/>
                <w:color w:val="auto"/>
                <w:sz w:val="21"/>
                <w:szCs w:val="21"/>
                <w:highlight w:val="none"/>
                <w:vertAlign w:val="superscript"/>
              </w:rPr>
              <w:t>3</w:t>
            </w:r>
          </w:p>
        </w:tc>
        <w:tc>
          <w:tcPr>
            <w:tcW w:w="708" w:type="dxa"/>
            <w:tcBorders>
              <w:tl2br w:val="nil"/>
              <w:tr2bl w:val="nil"/>
            </w:tcBorders>
            <w:vAlign w:val="center"/>
          </w:tcPr>
          <w:p w14:paraId="02696D6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排放速率/kg/h</w:t>
            </w:r>
          </w:p>
        </w:tc>
        <w:tc>
          <w:tcPr>
            <w:tcW w:w="657" w:type="dxa"/>
            <w:tcBorders>
              <w:tl2br w:val="nil"/>
              <w:tr2bl w:val="nil"/>
            </w:tcBorders>
            <w:vAlign w:val="center"/>
          </w:tcPr>
          <w:p w14:paraId="14C71E2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排放量/t/a</w:t>
            </w:r>
          </w:p>
        </w:tc>
        <w:tc>
          <w:tcPr>
            <w:tcW w:w="1167" w:type="dxa"/>
            <w:tcBorders>
              <w:tl2br w:val="nil"/>
              <w:tr2bl w:val="nil"/>
            </w:tcBorders>
            <w:vAlign w:val="center"/>
          </w:tcPr>
          <w:p w14:paraId="7D07A55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排气筒内径、高度、温度</w:t>
            </w:r>
          </w:p>
        </w:tc>
        <w:tc>
          <w:tcPr>
            <w:tcW w:w="1011" w:type="dxa"/>
            <w:tcBorders>
              <w:tl2br w:val="nil"/>
              <w:tr2bl w:val="nil"/>
            </w:tcBorders>
            <w:vAlign w:val="center"/>
          </w:tcPr>
          <w:p w14:paraId="1FDB62D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编号及名称、类型</w:t>
            </w:r>
          </w:p>
        </w:tc>
        <w:tc>
          <w:tcPr>
            <w:tcW w:w="1266" w:type="dxa"/>
            <w:tcBorders>
              <w:tl2br w:val="nil"/>
              <w:tr2bl w:val="nil"/>
            </w:tcBorders>
            <w:vAlign w:val="center"/>
          </w:tcPr>
          <w:p w14:paraId="22E2063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地理坐标</w:t>
            </w:r>
          </w:p>
        </w:tc>
        <w:tc>
          <w:tcPr>
            <w:tcW w:w="545" w:type="dxa"/>
            <w:vMerge w:val="continue"/>
            <w:tcBorders>
              <w:tl2br w:val="nil"/>
              <w:tr2bl w:val="nil"/>
            </w:tcBorders>
            <w:vAlign w:val="center"/>
          </w:tcPr>
          <w:p w14:paraId="6B049CD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38214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528" w:type="dxa"/>
            <w:vMerge w:val="restart"/>
            <w:tcBorders>
              <w:tl2br w:val="nil"/>
              <w:tr2bl w:val="nil"/>
            </w:tcBorders>
            <w:shd w:val="clear" w:color="auto" w:fill="auto"/>
            <w:vAlign w:val="center"/>
          </w:tcPr>
          <w:p w14:paraId="1AD5ED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电泳、</w:t>
            </w:r>
          </w:p>
          <w:p w14:paraId="2CAC16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固化废气</w:t>
            </w:r>
          </w:p>
        </w:tc>
        <w:tc>
          <w:tcPr>
            <w:tcW w:w="477" w:type="dxa"/>
            <w:vMerge w:val="restart"/>
            <w:tcBorders>
              <w:tl2br w:val="nil"/>
              <w:tr2bl w:val="nil"/>
            </w:tcBorders>
            <w:shd w:val="clear" w:color="auto" w:fill="auto"/>
            <w:vAlign w:val="center"/>
          </w:tcPr>
          <w:p w14:paraId="0C8699C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电泳、</w:t>
            </w:r>
          </w:p>
          <w:p w14:paraId="21954AA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固化</w:t>
            </w:r>
          </w:p>
        </w:tc>
        <w:tc>
          <w:tcPr>
            <w:tcW w:w="716" w:type="dxa"/>
            <w:tcBorders>
              <w:tl2br w:val="nil"/>
              <w:tr2bl w:val="nil"/>
            </w:tcBorders>
            <w:shd w:val="clear" w:color="auto" w:fill="auto"/>
            <w:vAlign w:val="center"/>
          </w:tcPr>
          <w:p w14:paraId="00C7B30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c>
          <w:tcPr>
            <w:tcW w:w="344" w:type="dxa"/>
            <w:vMerge w:val="restart"/>
            <w:tcBorders>
              <w:tl2br w:val="nil"/>
              <w:tr2bl w:val="nil"/>
            </w:tcBorders>
            <w:shd w:val="clear" w:color="auto" w:fill="auto"/>
            <w:vAlign w:val="center"/>
          </w:tcPr>
          <w:p w14:paraId="008CB66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shd w:val="clear" w:color="auto" w:fill="auto"/>
            <w:vAlign w:val="center"/>
          </w:tcPr>
          <w:p w14:paraId="3B2785D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2D51031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35.3</w:t>
            </w:r>
          </w:p>
        </w:tc>
        <w:tc>
          <w:tcPr>
            <w:tcW w:w="708" w:type="dxa"/>
            <w:tcBorders>
              <w:tl2br w:val="nil"/>
              <w:tr2bl w:val="nil"/>
            </w:tcBorders>
            <w:shd w:val="clear" w:color="auto" w:fill="auto"/>
            <w:vAlign w:val="center"/>
          </w:tcPr>
          <w:p w14:paraId="139F642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0.353</w:t>
            </w:r>
          </w:p>
        </w:tc>
        <w:tc>
          <w:tcPr>
            <w:tcW w:w="657" w:type="dxa"/>
            <w:tcBorders>
              <w:tl2br w:val="nil"/>
              <w:tr2bl w:val="nil"/>
            </w:tcBorders>
            <w:shd w:val="clear" w:color="auto" w:fill="auto"/>
            <w:vAlign w:val="center"/>
          </w:tcPr>
          <w:p w14:paraId="19011F8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0.847</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shd w:val="clear" w:color="auto" w:fill="auto"/>
            <w:vAlign w:val="center"/>
          </w:tcPr>
          <w:p w14:paraId="6AAA489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2AC54EF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1725C6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55B150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51B7144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14:paraId="33EB73E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18A4F76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8.83</w:t>
            </w:r>
          </w:p>
        </w:tc>
        <w:tc>
          <w:tcPr>
            <w:tcW w:w="708" w:type="dxa"/>
            <w:tcBorders>
              <w:tl2br w:val="nil"/>
              <w:tr2bl w:val="nil"/>
            </w:tcBorders>
            <w:shd w:val="clear" w:color="auto" w:fill="auto"/>
            <w:vAlign w:val="center"/>
          </w:tcPr>
          <w:p w14:paraId="1C0E039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0.0883</w:t>
            </w:r>
          </w:p>
        </w:tc>
        <w:tc>
          <w:tcPr>
            <w:tcW w:w="657" w:type="dxa"/>
            <w:tcBorders>
              <w:tl2br w:val="nil"/>
              <w:tr2bl w:val="nil"/>
            </w:tcBorders>
            <w:shd w:val="clear" w:color="auto" w:fill="auto"/>
            <w:vAlign w:val="center"/>
          </w:tcPr>
          <w:p w14:paraId="6ABB802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0.2118</w:t>
            </w:r>
          </w:p>
        </w:tc>
        <w:tc>
          <w:tcPr>
            <w:tcW w:w="1167" w:type="dxa"/>
            <w:tcBorders>
              <w:tl2br w:val="nil"/>
              <w:tr2bl w:val="nil"/>
            </w:tcBorders>
            <w:shd w:val="clear" w:color="auto" w:fill="auto"/>
            <w:vAlign w:val="center"/>
          </w:tcPr>
          <w:p w14:paraId="794B5DA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195F467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3A442A8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291F698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250682E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667D7D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25.8060903°</w:t>
            </w:r>
          </w:p>
        </w:tc>
        <w:tc>
          <w:tcPr>
            <w:tcW w:w="545" w:type="dxa"/>
            <w:vMerge w:val="restart"/>
            <w:tcBorders>
              <w:tl2br w:val="nil"/>
              <w:tr2bl w:val="nil"/>
            </w:tcBorders>
            <w:shd w:val="clear" w:color="auto" w:fill="auto"/>
            <w:vAlign w:val="center"/>
          </w:tcPr>
          <w:p w14:paraId="70FD2422">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eastAsia" w:ascii="Times New Roman" w:hAnsi="Times New Roman" w:eastAsia="宋体" w:cs="Times New Roman"/>
                <w:color w:val="auto"/>
                <w:sz w:val="21"/>
                <w:szCs w:val="21"/>
                <w:highlight w:val="none"/>
                <w:lang w:val="en-US" w:eastAsia="zh-CN"/>
              </w:rPr>
              <w:t>00</w:t>
            </w:r>
          </w:p>
        </w:tc>
      </w:tr>
      <w:tr w14:paraId="05BA31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230DEA8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4069A1E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shd w:val="clear" w:color="auto" w:fill="auto"/>
            <w:vAlign w:val="center"/>
          </w:tcPr>
          <w:p w14:paraId="6EF6CC5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c>
          <w:tcPr>
            <w:tcW w:w="344" w:type="dxa"/>
            <w:vMerge w:val="continue"/>
            <w:tcBorders>
              <w:tl2br w:val="nil"/>
              <w:tr2bl w:val="nil"/>
            </w:tcBorders>
            <w:shd w:val="clear" w:color="auto" w:fill="auto"/>
            <w:vAlign w:val="center"/>
          </w:tcPr>
          <w:p w14:paraId="5CE1444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5C5483D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3939B37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36008B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0.0392</w:t>
            </w:r>
          </w:p>
        </w:tc>
        <w:tc>
          <w:tcPr>
            <w:tcW w:w="657" w:type="dxa"/>
            <w:tcBorders>
              <w:tl2br w:val="nil"/>
              <w:tr2bl w:val="nil"/>
            </w:tcBorders>
            <w:shd w:val="clear" w:color="auto" w:fill="auto"/>
            <w:vAlign w:val="center"/>
          </w:tcPr>
          <w:p w14:paraId="6F76D9F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0.0941</w:t>
            </w:r>
          </w:p>
        </w:tc>
        <w:tc>
          <w:tcPr>
            <w:tcW w:w="315" w:type="dxa"/>
            <w:tcBorders>
              <w:tl2br w:val="nil"/>
              <w:tr2bl w:val="nil"/>
            </w:tcBorders>
            <w:shd w:val="clear" w:color="auto" w:fill="auto"/>
            <w:vAlign w:val="center"/>
          </w:tcPr>
          <w:p w14:paraId="7F8B20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0BACE17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119EFAA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29F179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AFABF5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53891A9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73524C4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911047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0.0392</w:t>
            </w:r>
          </w:p>
        </w:tc>
        <w:tc>
          <w:tcPr>
            <w:tcW w:w="657" w:type="dxa"/>
            <w:tcBorders>
              <w:tl2br w:val="nil"/>
              <w:tr2bl w:val="nil"/>
            </w:tcBorders>
            <w:shd w:val="clear" w:color="auto" w:fill="auto"/>
            <w:vAlign w:val="center"/>
          </w:tcPr>
          <w:p w14:paraId="13A4A1B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0.0941</w:t>
            </w:r>
          </w:p>
        </w:tc>
        <w:tc>
          <w:tcPr>
            <w:tcW w:w="1167" w:type="dxa"/>
            <w:tcBorders>
              <w:tl2br w:val="nil"/>
              <w:tr2bl w:val="nil"/>
            </w:tcBorders>
            <w:shd w:val="clear" w:color="auto" w:fill="auto"/>
            <w:vAlign w:val="center"/>
          </w:tcPr>
          <w:p w14:paraId="4C57F32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33E9EDF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32BF4F9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240262E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BDE45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restart"/>
            <w:tcBorders>
              <w:tl2br w:val="nil"/>
              <w:tr2bl w:val="nil"/>
            </w:tcBorders>
            <w:shd w:val="clear" w:color="auto" w:fill="auto"/>
            <w:vAlign w:val="center"/>
          </w:tcPr>
          <w:p w14:paraId="4F5B72E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7DF68F5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燃烧废</w:t>
            </w:r>
          </w:p>
          <w:p w14:paraId="38A9D3D1">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气</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电泳）</w:t>
            </w:r>
          </w:p>
        </w:tc>
        <w:tc>
          <w:tcPr>
            <w:tcW w:w="477" w:type="dxa"/>
            <w:vMerge w:val="restart"/>
            <w:tcBorders>
              <w:tl2br w:val="nil"/>
              <w:tr2bl w:val="nil"/>
            </w:tcBorders>
            <w:shd w:val="clear" w:color="auto" w:fill="auto"/>
            <w:vAlign w:val="center"/>
          </w:tcPr>
          <w:p w14:paraId="4EB6B29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45FF6E8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电泳）</w:t>
            </w:r>
          </w:p>
        </w:tc>
        <w:tc>
          <w:tcPr>
            <w:tcW w:w="716" w:type="dxa"/>
            <w:vMerge w:val="restart"/>
            <w:tcBorders>
              <w:tl2br w:val="nil"/>
              <w:tr2bl w:val="nil"/>
            </w:tcBorders>
            <w:shd w:val="clear" w:color="auto" w:fill="auto"/>
            <w:vAlign w:val="center"/>
          </w:tcPr>
          <w:p w14:paraId="7D76CB7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烟尘（颗粒物）</w:t>
            </w:r>
          </w:p>
        </w:tc>
        <w:tc>
          <w:tcPr>
            <w:tcW w:w="344" w:type="dxa"/>
            <w:vMerge w:val="restart"/>
            <w:tcBorders>
              <w:tl2br w:val="nil"/>
              <w:tr2bl w:val="nil"/>
            </w:tcBorders>
            <w:shd w:val="clear" w:color="auto" w:fill="auto"/>
            <w:vAlign w:val="center"/>
          </w:tcPr>
          <w:p w14:paraId="361963B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shd w:val="clear" w:color="auto" w:fill="auto"/>
            <w:vAlign w:val="center"/>
          </w:tcPr>
          <w:p w14:paraId="4F0C8F2C">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1E8C8ACC">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0.43</w:t>
            </w:r>
          </w:p>
        </w:tc>
        <w:tc>
          <w:tcPr>
            <w:tcW w:w="708" w:type="dxa"/>
            <w:tcBorders>
              <w:tl2br w:val="nil"/>
              <w:tr2bl w:val="nil"/>
            </w:tcBorders>
            <w:shd w:val="clear" w:color="auto" w:fill="auto"/>
            <w:vAlign w:val="center"/>
          </w:tcPr>
          <w:p w14:paraId="36EC415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0.0043</w:t>
            </w:r>
          </w:p>
        </w:tc>
        <w:tc>
          <w:tcPr>
            <w:tcW w:w="657" w:type="dxa"/>
            <w:tcBorders>
              <w:tl2br w:val="nil"/>
              <w:tr2bl w:val="nil"/>
            </w:tcBorders>
            <w:shd w:val="clear" w:color="auto" w:fill="auto"/>
            <w:vAlign w:val="center"/>
          </w:tcPr>
          <w:p w14:paraId="5500945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0.010</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shd w:val="clear" w:color="auto" w:fill="auto"/>
            <w:vAlign w:val="center"/>
          </w:tcPr>
          <w:p w14:paraId="30126A1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3E5FFEEE">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03886B6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6C0F28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68FF6A1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32F2E41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0A44BF9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0.43</w:t>
            </w:r>
          </w:p>
        </w:tc>
        <w:tc>
          <w:tcPr>
            <w:tcW w:w="708" w:type="dxa"/>
            <w:tcBorders>
              <w:tl2br w:val="nil"/>
              <w:tr2bl w:val="nil"/>
            </w:tcBorders>
            <w:shd w:val="clear" w:color="auto" w:fill="auto"/>
            <w:vAlign w:val="center"/>
          </w:tcPr>
          <w:p w14:paraId="278BA9A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0.0043</w:t>
            </w:r>
          </w:p>
        </w:tc>
        <w:tc>
          <w:tcPr>
            <w:tcW w:w="657" w:type="dxa"/>
            <w:tcBorders>
              <w:tl2br w:val="nil"/>
              <w:tr2bl w:val="nil"/>
            </w:tcBorders>
            <w:shd w:val="clear" w:color="auto" w:fill="auto"/>
            <w:vAlign w:val="center"/>
          </w:tcPr>
          <w:p w14:paraId="7F40F18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0.0103</w:t>
            </w:r>
          </w:p>
        </w:tc>
        <w:tc>
          <w:tcPr>
            <w:tcW w:w="1167" w:type="dxa"/>
            <w:tcBorders>
              <w:tl2br w:val="nil"/>
              <w:tr2bl w:val="nil"/>
            </w:tcBorders>
            <w:shd w:val="clear" w:color="auto" w:fill="auto"/>
            <w:vAlign w:val="center"/>
          </w:tcPr>
          <w:p w14:paraId="36B75FB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117BD45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2684723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4F2F372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6E9061C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DC4C6B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458E351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1F7A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3B4050F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4831E79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6E207C0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16686F5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4194D5F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78B947C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06AAC6B">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0.0005</w:t>
            </w:r>
          </w:p>
        </w:tc>
        <w:tc>
          <w:tcPr>
            <w:tcW w:w="657" w:type="dxa"/>
            <w:tcBorders>
              <w:tl2br w:val="nil"/>
              <w:tr2bl w:val="nil"/>
            </w:tcBorders>
            <w:shd w:val="clear" w:color="auto" w:fill="auto"/>
            <w:vAlign w:val="center"/>
          </w:tcPr>
          <w:p w14:paraId="4A5C324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315" w:type="dxa"/>
            <w:tcBorders>
              <w:tl2br w:val="nil"/>
              <w:tr2bl w:val="nil"/>
            </w:tcBorders>
            <w:shd w:val="clear" w:color="auto" w:fill="auto"/>
            <w:vAlign w:val="center"/>
          </w:tcPr>
          <w:p w14:paraId="3F533B7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4257C36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0BD8B5A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066535D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4B5810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4839D45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3B5B920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C342F8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0.0005</w:t>
            </w:r>
          </w:p>
        </w:tc>
        <w:tc>
          <w:tcPr>
            <w:tcW w:w="657" w:type="dxa"/>
            <w:tcBorders>
              <w:tl2br w:val="nil"/>
              <w:tr2bl w:val="nil"/>
            </w:tcBorders>
            <w:shd w:val="clear" w:color="auto" w:fill="auto"/>
            <w:vAlign w:val="center"/>
          </w:tcPr>
          <w:p w14:paraId="2E8408F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1167" w:type="dxa"/>
            <w:tcBorders>
              <w:tl2br w:val="nil"/>
              <w:tr2bl w:val="nil"/>
            </w:tcBorders>
            <w:shd w:val="clear" w:color="auto" w:fill="auto"/>
            <w:vAlign w:val="center"/>
          </w:tcPr>
          <w:p w14:paraId="0F135CF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501508E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4731E7A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1629B3D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3D09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778ECC1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2A84991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shd w:val="clear" w:color="auto" w:fill="auto"/>
            <w:vAlign w:val="center"/>
          </w:tcPr>
          <w:p w14:paraId="2F2B4AD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position w:val="1"/>
                <w:sz w:val="21"/>
                <w:szCs w:val="20"/>
                <w:highlight w:val="none"/>
              </w:rPr>
              <w:t>SO</w:t>
            </w:r>
            <w:r>
              <w:rPr>
                <w:rFonts w:ascii="Times New Roman" w:hAnsi="Times New Roman" w:eastAsia="宋体" w:cs="Times New Roman"/>
                <w:color w:val="auto"/>
                <w:spacing w:val="3"/>
                <w:position w:val="1"/>
                <w:sz w:val="21"/>
                <w:szCs w:val="13"/>
                <w:highlight w:val="none"/>
                <w:vertAlign w:val="subscript"/>
              </w:rPr>
              <w:t>2</w:t>
            </w:r>
          </w:p>
        </w:tc>
        <w:tc>
          <w:tcPr>
            <w:tcW w:w="344" w:type="dxa"/>
            <w:vMerge w:val="continue"/>
            <w:tcBorders>
              <w:tl2br w:val="nil"/>
              <w:tr2bl w:val="nil"/>
            </w:tcBorders>
            <w:shd w:val="clear" w:color="auto" w:fill="auto"/>
            <w:vAlign w:val="center"/>
          </w:tcPr>
          <w:p w14:paraId="7ACE1A2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5E7114A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79BE448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0.30</w:t>
            </w:r>
          </w:p>
        </w:tc>
        <w:tc>
          <w:tcPr>
            <w:tcW w:w="708" w:type="dxa"/>
            <w:tcBorders>
              <w:tl2br w:val="nil"/>
              <w:tr2bl w:val="nil"/>
            </w:tcBorders>
            <w:shd w:val="clear" w:color="auto" w:fill="auto"/>
            <w:vAlign w:val="center"/>
          </w:tcPr>
          <w:p w14:paraId="56A0A55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0.0030</w:t>
            </w:r>
          </w:p>
        </w:tc>
        <w:tc>
          <w:tcPr>
            <w:tcW w:w="657" w:type="dxa"/>
            <w:tcBorders>
              <w:tl2br w:val="nil"/>
              <w:tr2bl w:val="nil"/>
            </w:tcBorders>
            <w:shd w:val="clear" w:color="auto" w:fill="auto"/>
            <w:vAlign w:val="center"/>
          </w:tcPr>
          <w:p w14:paraId="0F340DF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0.0072</w:t>
            </w:r>
          </w:p>
        </w:tc>
        <w:tc>
          <w:tcPr>
            <w:tcW w:w="315" w:type="dxa"/>
            <w:tcBorders>
              <w:tl2br w:val="nil"/>
              <w:tr2bl w:val="nil"/>
            </w:tcBorders>
            <w:shd w:val="clear" w:color="auto" w:fill="auto"/>
            <w:vAlign w:val="center"/>
          </w:tcPr>
          <w:p w14:paraId="5608173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51CB11E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34819DE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1E0056F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572644D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5797252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7FF2ED6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w:t>
            </w:r>
          </w:p>
        </w:tc>
        <w:tc>
          <w:tcPr>
            <w:tcW w:w="708" w:type="dxa"/>
            <w:tcBorders>
              <w:tl2br w:val="nil"/>
              <w:tr2bl w:val="nil"/>
            </w:tcBorders>
            <w:shd w:val="clear" w:color="auto" w:fill="auto"/>
            <w:vAlign w:val="center"/>
          </w:tcPr>
          <w:p w14:paraId="21B69B1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0.0030</w:t>
            </w:r>
          </w:p>
        </w:tc>
        <w:tc>
          <w:tcPr>
            <w:tcW w:w="657" w:type="dxa"/>
            <w:tcBorders>
              <w:tl2br w:val="nil"/>
              <w:tr2bl w:val="nil"/>
            </w:tcBorders>
            <w:shd w:val="clear" w:color="auto" w:fill="auto"/>
            <w:vAlign w:val="center"/>
          </w:tcPr>
          <w:p w14:paraId="18A9691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0.0072</w:t>
            </w:r>
          </w:p>
        </w:tc>
        <w:tc>
          <w:tcPr>
            <w:tcW w:w="1167" w:type="dxa"/>
            <w:tcBorders>
              <w:tl2br w:val="nil"/>
              <w:tr2bl w:val="nil"/>
            </w:tcBorders>
            <w:shd w:val="clear" w:color="auto" w:fill="auto"/>
            <w:vAlign w:val="center"/>
          </w:tcPr>
          <w:p w14:paraId="5AF045F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4762F2C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538DAF7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729F07A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28075F2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148E015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4CD8E55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2E5E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2B86904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50D23C5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1B1151C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2D50CC5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17B40FD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561F068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4ADDEB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657" w:type="dxa"/>
            <w:tcBorders>
              <w:tl2br w:val="nil"/>
              <w:tr2bl w:val="nil"/>
            </w:tcBorders>
            <w:shd w:val="clear" w:color="auto" w:fill="auto"/>
            <w:vAlign w:val="center"/>
          </w:tcPr>
          <w:p w14:paraId="7E99646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315" w:type="dxa"/>
            <w:tcBorders>
              <w:tl2br w:val="nil"/>
              <w:tr2bl w:val="nil"/>
            </w:tcBorders>
            <w:shd w:val="clear" w:color="auto" w:fill="auto"/>
            <w:vAlign w:val="center"/>
          </w:tcPr>
          <w:p w14:paraId="40FE0F6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A19F36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53EED63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640BBF0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C38C71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7570FF3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70683D4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DF6A26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657" w:type="dxa"/>
            <w:tcBorders>
              <w:tl2br w:val="nil"/>
              <w:tr2bl w:val="nil"/>
            </w:tcBorders>
            <w:shd w:val="clear" w:color="auto" w:fill="auto"/>
            <w:vAlign w:val="center"/>
          </w:tcPr>
          <w:p w14:paraId="7399EFC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1167" w:type="dxa"/>
            <w:tcBorders>
              <w:tl2br w:val="nil"/>
              <w:tr2bl w:val="nil"/>
            </w:tcBorders>
            <w:shd w:val="clear" w:color="auto" w:fill="auto"/>
            <w:vAlign w:val="center"/>
          </w:tcPr>
          <w:p w14:paraId="2BD3108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08E609F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4CFEA3A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4BBB454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1B787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663758A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3F910D2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shd w:val="clear" w:color="auto" w:fill="auto"/>
            <w:vAlign w:val="center"/>
          </w:tcPr>
          <w:p w14:paraId="02555BC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0"/>
                <w:highlight w:val="none"/>
              </w:rPr>
              <w:t>NOx</w:t>
            </w:r>
          </w:p>
        </w:tc>
        <w:tc>
          <w:tcPr>
            <w:tcW w:w="344" w:type="dxa"/>
            <w:vMerge w:val="continue"/>
            <w:tcBorders>
              <w:tl2br w:val="nil"/>
              <w:tr2bl w:val="nil"/>
            </w:tcBorders>
            <w:shd w:val="clear" w:color="auto" w:fill="auto"/>
            <w:vAlign w:val="center"/>
          </w:tcPr>
          <w:p w14:paraId="7D20128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2741A4B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395ACC8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2.38</w:t>
            </w:r>
          </w:p>
        </w:tc>
        <w:tc>
          <w:tcPr>
            <w:tcW w:w="708" w:type="dxa"/>
            <w:tcBorders>
              <w:tl2br w:val="nil"/>
              <w:tr2bl w:val="nil"/>
            </w:tcBorders>
            <w:shd w:val="clear" w:color="auto" w:fill="auto"/>
            <w:vAlign w:val="center"/>
          </w:tcPr>
          <w:p w14:paraId="7FD9B9A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0.0238</w:t>
            </w:r>
          </w:p>
        </w:tc>
        <w:tc>
          <w:tcPr>
            <w:tcW w:w="657" w:type="dxa"/>
            <w:tcBorders>
              <w:tl2br w:val="nil"/>
              <w:tr2bl w:val="nil"/>
            </w:tcBorders>
            <w:shd w:val="clear" w:color="auto" w:fill="auto"/>
            <w:vAlign w:val="center"/>
          </w:tcPr>
          <w:p w14:paraId="1D368C6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0.0571</w:t>
            </w:r>
          </w:p>
        </w:tc>
        <w:tc>
          <w:tcPr>
            <w:tcW w:w="315" w:type="dxa"/>
            <w:tcBorders>
              <w:tl2br w:val="nil"/>
              <w:tr2bl w:val="nil"/>
            </w:tcBorders>
            <w:shd w:val="clear" w:color="auto" w:fill="auto"/>
            <w:vAlign w:val="center"/>
          </w:tcPr>
          <w:p w14:paraId="46CC78A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2AAB7B3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0B5DE8F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6733B19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0FB4C8B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7CE4B54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076A05F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2.38</w:t>
            </w:r>
          </w:p>
        </w:tc>
        <w:tc>
          <w:tcPr>
            <w:tcW w:w="708" w:type="dxa"/>
            <w:tcBorders>
              <w:tl2br w:val="nil"/>
              <w:tr2bl w:val="nil"/>
            </w:tcBorders>
            <w:shd w:val="clear" w:color="auto" w:fill="auto"/>
            <w:vAlign w:val="center"/>
          </w:tcPr>
          <w:p w14:paraId="0B7E90C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0.0238</w:t>
            </w:r>
          </w:p>
        </w:tc>
        <w:tc>
          <w:tcPr>
            <w:tcW w:w="657" w:type="dxa"/>
            <w:tcBorders>
              <w:tl2br w:val="nil"/>
              <w:tr2bl w:val="nil"/>
            </w:tcBorders>
            <w:shd w:val="clear" w:color="auto" w:fill="auto"/>
            <w:vAlign w:val="center"/>
          </w:tcPr>
          <w:p w14:paraId="7DD7423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0.0571</w:t>
            </w:r>
          </w:p>
        </w:tc>
        <w:tc>
          <w:tcPr>
            <w:tcW w:w="1167" w:type="dxa"/>
            <w:tcBorders>
              <w:tl2br w:val="nil"/>
              <w:tr2bl w:val="nil"/>
            </w:tcBorders>
            <w:shd w:val="clear" w:color="auto" w:fill="auto"/>
            <w:vAlign w:val="center"/>
          </w:tcPr>
          <w:p w14:paraId="760DCA8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6DDD94F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33AFF03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4CCF7F7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24ED53D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62EDCD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39774D4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B888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14:paraId="6F72432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395B16B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4D1173B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6D07A7A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3C2D7BE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6D641BF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1164F0E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657" w:type="dxa"/>
            <w:tcBorders>
              <w:tl2br w:val="nil"/>
              <w:tr2bl w:val="nil"/>
            </w:tcBorders>
            <w:shd w:val="clear" w:color="auto" w:fill="auto"/>
            <w:vAlign w:val="center"/>
          </w:tcPr>
          <w:p w14:paraId="3EE8ABE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0.0063</w:t>
            </w:r>
          </w:p>
        </w:tc>
        <w:tc>
          <w:tcPr>
            <w:tcW w:w="315" w:type="dxa"/>
            <w:tcBorders>
              <w:tl2br w:val="nil"/>
              <w:tr2bl w:val="nil"/>
            </w:tcBorders>
            <w:shd w:val="clear" w:color="auto" w:fill="auto"/>
            <w:vAlign w:val="center"/>
          </w:tcPr>
          <w:p w14:paraId="5284C8A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7E5208F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2609463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0AF4696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16D7812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7F19B39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450D072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64420B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657" w:type="dxa"/>
            <w:tcBorders>
              <w:tl2br w:val="nil"/>
              <w:tr2bl w:val="nil"/>
            </w:tcBorders>
            <w:shd w:val="clear" w:color="auto" w:fill="auto"/>
            <w:vAlign w:val="center"/>
          </w:tcPr>
          <w:p w14:paraId="6B7B19E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0.0063</w:t>
            </w:r>
          </w:p>
        </w:tc>
        <w:tc>
          <w:tcPr>
            <w:tcW w:w="1167" w:type="dxa"/>
            <w:tcBorders>
              <w:tl2br w:val="nil"/>
              <w:tr2bl w:val="nil"/>
            </w:tcBorders>
            <w:shd w:val="clear" w:color="auto" w:fill="auto"/>
            <w:vAlign w:val="center"/>
          </w:tcPr>
          <w:p w14:paraId="11CEE9A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42B7E7F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61EBEAD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4B291E5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1EC4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528" w:type="dxa"/>
            <w:vMerge w:val="restart"/>
            <w:tcBorders>
              <w:tl2br w:val="nil"/>
              <w:tr2bl w:val="nil"/>
            </w:tcBorders>
            <w:shd w:val="clear" w:color="auto" w:fill="auto"/>
            <w:vAlign w:val="center"/>
          </w:tcPr>
          <w:p w14:paraId="72978ABB">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焊接废气</w:t>
            </w:r>
          </w:p>
        </w:tc>
        <w:tc>
          <w:tcPr>
            <w:tcW w:w="477" w:type="dxa"/>
            <w:vMerge w:val="restart"/>
            <w:tcBorders>
              <w:tl2br w:val="nil"/>
              <w:tr2bl w:val="nil"/>
            </w:tcBorders>
            <w:shd w:val="clear" w:color="auto" w:fill="auto"/>
            <w:vAlign w:val="center"/>
          </w:tcPr>
          <w:p w14:paraId="00BA7E4C">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716" w:type="dxa"/>
            <w:vMerge w:val="restart"/>
            <w:tcBorders>
              <w:tl2br w:val="nil"/>
              <w:tr2bl w:val="nil"/>
            </w:tcBorders>
            <w:shd w:val="clear" w:color="auto" w:fill="auto"/>
            <w:vAlign w:val="center"/>
          </w:tcPr>
          <w:p w14:paraId="3288494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344" w:type="dxa"/>
            <w:vMerge w:val="restart"/>
            <w:tcBorders>
              <w:tl2br w:val="nil"/>
              <w:tr2bl w:val="nil"/>
            </w:tcBorders>
            <w:shd w:val="clear" w:color="auto" w:fill="auto"/>
            <w:vAlign w:val="center"/>
          </w:tcPr>
          <w:p w14:paraId="5A78E67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shd w:val="clear" w:color="auto" w:fill="auto"/>
            <w:vAlign w:val="center"/>
          </w:tcPr>
          <w:p w14:paraId="251B523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36502A6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15.38</w:t>
            </w:r>
          </w:p>
        </w:tc>
        <w:tc>
          <w:tcPr>
            <w:tcW w:w="708" w:type="dxa"/>
            <w:tcBorders>
              <w:tl2br w:val="nil"/>
              <w:tr2bl w:val="nil"/>
            </w:tcBorders>
            <w:shd w:val="clear" w:color="auto" w:fill="auto"/>
            <w:vAlign w:val="center"/>
          </w:tcPr>
          <w:p w14:paraId="42DD7B1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0.1538</w:t>
            </w:r>
          </w:p>
        </w:tc>
        <w:tc>
          <w:tcPr>
            <w:tcW w:w="657" w:type="dxa"/>
            <w:tcBorders>
              <w:tl2br w:val="nil"/>
              <w:tr2bl w:val="nil"/>
            </w:tcBorders>
            <w:shd w:val="clear" w:color="auto" w:fill="auto"/>
            <w:vAlign w:val="center"/>
          </w:tcPr>
          <w:p w14:paraId="07B846F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0.369</w:t>
            </w:r>
          </w:p>
        </w:tc>
        <w:tc>
          <w:tcPr>
            <w:tcW w:w="315" w:type="dxa"/>
            <w:tcBorders>
              <w:tl2br w:val="nil"/>
              <w:tr2bl w:val="nil"/>
            </w:tcBorders>
            <w:shd w:val="clear" w:color="auto" w:fill="auto"/>
            <w:vAlign w:val="center"/>
          </w:tcPr>
          <w:p w14:paraId="29B383F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5C498E6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pacing w:val="9"/>
                <w:sz w:val="21"/>
                <w:szCs w:val="24"/>
                <w:highlight w:val="none"/>
                <w:lang w:eastAsia="zh-CN"/>
              </w:rPr>
              <w:t>布袋</w:t>
            </w:r>
            <w:r>
              <w:rPr>
                <w:rFonts w:ascii="Times New Roman" w:hAnsi="Times New Roman" w:eastAsia="宋体"/>
                <w:color w:val="auto"/>
                <w:spacing w:val="2"/>
                <w:sz w:val="21"/>
                <w:szCs w:val="24"/>
                <w:highlight w:val="none"/>
              </w:rPr>
              <w:t>除尘器</w:t>
            </w:r>
          </w:p>
        </w:tc>
        <w:tc>
          <w:tcPr>
            <w:tcW w:w="395" w:type="dxa"/>
            <w:tcBorders>
              <w:tl2br w:val="nil"/>
              <w:tr2bl w:val="nil"/>
            </w:tcBorders>
            <w:shd w:val="clear" w:color="auto" w:fill="auto"/>
            <w:vAlign w:val="center"/>
          </w:tcPr>
          <w:p w14:paraId="429135D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2847484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95%</w:t>
            </w:r>
          </w:p>
        </w:tc>
        <w:tc>
          <w:tcPr>
            <w:tcW w:w="500" w:type="dxa"/>
            <w:tcBorders>
              <w:tl2br w:val="nil"/>
              <w:tr2bl w:val="nil"/>
            </w:tcBorders>
            <w:shd w:val="clear" w:color="auto" w:fill="auto"/>
            <w:vAlign w:val="center"/>
          </w:tcPr>
          <w:p w14:paraId="03957AF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14:paraId="1E252C6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7C1F58A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0.77</w:t>
            </w:r>
          </w:p>
        </w:tc>
        <w:tc>
          <w:tcPr>
            <w:tcW w:w="708" w:type="dxa"/>
            <w:tcBorders>
              <w:tl2br w:val="nil"/>
              <w:tr2bl w:val="nil"/>
            </w:tcBorders>
            <w:shd w:val="clear" w:color="auto" w:fill="auto"/>
            <w:vAlign w:val="center"/>
          </w:tcPr>
          <w:p w14:paraId="65A97149">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0.0077</w:t>
            </w:r>
          </w:p>
        </w:tc>
        <w:tc>
          <w:tcPr>
            <w:tcW w:w="657" w:type="dxa"/>
            <w:tcBorders>
              <w:tl2br w:val="nil"/>
              <w:tr2bl w:val="nil"/>
            </w:tcBorders>
            <w:shd w:val="clear" w:color="auto" w:fill="auto"/>
            <w:vAlign w:val="center"/>
          </w:tcPr>
          <w:p w14:paraId="75E1420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0.0185</w:t>
            </w:r>
          </w:p>
        </w:tc>
        <w:tc>
          <w:tcPr>
            <w:tcW w:w="1167" w:type="dxa"/>
            <w:tcBorders>
              <w:tl2br w:val="nil"/>
              <w:tr2bl w:val="nil"/>
            </w:tcBorders>
            <w:shd w:val="clear" w:color="auto" w:fill="auto"/>
            <w:vAlign w:val="center"/>
          </w:tcPr>
          <w:p w14:paraId="127033D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H=2</w:t>
            </w:r>
            <w:r>
              <w:rPr>
                <w:rFonts w:hint="eastAsia" w:ascii="Times New Roman" w:hAnsi="Times New Roman"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2EC092E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DA002一般排放口</w:t>
            </w:r>
          </w:p>
        </w:tc>
        <w:tc>
          <w:tcPr>
            <w:tcW w:w="1266" w:type="dxa"/>
            <w:tcBorders>
              <w:tl2br w:val="nil"/>
              <w:tr2bl w:val="nil"/>
            </w:tcBorders>
            <w:shd w:val="clear" w:color="auto" w:fill="auto"/>
            <w:vAlign w:val="center"/>
          </w:tcPr>
          <w:p w14:paraId="7438EE8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1AD814D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119.292298°</w:t>
            </w:r>
          </w:p>
          <w:p w14:paraId="5DF3C2C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78AA0F9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25.8056665°</w:t>
            </w:r>
          </w:p>
        </w:tc>
        <w:tc>
          <w:tcPr>
            <w:tcW w:w="545" w:type="dxa"/>
            <w:vMerge w:val="continue"/>
            <w:tcBorders>
              <w:tl2br w:val="nil"/>
              <w:tr2bl w:val="nil"/>
            </w:tcBorders>
            <w:shd w:val="clear" w:color="auto" w:fill="auto"/>
            <w:vAlign w:val="center"/>
          </w:tcPr>
          <w:p w14:paraId="179D88E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6A6A5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528" w:type="dxa"/>
            <w:vMerge w:val="continue"/>
            <w:tcBorders>
              <w:tl2br w:val="nil"/>
              <w:tr2bl w:val="nil"/>
            </w:tcBorders>
            <w:shd w:val="clear" w:color="auto" w:fill="auto"/>
            <w:vAlign w:val="center"/>
          </w:tcPr>
          <w:p w14:paraId="7388085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shd w:val="clear" w:color="auto" w:fill="auto"/>
            <w:vAlign w:val="center"/>
          </w:tcPr>
          <w:p w14:paraId="0142B83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3235877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5EA4E65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4889293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67AD6B0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692050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0.0051</w:t>
            </w:r>
          </w:p>
        </w:tc>
        <w:tc>
          <w:tcPr>
            <w:tcW w:w="657" w:type="dxa"/>
            <w:tcBorders>
              <w:tl2br w:val="nil"/>
              <w:tr2bl w:val="nil"/>
            </w:tcBorders>
            <w:shd w:val="clear" w:color="auto" w:fill="auto"/>
            <w:vAlign w:val="center"/>
          </w:tcPr>
          <w:p w14:paraId="6D51F659">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0.0123</w:t>
            </w:r>
          </w:p>
        </w:tc>
        <w:tc>
          <w:tcPr>
            <w:tcW w:w="315" w:type="dxa"/>
            <w:tcBorders>
              <w:tl2br w:val="nil"/>
              <w:tr2bl w:val="nil"/>
            </w:tcBorders>
            <w:shd w:val="clear" w:color="auto" w:fill="auto"/>
            <w:vAlign w:val="center"/>
          </w:tcPr>
          <w:p w14:paraId="57EDCC1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3883004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353758F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4FB774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70%</w:t>
            </w:r>
          </w:p>
        </w:tc>
        <w:tc>
          <w:tcPr>
            <w:tcW w:w="500" w:type="dxa"/>
            <w:tcBorders>
              <w:tl2br w:val="nil"/>
              <w:tr2bl w:val="nil"/>
            </w:tcBorders>
            <w:shd w:val="clear" w:color="auto" w:fill="auto"/>
            <w:vAlign w:val="center"/>
          </w:tcPr>
          <w:p w14:paraId="5D93BA3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00E3925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38E5617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CDE983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0.0051</w:t>
            </w:r>
          </w:p>
        </w:tc>
        <w:tc>
          <w:tcPr>
            <w:tcW w:w="657" w:type="dxa"/>
            <w:tcBorders>
              <w:tl2br w:val="nil"/>
              <w:tr2bl w:val="nil"/>
            </w:tcBorders>
            <w:shd w:val="clear" w:color="auto" w:fill="auto"/>
            <w:vAlign w:val="center"/>
          </w:tcPr>
          <w:p w14:paraId="4060CAB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0.0123</w:t>
            </w:r>
          </w:p>
        </w:tc>
        <w:tc>
          <w:tcPr>
            <w:tcW w:w="1167" w:type="dxa"/>
            <w:tcBorders>
              <w:tl2br w:val="nil"/>
              <w:tr2bl w:val="nil"/>
            </w:tcBorders>
            <w:shd w:val="clear" w:color="auto" w:fill="auto"/>
            <w:vAlign w:val="center"/>
          </w:tcPr>
          <w:p w14:paraId="3364BFC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6954DB4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094B556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21CC3D0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BFD4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28" w:type="dxa"/>
            <w:vMerge w:val="restart"/>
            <w:tcBorders>
              <w:tl2br w:val="nil"/>
              <w:tr2bl w:val="nil"/>
            </w:tcBorders>
            <w:vAlign w:val="center"/>
          </w:tcPr>
          <w:p w14:paraId="66479EF8">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pacing w:val="7"/>
                <w:sz w:val="21"/>
              </w:rPr>
              <w:t>废水处</w:t>
            </w:r>
            <w:r>
              <w:rPr>
                <w:rFonts w:ascii="Times New Roman" w:hAnsi="Times New Roman" w:eastAsia="宋体"/>
                <w:color w:val="auto"/>
                <w:spacing w:val="6"/>
                <w:sz w:val="21"/>
              </w:rPr>
              <w:t>理废气</w:t>
            </w:r>
          </w:p>
        </w:tc>
        <w:tc>
          <w:tcPr>
            <w:tcW w:w="477" w:type="dxa"/>
            <w:vMerge w:val="restart"/>
            <w:tcBorders>
              <w:tl2br w:val="nil"/>
              <w:tr2bl w:val="nil"/>
            </w:tcBorders>
            <w:vAlign w:val="center"/>
          </w:tcPr>
          <w:p w14:paraId="7EA55388">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pacing w:val="7"/>
                <w:sz w:val="21"/>
              </w:rPr>
              <w:t>废水处</w:t>
            </w:r>
            <w:r>
              <w:rPr>
                <w:rFonts w:ascii="Times New Roman" w:hAnsi="Times New Roman" w:eastAsia="宋体"/>
                <w:color w:val="auto"/>
                <w:spacing w:val="6"/>
                <w:sz w:val="21"/>
              </w:rPr>
              <w:t>理</w:t>
            </w:r>
          </w:p>
        </w:tc>
        <w:tc>
          <w:tcPr>
            <w:tcW w:w="716" w:type="dxa"/>
            <w:tcBorders>
              <w:tl2br w:val="nil"/>
              <w:tr2bl w:val="nil"/>
            </w:tcBorders>
            <w:vAlign w:val="center"/>
          </w:tcPr>
          <w:p w14:paraId="52E65059">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z w:val="21"/>
              </w:rPr>
              <w:t>氨</w:t>
            </w:r>
          </w:p>
        </w:tc>
        <w:tc>
          <w:tcPr>
            <w:tcW w:w="344" w:type="dxa"/>
            <w:vMerge w:val="continue"/>
            <w:tcBorders>
              <w:tl2br w:val="nil"/>
              <w:tr2bl w:val="nil"/>
            </w:tcBorders>
            <w:vAlign w:val="center"/>
          </w:tcPr>
          <w:p w14:paraId="4AB40F7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7F8CB07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68B3F2F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D55747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0.025</w:t>
            </w:r>
          </w:p>
        </w:tc>
        <w:tc>
          <w:tcPr>
            <w:tcW w:w="657" w:type="dxa"/>
            <w:tcBorders>
              <w:tl2br w:val="nil"/>
              <w:tr2bl w:val="nil"/>
            </w:tcBorders>
            <w:shd w:val="clear" w:color="auto" w:fill="auto"/>
            <w:vAlign w:val="center"/>
          </w:tcPr>
          <w:p w14:paraId="2F65852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w:t>
            </w:r>
          </w:p>
        </w:tc>
        <w:tc>
          <w:tcPr>
            <w:tcW w:w="315" w:type="dxa"/>
            <w:vMerge w:val="restart"/>
            <w:tcBorders>
              <w:tl2br w:val="nil"/>
              <w:tr2bl w:val="nil"/>
            </w:tcBorders>
            <w:vAlign w:val="center"/>
          </w:tcPr>
          <w:p w14:paraId="63CBE03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vMerge w:val="restart"/>
            <w:tcBorders>
              <w:tl2br w:val="nil"/>
              <w:tr2bl w:val="nil"/>
            </w:tcBorders>
            <w:vAlign w:val="center"/>
          </w:tcPr>
          <w:p w14:paraId="1B7EA0F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vAlign w:val="center"/>
          </w:tcPr>
          <w:p w14:paraId="63AA21D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0B3453F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557FC4A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0BCD52D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7FC154A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BB7F6C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0.025</w:t>
            </w:r>
          </w:p>
        </w:tc>
        <w:tc>
          <w:tcPr>
            <w:tcW w:w="657" w:type="dxa"/>
            <w:tcBorders>
              <w:tl2br w:val="nil"/>
              <w:tr2bl w:val="nil"/>
            </w:tcBorders>
            <w:shd w:val="clear" w:color="auto" w:fill="auto"/>
            <w:vAlign w:val="center"/>
          </w:tcPr>
          <w:p w14:paraId="7BD8CAF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w:t>
            </w:r>
          </w:p>
        </w:tc>
        <w:tc>
          <w:tcPr>
            <w:tcW w:w="1167" w:type="dxa"/>
            <w:tcBorders>
              <w:tl2br w:val="nil"/>
              <w:tr2bl w:val="nil"/>
            </w:tcBorders>
            <w:vAlign w:val="center"/>
          </w:tcPr>
          <w:p w14:paraId="7C6424D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4700BEA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07E1CE3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16F126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7A3E3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2F85EDF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76E030A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327A74AA">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pacing w:val="7"/>
                <w:sz w:val="21"/>
              </w:rPr>
              <w:t>硫化氢</w:t>
            </w:r>
          </w:p>
        </w:tc>
        <w:tc>
          <w:tcPr>
            <w:tcW w:w="344" w:type="dxa"/>
            <w:vMerge w:val="continue"/>
            <w:tcBorders>
              <w:tl2br w:val="nil"/>
              <w:tr2bl w:val="nil"/>
            </w:tcBorders>
            <w:vAlign w:val="center"/>
          </w:tcPr>
          <w:p w14:paraId="0F119F2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6B60BD2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5B27790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022383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w:t>
            </w:r>
          </w:p>
        </w:tc>
        <w:tc>
          <w:tcPr>
            <w:tcW w:w="657" w:type="dxa"/>
            <w:tcBorders>
              <w:tl2br w:val="nil"/>
              <w:tr2bl w:val="nil"/>
            </w:tcBorders>
            <w:shd w:val="clear" w:color="auto" w:fill="auto"/>
            <w:vAlign w:val="center"/>
          </w:tcPr>
          <w:p w14:paraId="07DCC07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w:t>
            </w:r>
          </w:p>
        </w:tc>
        <w:tc>
          <w:tcPr>
            <w:tcW w:w="315" w:type="dxa"/>
            <w:vMerge w:val="continue"/>
            <w:tcBorders>
              <w:tl2br w:val="nil"/>
              <w:tr2bl w:val="nil"/>
            </w:tcBorders>
            <w:vAlign w:val="center"/>
          </w:tcPr>
          <w:p w14:paraId="74BD1BA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587" w:type="dxa"/>
            <w:vMerge w:val="continue"/>
            <w:tcBorders>
              <w:tl2br w:val="nil"/>
              <w:tr2bl w:val="nil"/>
            </w:tcBorders>
            <w:vAlign w:val="center"/>
          </w:tcPr>
          <w:p w14:paraId="13572DA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95" w:type="dxa"/>
            <w:tcBorders>
              <w:tl2br w:val="nil"/>
              <w:tr2bl w:val="nil"/>
            </w:tcBorders>
            <w:vAlign w:val="center"/>
          </w:tcPr>
          <w:p w14:paraId="01174E9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0125CE8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2217021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1F148BC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55F15D3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0980B79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w:t>
            </w:r>
          </w:p>
        </w:tc>
        <w:tc>
          <w:tcPr>
            <w:tcW w:w="657" w:type="dxa"/>
            <w:tcBorders>
              <w:tl2br w:val="nil"/>
              <w:tr2bl w:val="nil"/>
            </w:tcBorders>
            <w:shd w:val="clear" w:color="auto" w:fill="auto"/>
            <w:vAlign w:val="center"/>
          </w:tcPr>
          <w:p w14:paraId="69725DB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w:t>
            </w:r>
          </w:p>
        </w:tc>
        <w:tc>
          <w:tcPr>
            <w:tcW w:w="1167" w:type="dxa"/>
            <w:tcBorders>
              <w:tl2br w:val="nil"/>
              <w:tr2bl w:val="nil"/>
            </w:tcBorders>
            <w:vAlign w:val="center"/>
          </w:tcPr>
          <w:p w14:paraId="0F8E575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4A9842C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2BD1F99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3C73F0D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155D05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restart"/>
            <w:tcBorders>
              <w:tl2br w:val="nil"/>
              <w:tr2bl w:val="nil"/>
            </w:tcBorders>
            <w:vAlign w:val="center"/>
          </w:tcPr>
          <w:p w14:paraId="305248C2">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喷粉废气</w:t>
            </w:r>
          </w:p>
        </w:tc>
        <w:tc>
          <w:tcPr>
            <w:tcW w:w="477" w:type="dxa"/>
            <w:vMerge w:val="restart"/>
            <w:tcBorders>
              <w:tl2br w:val="nil"/>
              <w:tr2bl w:val="nil"/>
            </w:tcBorders>
            <w:vAlign w:val="center"/>
          </w:tcPr>
          <w:p w14:paraId="064A779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w:t>
            </w:r>
          </w:p>
        </w:tc>
        <w:tc>
          <w:tcPr>
            <w:tcW w:w="716" w:type="dxa"/>
            <w:vMerge w:val="restart"/>
            <w:tcBorders>
              <w:tl2br w:val="nil"/>
              <w:tr2bl w:val="nil"/>
            </w:tcBorders>
            <w:vAlign w:val="center"/>
          </w:tcPr>
          <w:p w14:paraId="188040EC">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344" w:type="dxa"/>
            <w:vMerge w:val="restart"/>
            <w:tcBorders>
              <w:tl2br w:val="nil"/>
              <w:tr2bl w:val="nil"/>
            </w:tcBorders>
            <w:vAlign w:val="center"/>
          </w:tcPr>
          <w:p w14:paraId="3C9E174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vAlign w:val="center"/>
          </w:tcPr>
          <w:p w14:paraId="5ED6F79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6000</w:t>
            </w:r>
          </w:p>
        </w:tc>
        <w:tc>
          <w:tcPr>
            <w:tcW w:w="915" w:type="dxa"/>
            <w:tcBorders>
              <w:tl2br w:val="nil"/>
              <w:tr2bl w:val="nil"/>
            </w:tcBorders>
            <w:vAlign w:val="center"/>
          </w:tcPr>
          <w:p w14:paraId="7FA8444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93.75</w:t>
            </w:r>
          </w:p>
        </w:tc>
        <w:tc>
          <w:tcPr>
            <w:tcW w:w="708" w:type="dxa"/>
            <w:tcBorders>
              <w:tl2br w:val="nil"/>
              <w:tr2bl w:val="nil"/>
            </w:tcBorders>
            <w:shd w:val="clear" w:color="auto" w:fill="auto"/>
            <w:vAlign w:val="center"/>
          </w:tcPr>
          <w:p w14:paraId="7C478E5E">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0.5625</w:t>
            </w:r>
          </w:p>
        </w:tc>
        <w:tc>
          <w:tcPr>
            <w:tcW w:w="657" w:type="dxa"/>
            <w:tcBorders>
              <w:tl2br w:val="nil"/>
              <w:tr2bl w:val="nil"/>
            </w:tcBorders>
            <w:shd w:val="clear" w:color="auto" w:fill="auto"/>
            <w:vAlign w:val="center"/>
          </w:tcPr>
          <w:p w14:paraId="3629F99C">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1.35</w:t>
            </w:r>
          </w:p>
        </w:tc>
        <w:tc>
          <w:tcPr>
            <w:tcW w:w="315" w:type="dxa"/>
            <w:tcBorders>
              <w:tl2br w:val="nil"/>
              <w:tr2bl w:val="nil"/>
            </w:tcBorders>
            <w:vAlign w:val="center"/>
          </w:tcPr>
          <w:p w14:paraId="56444C7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39A6F2D0">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滤芯除尘</w:t>
            </w:r>
          </w:p>
        </w:tc>
        <w:tc>
          <w:tcPr>
            <w:tcW w:w="395" w:type="dxa"/>
            <w:tcBorders>
              <w:tl2br w:val="nil"/>
              <w:tr2bl w:val="nil"/>
            </w:tcBorders>
            <w:vAlign w:val="center"/>
          </w:tcPr>
          <w:p w14:paraId="6181A18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1922EF4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375920B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5EA2003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6000</w:t>
            </w:r>
          </w:p>
        </w:tc>
        <w:tc>
          <w:tcPr>
            <w:tcW w:w="703" w:type="dxa"/>
            <w:tcBorders>
              <w:tl2br w:val="nil"/>
              <w:tr2bl w:val="nil"/>
            </w:tcBorders>
            <w:vAlign w:val="center"/>
          </w:tcPr>
          <w:p w14:paraId="51FD1D8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9.38</w:t>
            </w:r>
          </w:p>
        </w:tc>
        <w:tc>
          <w:tcPr>
            <w:tcW w:w="708" w:type="dxa"/>
            <w:tcBorders>
              <w:tl2br w:val="nil"/>
              <w:tr2bl w:val="nil"/>
            </w:tcBorders>
            <w:shd w:val="clear" w:color="auto" w:fill="auto"/>
            <w:vAlign w:val="center"/>
          </w:tcPr>
          <w:p w14:paraId="6B5195D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0.0563</w:t>
            </w:r>
          </w:p>
        </w:tc>
        <w:tc>
          <w:tcPr>
            <w:tcW w:w="657" w:type="dxa"/>
            <w:tcBorders>
              <w:tl2br w:val="nil"/>
              <w:tr2bl w:val="nil"/>
            </w:tcBorders>
            <w:shd w:val="clear" w:color="auto" w:fill="auto"/>
            <w:vAlign w:val="center"/>
          </w:tcPr>
          <w:p w14:paraId="105F47E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0.1350</w:t>
            </w:r>
          </w:p>
        </w:tc>
        <w:tc>
          <w:tcPr>
            <w:tcW w:w="1167" w:type="dxa"/>
            <w:tcBorders>
              <w:tl2br w:val="nil"/>
              <w:tr2bl w:val="nil"/>
            </w:tcBorders>
            <w:vAlign w:val="center"/>
          </w:tcPr>
          <w:p w14:paraId="4B2F5BA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236AF2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1E737F0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7A2A963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119.292207</w:t>
            </w:r>
            <w:r>
              <w:rPr>
                <w:rFonts w:hint="eastAsia" w:ascii="Times New Roman" w:hAnsi="Times New Roman" w:eastAsia="宋体" w:cs="Times New Roman"/>
                <w:color w:val="auto"/>
                <w:sz w:val="21"/>
                <w:szCs w:val="21"/>
                <w:highlight w:val="none"/>
                <w:shd w:val="clear"/>
              </w:rPr>
              <w:t>°</w:t>
            </w:r>
          </w:p>
          <w:p w14:paraId="6794F6E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01F75DF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247FD38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399F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2EB25F6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375FD06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16206A45">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p>
        </w:tc>
        <w:tc>
          <w:tcPr>
            <w:tcW w:w="344" w:type="dxa"/>
            <w:vMerge w:val="continue"/>
            <w:tcBorders>
              <w:tl2br w:val="nil"/>
              <w:tr2bl w:val="nil"/>
            </w:tcBorders>
            <w:vAlign w:val="center"/>
          </w:tcPr>
          <w:p w14:paraId="079ACA1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787F62E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3D9BC68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02DBEB1B">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0.0625</w:t>
            </w:r>
          </w:p>
        </w:tc>
        <w:tc>
          <w:tcPr>
            <w:tcW w:w="657" w:type="dxa"/>
            <w:tcBorders>
              <w:tl2br w:val="nil"/>
              <w:tr2bl w:val="nil"/>
            </w:tcBorders>
            <w:shd w:val="clear" w:color="auto" w:fill="auto"/>
            <w:vAlign w:val="center"/>
          </w:tcPr>
          <w:p w14:paraId="537A6B50">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0.15</w:t>
            </w:r>
          </w:p>
        </w:tc>
        <w:tc>
          <w:tcPr>
            <w:tcW w:w="315" w:type="dxa"/>
            <w:tcBorders>
              <w:tl2br w:val="nil"/>
              <w:tr2bl w:val="nil"/>
            </w:tcBorders>
            <w:vAlign w:val="center"/>
          </w:tcPr>
          <w:p w14:paraId="0549017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3FFDC74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3B5BED8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6DD02E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422A08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3A33513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38037A8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9E1EEA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0.0625</w:t>
            </w:r>
          </w:p>
        </w:tc>
        <w:tc>
          <w:tcPr>
            <w:tcW w:w="657" w:type="dxa"/>
            <w:tcBorders>
              <w:tl2br w:val="nil"/>
              <w:tr2bl w:val="nil"/>
            </w:tcBorders>
            <w:shd w:val="clear" w:color="auto" w:fill="auto"/>
            <w:vAlign w:val="center"/>
          </w:tcPr>
          <w:p w14:paraId="2223C78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0.1500</w:t>
            </w:r>
          </w:p>
        </w:tc>
        <w:tc>
          <w:tcPr>
            <w:tcW w:w="1167" w:type="dxa"/>
            <w:tcBorders>
              <w:tl2br w:val="nil"/>
              <w:tr2bl w:val="nil"/>
            </w:tcBorders>
            <w:vAlign w:val="center"/>
          </w:tcPr>
          <w:p w14:paraId="1110500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1E9565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69E72F0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03FBC66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0AB0D1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restart"/>
            <w:tcBorders>
              <w:tl2br w:val="nil"/>
              <w:tr2bl w:val="nil"/>
            </w:tcBorders>
            <w:vAlign w:val="center"/>
          </w:tcPr>
          <w:p w14:paraId="5EB177D6">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喷粉固化废气</w:t>
            </w:r>
          </w:p>
        </w:tc>
        <w:tc>
          <w:tcPr>
            <w:tcW w:w="477" w:type="dxa"/>
            <w:vMerge w:val="restart"/>
            <w:tcBorders>
              <w:tl2br w:val="nil"/>
              <w:tr2bl w:val="nil"/>
            </w:tcBorders>
            <w:vAlign w:val="center"/>
          </w:tcPr>
          <w:p w14:paraId="16A2CEAD">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w:t>
            </w:r>
          </w:p>
        </w:tc>
        <w:tc>
          <w:tcPr>
            <w:tcW w:w="716" w:type="dxa"/>
            <w:vMerge w:val="restart"/>
            <w:tcBorders>
              <w:tl2br w:val="nil"/>
              <w:tr2bl w:val="nil"/>
            </w:tcBorders>
            <w:vAlign w:val="center"/>
          </w:tcPr>
          <w:p w14:paraId="5D2646C4">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344" w:type="dxa"/>
            <w:vMerge w:val="restart"/>
            <w:tcBorders>
              <w:tl2br w:val="nil"/>
              <w:tr2bl w:val="nil"/>
            </w:tcBorders>
            <w:vAlign w:val="center"/>
          </w:tcPr>
          <w:p w14:paraId="41028E9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vAlign w:val="center"/>
          </w:tcPr>
          <w:p w14:paraId="6D10FB4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10A16F4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0.42</w:t>
            </w:r>
          </w:p>
        </w:tc>
        <w:tc>
          <w:tcPr>
            <w:tcW w:w="708" w:type="dxa"/>
            <w:tcBorders>
              <w:tl2br w:val="nil"/>
              <w:tr2bl w:val="nil"/>
            </w:tcBorders>
            <w:shd w:val="clear" w:color="auto" w:fill="auto"/>
            <w:vAlign w:val="center"/>
          </w:tcPr>
          <w:p w14:paraId="31C664E2">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0.0075</w:t>
            </w:r>
          </w:p>
        </w:tc>
        <w:tc>
          <w:tcPr>
            <w:tcW w:w="657" w:type="dxa"/>
            <w:tcBorders>
              <w:tl2br w:val="nil"/>
              <w:tr2bl w:val="nil"/>
            </w:tcBorders>
            <w:shd w:val="clear" w:color="auto" w:fill="auto"/>
            <w:vAlign w:val="center"/>
          </w:tcPr>
          <w:p w14:paraId="174825E2">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0.018</w:t>
            </w:r>
          </w:p>
        </w:tc>
        <w:tc>
          <w:tcPr>
            <w:tcW w:w="315" w:type="dxa"/>
            <w:tcBorders>
              <w:tl2br w:val="nil"/>
              <w:tr2bl w:val="nil"/>
            </w:tcBorders>
            <w:vAlign w:val="center"/>
          </w:tcPr>
          <w:p w14:paraId="754DB80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7B909F9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06CCFFB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26B26C1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1D67EED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6E27468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57D93B8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0.10</w:t>
            </w:r>
          </w:p>
        </w:tc>
        <w:tc>
          <w:tcPr>
            <w:tcW w:w="708" w:type="dxa"/>
            <w:tcBorders>
              <w:tl2br w:val="nil"/>
              <w:tr2bl w:val="nil"/>
            </w:tcBorders>
            <w:shd w:val="clear" w:color="auto" w:fill="auto"/>
            <w:vAlign w:val="center"/>
          </w:tcPr>
          <w:p w14:paraId="67FE6AF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0.0019</w:t>
            </w:r>
          </w:p>
        </w:tc>
        <w:tc>
          <w:tcPr>
            <w:tcW w:w="657" w:type="dxa"/>
            <w:tcBorders>
              <w:tl2br w:val="nil"/>
              <w:tr2bl w:val="nil"/>
            </w:tcBorders>
            <w:shd w:val="clear" w:color="auto" w:fill="auto"/>
            <w:vAlign w:val="center"/>
          </w:tcPr>
          <w:p w14:paraId="745CFA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0.0045</w:t>
            </w:r>
          </w:p>
        </w:tc>
        <w:tc>
          <w:tcPr>
            <w:tcW w:w="1167" w:type="dxa"/>
            <w:tcBorders>
              <w:tl2br w:val="nil"/>
              <w:tr2bl w:val="nil"/>
            </w:tcBorders>
            <w:vAlign w:val="center"/>
          </w:tcPr>
          <w:p w14:paraId="5DD85BD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627136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46DBDCA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1F6AB3A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5A33075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31CDC08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1523F9B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6F53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03858D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72EABC31">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rPr>
            </w:pPr>
          </w:p>
        </w:tc>
        <w:tc>
          <w:tcPr>
            <w:tcW w:w="716" w:type="dxa"/>
            <w:vMerge w:val="continue"/>
            <w:tcBorders>
              <w:tl2br w:val="nil"/>
              <w:tr2bl w:val="nil"/>
            </w:tcBorders>
            <w:vAlign w:val="center"/>
          </w:tcPr>
          <w:p w14:paraId="064AB8B4">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p>
        </w:tc>
        <w:tc>
          <w:tcPr>
            <w:tcW w:w="344" w:type="dxa"/>
            <w:vMerge w:val="continue"/>
            <w:tcBorders>
              <w:tl2br w:val="nil"/>
              <w:tr2bl w:val="nil"/>
            </w:tcBorders>
            <w:vAlign w:val="center"/>
          </w:tcPr>
          <w:p w14:paraId="79B3BEA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284C000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7E230C9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AC2B14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3CBF13A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0.002</w:t>
            </w:r>
          </w:p>
        </w:tc>
        <w:tc>
          <w:tcPr>
            <w:tcW w:w="315" w:type="dxa"/>
            <w:tcBorders>
              <w:tl2br w:val="nil"/>
              <w:tr2bl w:val="nil"/>
            </w:tcBorders>
            <w:vAlign w:val="center"/>
          </w:tcPr>
          <w:p w14:paraId="49AAFB8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78CDA4B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30F20A0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80E992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1CD48A8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2A5CB87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692756F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B71511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3C5C219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0.0020</w:t>
            </w:r>
          </w:p>
        </w:tc>
        <w:tc>
          <w:tcPr>
            <w:tcW w:w="1167" w:type="dxa"/>
            <w:tcBorders>
              <w:tl2br w:val="nil"/>
              <w:tr2bl w:val="nil"/>
            </w:tcBorders>
            <w:vAlign w:val="center"/>
          </w:tcPr>
          <w:p w14:paraId="3031DF0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4BEC6FE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3B0AB92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6D79DD2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380B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restart"/>
            <w:tcBorders>
              <w:tl2br w:val="nil"/>
              <w:tr2bl w:val="nil"/>
            </w:tcBorders>
            <w:vAlign w:val="center"/>
          </w:tcPr>
          <w:p w14:paraId="32CC4C1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55E677D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燃烧废</w:t>
            </w:r>
          </w:p>
          <w:p w14:paraId="69BB4F3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气</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喷粉、喷漆）</w:t>
            </w:r>
          </w:p>
        </w:tc>
        <w:tc>
          <w:tcPr>
            <w:tcW w:w="477" w:type="dxa"/>
            <w:vMerge w:val="restart"/>
            <w:tcBorders>
              <w:tl2br w:val="nil"/>
              <w:tr2bl w:val="nil"/>
            </w:tcBorders>
            <w:vAlign w:val="center"/>
          </w:tcPr>
          <w:p w14:paraId="3F306F8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3628BC9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喷粉、喷漆）</w:t>
            </w:r>
          </w:p>
        </w:tc>
        <w:tc>
          <w:tcPr>
            <w:tcW w:w="716" w:type="dxa"/>
            <w:vMerge w:val="restart"/>
            <w:tcBorders>
              <w:tl2br w:val="nil"/>
              <w:tr2bl w:val="nil"/>
            </w:tcBorders>
            <w:vAlign w:val="center"/>
          </w:tcPr>
          <w:p w14:paraId="5DE69F52">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烟尘（颗粒物）</w:t>
            </w:r>
          </w:p>
        </w:tc>
        <w:tc>
          <w:tcPr>
            <w:tcW w:w="344" w:type="dxa"/>
            <w:vMerge w:val="restart"/>
            <w:tcBorders>
              <w:tl2br w:val="nil"/>
              <w:tr2bl w:val="nil"/>
            </w:tcBorders>
            <w:vAlign w:val="center"/>
          </w:tcPr>
          <w:p w14:paraId="57BEC20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vAlign w:val="center"/>
          </w:tcPr>
          <w:p w14:paraId="1A624C4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5202054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0.06</w:t>
            </w:r>
          </w:p>
        </w:tc>
        <w:tc>
          <w:tcPr>
            <w:tcW w:w="708" w:type="dxa"/>
            <w:tcBorders>
              <w:tl2br w:val="nil"/>
              <w:tr2bl w:val="nil"/>
            </w:tcBorders>
            <w:shd w:val="clear" w:color="auto" w:fill="auto"/>
            <w:vAlign w:val="center"/>
          </w:tcPr>
          <w:p w14:paraId="4FA8BB26">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0.0011</w:t>
            </w:r>
          </w:p>
        </w:tc>
        <w:tc>
          <w:tcPr>
            <w:tcW w:w="657" w:type="dxa"/>
            <w:tcBorders>
              <w:tl2br w:val="nil"/>
              <w:tr2bl w:val="nil"/>
            </w:tcBorders>
            <w:shd w:val="clear" w:color="auto" w:fill="auto"/>
            <w:vAlign w:val="center"/>
          </w:tcPr>
          <w:p w14:paraId="77391E7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0.002</w:t>
            </w:r>
            <w:r>
              <w:rPr>
                <w:rFonts w:hint="eastAsia" w:eastAsia="Times New Roman" w:cs="Times New Roman"/>
                <w:color w:val="auto"/>
                <w:spacing w:val="3"/>
                <w:position w:val="2"/>
                <w:sz w:val="20"/>
                <w:szCs w:val="20"/>
                <w:lang w:val="en-US" w:eastAsia="zh-CN"/>
              </w:rPr>
              <w:t>6</w:t>
            </w:r>
          </w:p>
        </w:tc>
        <w:tc>
          <w:tcPr>
            <w:tcW w:w="315" w:type="dxa"/>
            <w:tcBorders>
              <w:tl2br w:val="nil"/>
              <w:tr2bl w:val="nil"/>
            </w:tcBorders>
            <w:vAlign w:val="center"/>
          </w:tcPr>
          <w:p w14:paraId="4E7AE82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79D4049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3931436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0F1F7F9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1EC80DF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14B4FFC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3A42848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w:t>
            </w:r>
          </w:p>
        </w:tc>
        <w:tc>
          <w:tcPr>
            <w:tcW w:w="708" w:type="dxa"/>
            <w:tcBorders>
              <w:tl2br w:val="nil"/>
              <w:tr2bl w:val="nil"/>
            </w:tcBorders>
            <w:shd w:val="clear" w:color="auto" w:fill="auto"/>
            <w:vAlign w:val="center"/>
          </w:tcPr>
          <w:p w14:paraId="3E380A2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657" w:type="dxa"/>
            <w:tcBorders>
              <w:tl2br w:val="nil"/>
              <w:tr2bl w:val="nil"/>
            </w:tcBorders>
            <w:shd w:val="clear" w:color="auto" w:fill="auto"/>
            <w:vAlign w:val="center"/>
          </w:tcPr>
          <w:p w14:paraId="0A96B52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1167" w:type="dxa"/>
            <w:tcBorders>
              <w:tl2br w:val="nil"/>
              <w:tr2bl w:val="nil"/>
            </w:tcBorders>
            <w:vAlign w:val="center"/>
          </w:tcPr>
          <w:p w14:paraId="6FB9F6C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2DD70C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08E27DE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7D32528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76B2026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1B03F1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6A97202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FB9F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26F238E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503135D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44FD7BF3">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7190A79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6354E78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2662DD4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14DD60A">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2382F92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0.000</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vAlign w:val="center"/>
          </w:tcPr>
          <w:p w14:paraId="27E72AE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4CC6ADB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6818CA4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114EAD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69BB5C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7F90B52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09F5E40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ACBC44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4AD8DF4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1167" w:type="dxa"/>
            <w:tcBorders>
              <w:tl2br w:val="nil"/>
              <w:tr2bl w:val="nil"/>
            </w:tcBorders>
            <w:vAlign w:val="center"/>
          </w:tcPr>
          <w:p w14:paraId="33AA13A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5AD8250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63245E3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4A02DE5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00DDC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3DF7F19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4BEAB2E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059DEC02">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SO</w:t>
            </w:r>
            <w:r>
              <w:rPr>
                <w:rFonts w:hint="eastAsia" w:ascii="Times New Roman" w:hAnsi="Times New Roman"/>
                <w:color w:val="auto"/>
                <w:spacing w:val="7"/>
                <w:sz w:val="21"/>
                <w:vertAlign w:val="subscript"/>
                <w:lang w:val="en-US" w:eastAsia="zh-CN"/>
              </w:rPr>
              <w:t>2</w:t>
            </w:r>
          </w:p>
        </w:tc>
        <w:tc>
          <w:tcPr>
            <w:tcW w:w="344" w:type="dxa"/>
            <w:vMerge w:val="continue"/>
            <w:tcBorders>
              <w:tl2br w:val="nil"/>
              <w:tr2bl w:val="nil"/>
            </w:tcBorders>
            <w:vAlign w:val="center"/>
          </w:tcPr>
          <w:p w14:paraId="55473AC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52F8D6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55784B8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0.04</w:t>
            </w:r>
          </w:p>
        </w:tc>
        <w:tc>
          <w:tcPr>
            <w:tcW w:w="708" w:type="dxa"/>
            <w:tcBorders>
              <w:tl2br w:val="nil"/>
              <w:tr2bl w:val="nil"/>
            </w:tcBorders>
            <w:shd w:val="clear" w:color="auto" w:fill="auto"/>
            <w:vAlign w:val="center"/>
          </w:tcPr>
          <w:p w14:paraId="269EF09B">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132B1B4C">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0.0018</w:t>
            </w:r>
          </w:p>
        </w:tc>
        <w:tc>
          <w:tcPr>
            <w:tcW w:w="315" w:type="dxa"/>
            <w:tcBorders>
              <w:tl2br w:val="nil"/>
              <w:tr2bl w:val="nil"/>
            </w:tcBorders>
            <w:vAlign w:val="center"/>
          </w:tcPr>
          <w:p w14:paraId="25C0CF3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68624B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3196411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7BB7AEB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62F37CD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4A3A323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7C7AA81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0.04</w:t>
            </w:r>
          </w:p>
        </w:tc>
        <w:tc>
          <w:tcPr>
            <w:tcW w:w="708" w:type="dxa"/>
            <w:tcBorders>
              <w:tl2br w:val="nil"/>
              <w:tr2bl w:val="nil"/>
            </w:tcBorders>
            <w:shd w:val="clear" w:color="auto" w:fill="auto"/>
            <w:vAlign w:val="center"/>
          </w:tcPr>
          <w:p w14:paraId="02E12F6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6199402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0.0018</w:t>
            </w:r>
          </w:p>
        </w:tc>
        <w:tc>
          <w:tcPr>
            <w:tcW w:w="1167" w:type="dxa"/>
            <w:tcBorders>
              <w:tl2br w:val="nil"/>
              <w:tr2bl w:val="nil"/>
            </w:tcBorders>
            <w:vAlign w:val="center"/>
          </w:tcPr>
          <w:p w14:paraId="4211BF0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6724DD8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252AF76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16F6FA0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7BAEA90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02DA58B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2D132B3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3838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2779BC6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6DBCB02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4D17810A">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26792C3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2B8D096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648B154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F1E7DB6">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4090BE25">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0.0002</w:t>
            </w:r>
          </w:p>
        </w:tc>
        <w:tc>
          <w:tcPr>
            <w:tcW w:w="315" w:type="dxa"/>
            <w:tcBorders>
              <w:tl2br w:val="nil"/>
              <w:tr2bl w:val="nil"/>
            </w:tcBorders>
            <w:vAlign w:val="center"/>
          </w:tcPr>
          <w:p w14:paraId="4B0F95B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2DCC78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076F8E3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7249AC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C3A955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5E40758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10C8C54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6BA927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21BFB8E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0.0002</w:t>
            </w:r>
          </w:p>
        </w:tc>
        <w:tc>
          <w:tcPr>
            <w:tcW w:w="1167" w:type="dxa"/>
            <w:tcBorders>
              <w:tl2br w:val="nil"/>
              <w:tr2bl w:val="nil"/>
            </w:tcBorders>
            <w:vAlign w:val="center"/>
          </w:tcPr>
          <w:p w14:paraId="5138CCF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78156FE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6673998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53A298B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68D01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136E625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0A26895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4AF1E6D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NOx</w:t>
            </w:r>
          </w:p>
        </w:tc>
        <w:tc>
          <w:tcPr>
            <w:tcW w:w="344" w:type="dxa"/>
            <w:vMerge w:val="continue"/>
            <w:tcBorders>
              <w:tl2br w:val="nil"/>
              <w:tr2bl w:val="nil"/>
            </w:tcBorders>
            <w:vAlign w:val="center"/>
          </w:tcPr>
          <w:p w14:paraId="5D7D3D8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318B33F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1D40FD8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0.39</w:t>
            </w:r>
          </w:p>
        </w:tc>
        <w:tc>
          <w:tcPr>
            <w:tcW w:w="708" w:type="dxa"/>
            <w:tcBorders>
              <w:tl2br w:val="nil"/>
              <w:tr2bl w:val="nil"/>
            </w:tcBorders>
            <w:shd w:val="clear" w:color="auto" w:fill="auto"/>
            <w:vAlign w:val="center"/>
          </w:tcPr>
          <w:p w14:paraId="23068C26">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0.007</w:t>
            </w:r>
          </w:p>
        </w:tc>
        <w:tc>
          <w:tcPr>
            <w:tcW w:w="657" w:type="dxa"/>
            <w:tcBorders>
              <w:tl2br w:val="nil"/>
              <w:tr2bl w:val="nil"/>
            </w:tcBorders>
            <w:shd w:val="clear" w:color="auto" w:fill="auto"/>
            <w:vAlign w:val="center"/>
          </w:tcPr>
          <w:p w14:paraId="076F2BB4">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0.0168</w:t>
            </w:r>
          </w:p>
        </w:tc>
        <w:tc>
          <w:tcPr>
            <w:tcW w:w="315" w:type="dxa"/>
            <w:tcBorders>
              <w:tl2br w:val="nil"/>
              <w:tr2bl w:val="nil"/>
            </w:tcBorders>
            <w:vAlign w:val="center"/>
          </w:tcPr>
          <w:p w14:paraId="133AD37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4C9A840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0BB66F2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0D27E8F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2A16EC7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5D1702A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13C7AF3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0.39</w:t>
            </w:r>
          </w:p>
        </w:tc>
        <w:tc>
          <w:tcPr>
            <w:tcW w:w="708" w:type="dxa"/>
            <w:tcBorders>
              <w:tl2br w:val="nil"/>
              <w:tr2bl w:val="nil"/>
            </w:tcBorders>
            <w:shd w:val="clear" w:color="auto" w:fill="auto"/>
            <w:vAlign w:val="center"/>
          </w:tcPr>
          <w:p w14:paraId="613EC29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0.0070</w:t>
            </w:r>
          </w:p>
        </w:tc>
        <w:tc>
          <w:tcPr>
            <w:tcW w:w="657" w:type="dxa"/>
            <w:tcBorders>
              <w:tl2br w:val="nil"/>
              <w:tr2bl w:val="nil"/>
            </w:tcBorders>
            <w:shd w:val="clear" w:color="auto" w:fill="auto"/>
            <w:vAlign w:val="center"/>
          </w:tcPr>
          <w:p w14:paraId="783113E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0.0168</w:t>
            </w:r>
          </w:p>
        </w:tc>
        <w:tc>
          <w:tcPr>
            <w:tcW w:w="1167" w:type="dxa"/>
            <w:tcBorders>
              <w:tl2br w:val="nil"/>
              <w:tr2bl w:val="nil"/>
            </w:tcBorders>
            <w:vAlign w:val="center"/>
          </w:tcPr>
          <w:p w14:paraId="2006B3A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040B89E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272C154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337BF9F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1F285EF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33F044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75CFFF3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3ED9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308D11A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14492FF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40965918">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6F20260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5BF71AA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3618C86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AFC81C1">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0C33DB2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0.001</w:t>
            </w:r>
            <w:r>
              <w:rPr>
                <w:rFonts w:hint="eastAsia" w:eastAsia="Times New Roman" w:cs="Times New Roman"/>
                <w:color w:val="auto"/>
                <w:spacing w:val="3"/>
                <w:position w:val="2"/>
                <w:sz w:val="20"/>
                <w:szCs w:val="20"/>
                <w:lang w:val="en-US" w:eastAsia="zh-CN"/>
              </w:rPr>
              <w:t>9</w:t>
            </w:r>
          </w:p>
        </w:tc>
        <w:tc>
          <w:tcPr>
            <w:tcW w:w="315" w:type="dxa"/>
            <w:tcBorders>
              <w:tl2br w:val="nil"/>
              <w:tr2bl w:val="nil"/>
            </w:tcBorders>
            <w:vAlign w:val="center"/>
          </w:tcPr>
          <w:p w14:paraId="4AA5D45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195FB2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4ACDFBB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0FA17E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7BB189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4F1F85F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3FF5AC5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5A89A5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714E3DB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0.0019</w:t>
            </w:r>
          </w:p>
        </w:tc>
        <w:tc>
          <w:tcPr>
            <w:tcW w:w="1167" w:type="dxa"/>
            <w:tcBorders>
              <w:tl2br w:val="nil"/>
              <w:tr2bl w:val="nil"/>
            </w:tcBorders>
            <w:vAlign w:val="center"/>
          </w:tcPr>
          <w:p w14:paraId="5ED78AD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0D33AFC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44BD3E8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669005B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67E7F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restart"/>
            <w:tcBorders>
              <w:tl2br w:val="nil"/>
              <w:tr2bl w:val="nil"/>
            </w:tcBorders>
            <w:vAlign w:val="center"/>
          </w:tcPr>
          <w:p w14:paraId="35A593F6">
            <w:pPr>
              <w:pStyle w:val="98"/>
              <w:keepNext w:val="0"/>
              <w:keepLines w:val="0"/>
              <w:pageBreakBefore w:val="0"/>
              <w:widowControl w:val="0"/>
              <w:kinsoku/>
              <w:wordWrap/>
              <w:overflowPunct/>
              <w:topLinePunct w:val="0"/>
              <w:autoSpaceDE/>
              <w:autoSpaceDN/>
              <w:bidi w:val="0"/>
              <w:spacing w:line="240" w:lineRule="auto"/>
              <w:ind w:lef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调漆、喷漆、喷漆固化废气</w:t>
            </w:r>
          </w:p>
        </w:tc>
        <w:tc>
          <w:tcPr>
            <w:tcW w:w="477" w:type="dxa"/>
            <w:vMerge w:val="restart"/>
            <w:tcBorders>
              <w:tl2br w:val="nil"/>
              <w:tr2bl w:val="nil"/>
            </w:tcBorders>
            <w:vAlign w:val="center"/>
          </w:tcPr>
          <w:p w14:paraId="60D548D1">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喷漆线</w:t>
            </w:r>
          </w:p>
        </w:tc>
        <w:tc>
          <w:tcPr>
            <w:tcW w:w="716" w:type="dxa"/>
            <w:vMerge w:val="restart"/>
            <w:tcBorders>
              <w:tl2br w:val="nil"/>
              <w:tr2bl w:val="nil"/>
            </w:tcBorders>
            <w:vAlign w:val="center"/>
          </w:tcPr>
          <w:p w14:paraId="32567E3E">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344" w:type="dxa"/>
            <w:vMerge w:val="restart"/>
            <w:tcBorders>
              <w:tl2br w:val="nil"/>
              <w:tr2bl w:val="nil"/>
            </w:tcBorders>
            <w:vAlign w:val="center"/>
          </w:tcPr>
          <w:p w14:paraId="1A027D6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vAlign w:val="center"/>
          </w:tcPr>
          <w:p w14:paraId="5106617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6EA8D66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45.00</w:t>
            </w:r>
          </w:p>
        </w:tc>
        <w:tc>
          <w:tcPr>
            <w:tcW w:w="708" w:type="dxa"/>
            <w:tcBorders>
              <w:tl2br w:val="nil"/>
              <w:tr2bl w:val="nil"/>
            </w:tcBorders>
            <w:shd w:val="clear" w:color="auto" w:fill="auto"/>
            <w:vAlign w:val="center"/>
          </w:tcPr>
          <w:p w14:paraId="282D7F61">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0.81</w:t>
            </w:r>
          </w:p>
        </w:tc>
        <w:tc>
          <w:tcPr>
            <w:tcW w:w="657" w:type="dxa"/>
            <w:tcBorders>
              <w:tl2br w:val="nil"/>
              <w:tr2bl w:val="nil"/>
            </w:tcBorders>
            <w:shd w:val="clear" w:color="auto" w:fill="auto"/>
            <w:vAlign w:val="center"/>
          </w:tcPr>
          <w:p w14:paraId="6761D5B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1.944</w:t>
            </w:r>
          </w:p>
        </w:tc>
        <w:tc>
          <w:tcPr>
            <w:tcW w:w="315" w:type="dxa"/>
            <w:tcBorders>
              <w:tl2br w:val="nil"/>
              <w:tr2bl w:val="nil"/>
            </w:tcBorders>
            <w:vAlign w:val="center"/>
          </w:tcPr>
          <w:p w14:paraId="7289115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6B9B034C">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水帘喷漆台</w:t>
            </w:r>
          </w:p>
        </w:tc>
        <w:tc>
          <w:tcPr>
            <w:tcW w:w="395" w:type="dxa"/>
            <w:tcBorders>
              <w:tl2br w:val="nil"/>
              <w:tr2bl w:val="nil"/>
            </w:tcBorders>
            <w:vAlign w:val="center"/>
          </w:tcPr>
          <w:p w14:paraId="4B284D4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305AD52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85%</w:t>
            </w:r>
          </w:p>
        </w:tc>
        <w:tc>
          <w:tcPr>
            <w:tcW w:w="500" w:type="dxa"/>
            <w:tcBorders>
              <w:tl2br w:val="nil"/>
              <w:tr2bl w:val="nil"/>
            </w:tcBorders>
            <w:shd w:val="clear" w:color="auto" w:fill="auto"/>
            <w:vAlign w:val="center"/>
          </w:tcPr>
          <w:p w14:paraId="2387E36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6E0E5BD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329A036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6.75</w:t>
            </w:r>
          </w:p>
        </w:tc>
        <w:tc>
          <w:tcPr>
            <w:tcW w:w="708" w:type="dxa"/>
            <w:tcBorders>
              <w:tl2br w:val="nil"/>
              <w:tr2bl w:val="nil"/>
            </w:tcBorders>
            <w:shd w:val="clear" w:color="auto" w:fill="auto"/>
            <w:vAlign w:val="center"/>
          </w:tcPr>
          <w:p w14:paraId="2A29D89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0.1215</w:t>
            </w:r>
          </w:p>
        </w:tc>
        <w:tc>
          <w:tcPr>
            <w:tcW w:w="657" w:type="dxa"/>
            <w:tcBorders>
              <w:tl2br w:val="nil"/>
              <w:tr2bl w:val="nil"/>
            </w:tcBorders>
            <w:shd w:val="clear" w:color="auto" w:fill="auto"/>
            <w:vAlign w:val="center"/>
          </w:tcPr>
          <w:p w14:paraId="0CC125A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0.2916</w:t>
            </w:r>
          </w:p>
        </w:tc>
        <w:tc>
          <w:tcPr>
            <w:tcW w:w="1167" w:type="dxa"/>
            <w:tcBorders>
              <w:tl2br w:val="nil"/>
              <w:tr2bl w:val="nil"/>
            </w:tcBorders>
            <w:vAlign w:val="center"/>
          </w:tcPr>
          <w:p w14:paraId="5AD82DE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63B549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678104E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2B27663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12347DD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2049565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58C20AD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C34C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06998E2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3D8E45A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612E9EB7">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4BF91D7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0ACA332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7B98CDB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DDC3525">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0.09</w:t>
            </w:r>
          </w:p>
        </w:tc>
        <w:tc>
          <w:tcPr>
            <w:tcW w:w="657" w:type="dxa"/>
            <w:tcBorders>
              <w:tl2br w:val="nil"/>
              <w:tr2bl w:val="nil"/>
            </w:tcBorders>
            <w:shd w:val="clear" w:color="auto" w:fill="auto"/>
            <w:vAlign w:val="center"/>
          </w:tcPr>
          <w:p w14:paraId="1AE32B0B">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0.216</w:t>
            </w:r>
          </w:p>
        </w:tc>
        <w:tc>
          <w:tcPr>
            <w:tcW w:w="315" w:type="dxa"/>
            <w:tcBorders>
              <w:tl2br w:val="nil"/>
              <w:tr2bl w:val="nil"/>
            </w:tcBorders>
            <w:vAlign w:val="center"/>
          </w:tcPr>
          <w:p w14:paraId="56221E2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756AEF9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0B74A36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70B572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6E88D02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3C28815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58DC9DE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5FB0DD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0.0900</w:t>
            </w:r>
          </w:p>
        </w:tc>
        <w:tc>
          <w:tcPr>
            <w:tcW w:w="657" w:type="dxa"/>
            <w:tcBorders>
              <w:tl2br w:val="nil"/>
              <w:tr2bl w:val="nil"/>
            </w:tcBorders>
            <w:shd w:val="clear" w:color="auto" w:fill="auto"/>
            <w:vAlign w:val="center"/>
          </w:tcPr>
          <w:p w14:paraId="668DA08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0.2160</w:t>
            </w:r>
          </w:p>
        </w:tc>
        <w:tc>
          <w:tcPr>
            <w:tcW w:w="1167" w:type="dxa"/>
            <w:tcBorders>
              <w:tl2br w:val="nil"/>
              <w:tr2bl w:val="nil"/>
            </w:tcBorders>
            <w:vAlign w:val="center"/>
          </w:tcPr>
          <w:p w14:paraId="5DD1035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313C5C2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3F860EB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100D320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14D8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3B081F6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33B707C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64B5BA85">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344" w:type="dxa"/>
            <w:vMerge w:val="continue"/>
            <w:tcBorders>
              <w:tl2br w:val="nil"/>
              <w:tr2bl w:val="nil"/>
            </w:tcBorders>
            <w:vAlign w:val="center"/>
          </w:tcPr>
          <w:p w14:paraId="6808AB3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15D52FB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26E57D7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36.67</w:t>
            </w:r>
          </w:p>
        </w:tc>
        <w:tc>
          <w:tcPr>
            <w:tcW w:w="708" w:type="dxa"/>
            <w:tcBorders>
              <w:tl2br w:val="nil"/>
              <w:tr2bl w:val="nil"/>
            </w:tcBorders>
            <w:shd w:val="clear" w:color="auto" w:fill="auto"/>
            <w:vAlign w:val="center"/>
          </w:tcPr>
          <w:p w14:paraId="2D7C5B0A">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0.66</w:t>
            </w:r>
          </w:p>
        </w:tc>
        <w:tc>
          <w:tcPr>
            <w:tcW w:w="657" w:type="dxa"/>
            <w:tcBorders>
              <w:tl2br w:val="nil"/>
              <w:tr2bl w:val="nil"/>
            </w:tcBorders>
            <w:shd w:val="clear" w:color="auto" w:fill="auto"/>
            <w:vAlign w:val="center"/>
          </w:tcPr>
          <w:p w14:paraId="4C54DB04">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1.584</w:t>
            </w:r>
          </w:p>
        </w:tc>
        <w:tc>
          <w:tcPr>
            <w:tcW w:w="315" w:type="dxa"/>
            <w:tcBorders>
              <w:tl2br w:val="nil"/>
              <w:tr2bl w:val="nil"/>
            </w:tcBorders>
            <w:vAlign w:val="center"/>
          </w:tcPr>
          <w:p w14:paraId="2019939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5F8E688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0FDC324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5FBF4C3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025BFAB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52F38C3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05F89A8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9.17</w:t>
            </w:r>
          </w:p>
        </w:tc>
        <w:tc>
          <w:tcPr>
            <w:tcW w:w="708" w:type="dxa"/>
            <w:tcBorders>
              <w:tl2br w:val="nil"/>
              <w:tr2bl w:val="nil"/>
            </w:tcBorders>
            <w:shd w:val="clear" w:color="auto" w:fill="auto"/>
            <w:vAlign w:val="center"/>
          </w:tcPr>
          <w:p w14:paraId="151315A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0.1650</w:t>
            </w:r>
          </w:p>
        </w:tc>
        <w:tc>
          <w:tcPr>
            <w:tcW w:w="657" w:type="dxa"/>
            <w:tcBorders>
              <w:tl2br w:val="nil"/>
              <w:tr2bl w:val="nil"/>
            </w:tcBorders>
            <w:shd w:val="clear" w:color="auto" w:fill="auto"/>
            <w:vAlign w:val="center"/>
          </w:tcPr>
          <w:p w14:paraId="2613C84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0.3960</w:t>
            </w:r>
          </w:p>
        </w:tc>
        <w:tc>
          <w:tcPr>
            <w:tcW w:w="1167" w:type="dxa"/>
            <w:tcBorders>
              <w:tl2br w:val="nil"/>
              <w:tr2bl w:val="nil"/>
            </w:tcBorders>
            <w:vAlign w:val="center"/>
          </w:tcPr>
          <w:p w14:paraId="5B1D486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6E8894E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6E59900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68CA896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7F65F52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3CD77BD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3B3F5C8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017BA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14:paraId="7A4431D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477" w:type="dxa"/>
            <w:vMerge w:val="continue"/>
            <w:tcBorders>
              <w:tl2br w:val="nil"/>
              <w:tr2bl w:val="nil"/>
            </w:tcBorders>
            <w:vAlign w:val="center"/>
          </w:tcPr>
          <w:p w14:paraId="0A45C3F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15695F89">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0D351CF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45824F4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6AFE6F9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3B4DE7A">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0.0733</w:t>
            </w:r>
          </w:p>
        </w:tc>
        <w:tc>
          <w:tcPr>
            <w:tcW w:w="657" w:type="dxa"/>
            <w:tcBorders>
              <w:tl2br w:val="nil"/>
              <w:tr2bl w:val="nil"/>
            </w:tcBorders>
            <w:shd w:val="clear" w:color="auto" w:fill="auto"/>
            <w:vAlign w:val="center"/>
          </w:tcPr>
          <w:p w14:paraId="0433AE84">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0.176</w:t>
            </w:r>
          </w:p>
        </w:tc>
        <w:tc>
          <w:tcPr>
            <w:tcW w:w="315" w:type="dxa"/>
            <w:tcBorders>
              <w:tl2br w:val="nil"/>
              <w:tr2bl w:val="nil"/>
            </w:tcBorders>
            <w:vAlign w:val="center"/>
          </w:tcPr>
          <w:p w14:paraId="7BC6E33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2CAC2BF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20B344F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DA6143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690DAA0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7EC8A3D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74A60AB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10A6318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0.0733</w:t>
            </w:r>
          </w:p>
        </w:tc>
        <w:tc>
          <w:tcPr>
            <w:tcW w:w="657" w:type="dxa"/>
            <w:tcBorders>
              <w:tl2br w:val="nil"/>
              <w:tr2bl w:val="nil"/>
            </w:tcBorders>
            <w:shd w:val="clear" w:color="auto" w:fill="auto"/>
            <w:vAlign w:val="center"/>
          </w:tcPr>
          <w:p w14:paraId="37094AC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0.1760</w:t>
            </w:r>
          </w:p>
        </w:tc>
        <w:tc>
          <w:tcPr>
            <w:tcW w:w="1167" w:type="dxa"/>
            <w:tcBorders>
              <w:tl2br w:val="nil"/>
              <w:tr2bl w:val="nil"/>
            </w:tcBorders>
            <w:vAlign w:val="center"/>
          </w:tcPr>
          <w:p w14:paraId="56A4EF8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19B2A94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452C159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7D5B8A0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03993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restart"/>
            <w:tcBorders>
              <w:tl2br w:val="nil"/>
              <w:tr2bl w:val="nil"/>
            </w:tcBorders>
            <w:vAlign w:val="center"/>
          </w:tcPr>
          <w:p w14:paraId="2B86AAF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716" w:type="dxa"/>
            <w:tcBorders>
              <w:tl2br w:val="nil"/>
              <w:tr2bl w:val="nil"/>
            </w:tcBorders>
            <w:vAlign w:val="center"/>
          </w:tcPr>
          <w:p w14:paraId="18074948">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类别</w:t>
            </w:r>
          </w:p>
        </w:tc>
        <w:tc>
          <w:tcPr>
            <w:tcW w:w="4244" w:type="dxa"/>
            <w:gridSpan w:val="7"/>
            <w:tcBorders>
              <w:tl2br w:val="nil"/>
              <w:tr2bl w:val="nil"/>
            </w:tcBorders>
            <w:vAlign w:val="center"/>
          </w:tcPr>
          <w:p w14:paraId="7AF747E1">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有组织排放量</w:t>
            </w:r>
          </w:p>
        </w:tc>
        <w:tc>
          <w:tcPr>
            <w:tcW w:w="5242" w:type="dxa"/>
            <w:gridSpan w:val="8"/>
            <w:tcBorders>
              <w:tl2br w:val="nil"/>
              <w:tr2bl w:val="nil"/>
            </w:tcBorders>
            <w:shd w:val="clear" w:color="auto" w:fill="auto"/>
            <w:vAlign w:val="center"/>
          </w:tcPr>
          <w:p w14:paraId="47A3F99C">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无组织排放量</w:t>
            </w:r>
          </w:p>
        </w:tc>
        <w:tc>
          <w:tcPr>
            <w:tcW w:w="2822" w:type="dxa"/>
            <w:gridSpan w:val="3"/>
            <w:tcBorders>
              <w:tl2br w:val="nil"/>
              <w:tr2bl w:val="nil"/>
            </w:tcBorders>
            <w:vAlign w:val="center"/>
          </w:tcPr>
          <w:p w14:paraId="676A4C9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总计</w:t>
            </w:r>
          </w:p>
        </w:tc>
      </w:tr>
      <w:tr w14:paraId="2F74E9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2368E2F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6B2029C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4244" w:type="dxa"/>
            <w:gridSpan w:val="7"/>
            <w:tcBorders>
              <w:tl2br w:val="nil"/>
              <w:tr2bl w:val="nil"/>
            </w:tcBorders>
            <w:vAlign w:val="center"/>
          </w:tcPr>
          <w:p w14:paraId="6B3DAEC1">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0.4579</w:t>
            </w:r>
          </w:p>
        </w:tc>
        <w:tc>
          <w:tcPr>
            <w:tcW w:w="5242" w:type="dxa"/>
            <w:gridSpan w:val="8"/>
            <w:tcBorders>
              <w:tl2br w:val="nil"/>
              <w:tr2bl w:val="nil"/>
            </w:tcBorders>
            <w:shd w:val="clear" w:color="auto" w:fill="auto"/>
            <w:vAlign w:val="center"/>
          </w:tcPr>
          <w:p w14:paraId="785BA3A5">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0.3797</w:t>
            </w:r>
          </w:p>
        </w:tc>
        <w:tc>
          <w:tcPr>
            <w:tcW w:w="2822" w:type="dxa"/>
            <w:gridSpan w:val="3"/>
            <w:tcBorders>
              <w:tl2br w:val="nil"/>
              <w:tr2bl w:val="nil"/>
            </w:tcBorders>
            <w:vAlign w:val="center"/>
          </w:tcPr>
          <w:p w14:paraId="40BC8BE0">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0.8376</w:t>
            </w:r>
          </w:p>
        </w:tc>
      </w:tr>
      <w:tr w14:paraId="1A48EB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0099DF1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39099656">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4244" w:type="dxa"/>
            <w:gridSpan w:val="7"/>
            <w:tcBorders>
              <w:tl2br w:val="nil"/>
              <w:tr2bl w:val="nil"/>
            </w:tcBorders>
            <w:vAlign w:val="center"/>
          </w:tcPr>
          <w:p w14:paraId="7B0A6831">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0.6123</w:t>
            </w:r>
          </w:p>
        </w:tc>
        <w:tc>
          <w:tcPr>
            <w:tcW w:w="5242" w:type="dxa"/>
            <w:gridSpan w:val="8"/>
            <w:tcBorders>
              <w:tl2br w:val="nil"/>
              <w:tr2bl w:val="nil"/>
            </w:tcBorders>
            <w:shd w:val="clear" w:color="auto" w:fill="auto"/>
            <w:vAlign w:val="center"/>
          </w:tcPr>
          <w:p w14:paraId="79B03C6C">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0.2721</w:t>
            </w:r>
          </w:p>
        </w:tc>
        <w:tc>
          <w:tcPr>
            <w:tcW w:w="2822" w:type="dxa"/>
            <w:gridSpan w:val="3"/>
            <w:tcBorders>
              <w:tl2br w:val="nil"/>
              <w:tr2bl w:val="nil"/>
            </w:tcBorders>
            <w:vAlign w:val="center"/>
          </w:tcPr>
          <w:p w14:paraId="649A32F1">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0.8845</w:t>
            </w:r>
          </w:p>
        </w:tc>
      </w:tr>
      <w:tr w14:paraId="562DF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58234E8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335086F7">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SO</w:t>
            </w:r>
            <w:r>
              <w:rPr>
                <w:rFonts w:hint="eastAsia" w:ascii="Times New Roman" w:hAnsi="Times New Roman"/>
                <w:color w:val="auto"/>
                <w:spacing w:val="7"/>
                <w:sz w:val="21"/>
                <w:vertAlign w:val="subscript"/>
                <w:lang w:val="en-US" w:eastAsia="zh-CN"/>
              </w:rPr>
              <w:t>2</w:t>
            </w:r>
          </w:p>
        </w:tc>
        <w:tc>
          <w:tcPr>
            <w:tcW w:w="4244" w:type="dxa"/>
            <w:gridSpan w:val="7"/>
            <w:tcBorders>
              <w:tl2br w:val="nil"/>
              <w:tr2bl w:val="nil"/>
            </w:tcBorders>
            <w:vAlign w:val="center"/>
          </w:tcPr>
          <w:p w14:paraId="0387FE38">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0.009</w:t>
            </w:r>
          </w:p>
        </w:tc>
        <w:tc>
          <w:tcPr>
            <w:tcW w:w="5242" w:type="dxa"/>
            <w:gridSpan w:val="8"/>
            <w:tcBorders>
              <w:tl2br w:val="nil"/>
              <w:tr2bl w:val="nil"/>
            </w:tcBorders>
            <w:shd w:val="clear" w:color="auto" w:fill="auto"/>
            <w:vAlign w:val="center"/>
          </w:tcPr>
          <w:p w14:paraId="6E970495">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2822" w:type="dxa"/>
            <w:gridSpan w:val="3"/>
            <w:tcBorders>
              <w:tl2br w:val="nil"/>
              <w:tr2bl w:val="nil"/>
            </w:tcBorders>
            <w:vAlign w:val="center"/>
          </w:tcPr>
          <w:p w14:paraId="530D3540">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0CE160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7F0A398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476D5D8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NOx</w:t>
            </w:r>
          </w:p>
        </w:tc>
        <w:tc>
          <w:tcPr>
            <w:tcW w:w="4244" w:type="dxa"/>
            <w:gridSpan w:val="7"/>
            <w:tcBorders>
              <w:tl2br w:val="nil"/>
              <w:tr2bl w:val="nil"/>
            </w:tcBorders>
            <w:vAlign w:val="center"/>
          </w:tcPr>
          <w:p w14:paraId="2B4BEB78">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0.07396</w:t>
            </w:r>
          </w:p>
        </w:tc>
        <w:tc>
          <w:tcPr>
            <w:tcW w:w="5242" w:type="dxa"/>
            <w:gridSpan w:val="8"/>
            <w:tcBorders>
              <w:tl2br w:val="nil"/>
              <w:tr2bl w:val="nil"/>
            </w:tcBorders>
            <w:shd w:val="clear" w:color="auto" w:fill="auto"/>
            <w:vAlign w:val="center"/>
          </w:tcPr>
          <w:p w14:paraId="2616A45C">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0.0082</w:t>
            </w:r>
          </w:p>
        </w:tc>
        <w:tc>
          <w:tcPr>
            <w:tcW w:w="2822" w:type="dxa"/>
            <w:gridSpan w:val="3"/>
            <w:tcBorders>
              <w:tl2br w:val="nil"/>
              <w:tr2bl w:val="nil"/>
            </w:tcBorders>
            <w:vAlign w:val="center"/>
          </w:tcPr>
          <w:p w14:paraId="32E2FD64">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0.082</w:t>
            </w:r>
          </w:p>
        </w:tc>
      </w:tr>
      <w:tr w14:paraId="7FCD5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38C2836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5549528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olor w:val="auto"/>
                <w:spacing w:val="7"/>
                <w:sz w:val="21"/>
                <w:lang w:val="en-US" w:eastAsia="zh-CN"/>
              </w:rPr>
            </w:pPr>
            <w:r>
              <w:rPr>
                <w:rFonts w:hint="eastAsia" w:ascii="Times New Roman" w:hAnsi="Times New Roman"/>
                <w:color w:val="auto"/>
                <w:spacing w:val="7"/>
                <w:sz w:val="21"/>
                <w:lang w:val="en-US" w:eastAsia="zh-CN"/>
              </w:rPr>
              <w:t>氨</w:t>
            </w:r>
          </w:p>
        </w:tc>
        <w:tc>
          <w:tcPr>
            <w:tcW w:w="4244" w:type="dxa"/>
            <w:gridSpan w:val="7"/>
            <w:tcBorders>
              <w:tl2br w:val="nil"/>
              <w:tr2bl w:val="nil"/>
            </w:tcBorders>
            <w:vAlign w:val="center"/>
          </w:tcPr>
          <w:p w14:paraId="532B3ADC">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242" w:type="dxa"/>
            <w:gridSpan w:val="8"/>
            <w:tcBorders>
              <w:tl2br w:val="nil"/>
              <w:tr2bl w:val="nil"/>
            </w:tcBorders>
            <w:shd w:val="clear" w:color="auto" w:fill="auto"/>
            <w:vAlign w:val="center"/>
          </w:tcPr>
          <w:p w14:paraId="1EDA76CC">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2822" w:type="dxa"/>
            <w:gridSpan w:val="3"/>
            <w:tcBorders>
              <w:tl2br w:val="nil"/>
              <w:tr2bl w:val="nil"/>
            </w:tcBorders>
            <w:vAlign w:val="center"/>
          </w:tcPr>
          <w:p w14:paraId="43DC4BE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r>
      <w:tr w14:paraId="2162A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6723E4F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77BECD6C">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olor w:val="auto"/>
                <w:spacing w:val="7"/>
                <w:sz w:val="21"/>
                <w:lang w:val="en-US" w:eastAsia="zh-CN"/>
              </w:rPr>
            </w:pPr>
            <w:r>
              <w:rPr>
                <w:rFonts w:ascii="Times New Roman" w:hAnsi="Times New Roman" w:eastAsia="宋体"/>
                <w:color w:val="auto"/>
                <w:spacing w:val="7"/>
                <w:sz w:val="21"/>
              </w:rPr>
              <w:t>硫化氢</w:t>
            </w:r>
          </w:p>
        </w:tc>
        <w:tc>
          <w:tcPr>
            <w:tcW w:w="4244" w:type="dxa"/>
            <w:gridSpan w:val="7"/>
            <w:tcBorders>
              <w:tl2br w:val="nil"/>
              <w:tr2bl w:val="nil"/>
            </w:tcBorders>
            <w:vAlign w:val="center"/>
          </w:tcPr>
          <w:p w14:paraId="314B8AE7">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242" w:type="dxa"/>
            <w:gridSpan w:val="8"/>
            <w:tcBorders>
              <w:tl2br w:val="nil"/>
              <w:tr2bl w:val="nil"/>
            </w:tcBorders>
            <w:shd w:val="clear" w:color="auto" w:fill="auto"/>
            <w:vAlign w:val="center"/>
          </w:tcPr>
          <w:p w14:paraId="379F9903">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2822" w:type="dxa"/>
            <w:gridSpan w:val="3"/>
            <w:tcBorders>
              <w:tl2br w:val="nil"/>
              <w:tr2bl w:val="nil"/>
            </w:tcBorders>
            <w:vAlign w:val="center"/>
          </w:tcPr>
          <w:p w14:paraId="6DE57CC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r>
    </w:tbl>
    <w:p w14:paraId="5181F230">
      <w:pPr>
        <w:adjustRightInd w:val="0"/>
        <w:snapToGrid w:val="0"/>
        <w:spacing w:line="360" w:lineRule="auto"/>
        <w:jc w:val="center"/>
        <w:rPr>
          <w:rFonts w:ascii="宋体" w:cs="宋体"/>
          <w:b/>
          <w:color w:val="auto"/>
          <w:kern w:val="0"/>
          <w:sz w:val="28"/>
          <w:szCs w:val="28"/>
          <w:highlight w:val="none"/>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
        <w:gridCol w:w="9145"/>
      </w:tblGrid>
      <w:tr w14:paraId="645BA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62" w:type="dxa"/>
            <w:shd w:val="clear" w:color="auto" w:fill="auto"/>
            <w:tcMar>
              <w:left w:w="28" w:type="dxa"/>
              <w:right w:w="28" w:type="dxa"/>
            </w:tcMar>
            <w:vAlign w:val="center"/>
          </w:tcPr>
          <w:p w14:paraId="4CF89938">
            <w:pPr>
              <w:pStyle w:val="46"/>
              <w:ind w:left="0" w:leftChars="0" w:firstLine="0" w:firstLineChars="0"/>
              <w:rPr>
                <w:rFonts w:hint="eastAsia" w:ascii="宋体" w:hAnsi="宋体" w:cs="宋体"/>
                <w:bCs/>
                <w:color w:val="auto"/>
                <w:szCs w:val="21"/>
                <w:highlight w:val="none"/>
              </w:rPr>
            </w:pPr>
          </w:p>
        </w:tc>
        <w:tc>
          <w:tcPr>
            <w:tcW w:w="9145" w:type="dxa"/>
            <w:shd w:val="clear" w:color="auto" w:fill="auto"/>
            <w:vAlign w:val="center"/>
          </w:tcPr>
          <w:p w14:paraId="52017464">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（6）非正常工况源强核算</w:t>
            </w:r>
          </w:p>
          <w:p w14:paraId="5701319B">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本项目涉及多套废气处理设施，非正常排放情况考虑有组织废气净化设施发生故障，废气未经处理就直接排放的情景，污染物的去除效率为0，在此工况下，污染物排放</w:t>
            </w:r>
            <w:r>
              <w:rPr>
                <w:rFonts w:hint="eastAsia" w:cs="宋体"/>
                <w:color w:val="auto"/>
                <w:highlight w:val="none"/>
                <w:lang w:val="en-US" w:eastAsia="zh-CN"/>
              </w:rPr>
              <w:t>源强</w:t>
            </w:r>
            <w:r>
              <w:rPr>
                <w:rFonts w:hint="eastAsia" w:ascii="Times New Roman" w:hAnsi="Times New Roman" w:eastAsia="宋体" w:cs="宋体"/>
                <w:color w:val="auto"/>
                <w:highlight w:val="none"/>
                <w:lang w:val="en-US" w:eastAsia="zh-CN"/>
              </w:rPr>
              <w:t>见表</w:t>
            </w:r>
            <w:r>
              <w:rPr>
                <w:rFonts w:hint="eastAsia" w:cs="宋体"/>
                <w:color w:val="auto"/>
                <w:highlight w:val="none"/>
                <w:lang w:val="en-US" w:eastAsia="zh-CN"/>
              </w:rPr>
              <w:t>4.2-3。</w:t>
            </w:r>
          </w:p>
          <w:p w14:paraId="5FFE81B5">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非正常工况下污染物排放源一览表</w:t>
            </w:r>
          </w:p>
          <w:tbl>
            <w:tblPr>
              <w:tblStyle w:val="86"/>
              <w:tblW w:w="8924"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2"/>
              <w:gridCol w:w="862"/>
              <w:gridCol w:w="1186"/>
              <w:gridCol w:w="768"/>
              <w:gridCol w:w="934"/>
              <w:gridCol w:w="890"/>
              <w:gridCol w:w="904"/>
              <w:gridCol w:w="840"/>
              <w:gridCol w:w="845"/>
              <w:gridCol w:w="654"/>
              <w:gridCol w:w="629"/>
            </w:tblGrid>
            <w:tr w14:paraId="77911B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restart"/>
                  <w:tcBorders>
                    <w:tl2br w:val="nil"/>
                    <w:tr2bl w:val="nil"/>
                  </w:tcBorders>
                  <w:textDirection w:val="tbRlV"/>
                  <w:vAlign w:val="center"/>
                </w:tcPr>
                <w:p w14:paraId="1EB075F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序号</w:t>
                  </w:r>
                </w:p>
              </w:tc>
              <w:tc>
                <w:tcPr>
                  <w:tcW w:w="862" w:type="dxa"/>
                  <w:vMerge w:val="restart"/>
                  <w:tcBorders>
                    <w:tl2br w:val="nil"/>
                    <w:tr2bl w:val="nil"/>
                  </w:tcBorders>
                  <w:vAlign w:val="center"/>
                </w:tcPr>
                <w:p w14:paraId="0A8453D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w:t>
                  </w:r>
                </w:p>
              </w:tc>
              <w:tc>
                <w:tcPr>
                  <w:tcW w:w="1186" w:type="dxa"/>
                  <w:vMerge w:val="restart"/>
                  <w:tcBorders>
                    <w:tl2br w:val="nil"/>
                    <w:tr2bl w:val="nil"/>
                  </w:tcBorders>
                  <w:vAlign w:val="center"/>
                </w:tcPr>
                <w:p w14:paraId="427B4E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非正常排放原因</w:t>
                  </w:r>
                </w:p>
              </w:tc>
              <w:tc>
                <w:tcPr>
                  <w:tcW w:w="768" w:type="dxa"/>
                  <w:vMerge w:val="restart"/>
                  <w:tcBorders>
                    <w:tl2br w:val="nil"/>
                    <w:tr2bl w:val="nil"/>
                  </w:tcBorders>
                  <w:vAlign w:val="center"/>
                </w:tcPr>
                <w:p w14:paraId="0BCBDD5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w:t>
                  </w:r>
                </w:p>
              </w:tc>
              <w:tc>
                <w:tcPr>
                  <w:tcW w:w="3568" w:type="dxa"/>
                  <w:gridSpan w:val="4"/>
                  <w:tcBorders>
                    <w:tl2br w:val="nil"/>
                    <w:tr2bl w:val="nil"/>
                  </w:tcBorders>
                  <w:vAlign w:val="center"/>
                </w:tcPr>
                <w:p w14:paraId="15EA69C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非正常排放状况</w:t>
                  </w:r>
                </w:p>
              </w:tc>
              <w:tc>
                <w:tcPr>
                  <w:tcW w:w="1499" w:type="dxa"/>
                  <w:gridSpan w:val="2"/>
                  <w:tcBorders>
                    <w:tl2br w:val="nil"/>
                    <w:tr2bl w:val="nil"/>
                  </w:tcBorders>
                  <w:vAlign w:val="center"/>
                </w:tcPr>
                <w:p w14:paraId="4545F6F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排放标准</w:t>
                  </w:r>
                </w:p>
              </w:tc>
              <w:tc>
                <w:tcPr>
                  <w:tcW w:w="629" w:type="dxa"/>
                  <w:vMerge w:val="restart"/>
                  <w:tcBorders>
                    <w:tl2br w:val="nil"/>
                    <w:tr2bl w:val="nil"/>
                  </w:tcBorders>
                  <w:vAlign w:val="center"/>
                </w:tcPr>
                <w:p w14:paraId="5FC937C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p w14:paraId="4CDE10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分析</w:t>
                  </w:r>
                </w:p>
              </w:tc>
            </w:tr>
            <w:tr w14:paraId="099BA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textDirection w:val="tbRlV"/>
                  <w:vAlign w:val="center"/>
                </w:tcPr>
                <w:p w14:paraId="4931A1F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62" w:type="dxa"/>
                  <w:vMerge w:val="continue"/>
                  <w:tcBorders>
                    <w:tl2br w:val="nil"/>
                    <w:tr2bl w:val="nil"/>
                  </w:tcBorders>
                  <w:vAlign w:val="center"/>
                </w:tcPr>
                <w:p w14:paraId="51944F4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563AC3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vMerge w:val="continue"/>
                  <w:tcBorders>
                    <w:tl2br w:val="nil"/>
                    <w:tr2bl w:val="nil"/>
                  </w:tcBorders>
                  <w:vAlign w:val="center"/>
                </w:tcPr>
                <w:p w14:paraId="1587292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934" w:type="dxa"/>
                  <w:tcBorders>
                    <w:tl2br w:val="nil"/>
                    <w:tr2bl w:val="nil"/>
                  </w:tcBorders>
                  <w:vAlign w:val="center"/>
                </w:tcPr>
                <w:p w14:paraId="575DB87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浓度</w:t>
                  </w:r>
                </w:p>
                <w:p w14:paraId="2F519B1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(mg/m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w:t>
                  </w:r>
                </w:p>
              </w:tc>
              <w:tc>
                <w:tcPr>
                  <w:tcW w:w="890" w:type="dxa"/>
                  <w:tcBorders>
                    <w:tl2br w:val="nil"/>
                    <w:tr2bl w:val="nil"/>
                  </w:tcBorders>
                  <w:vAlign w:val="center"/>
                </w:tcPr>
                <w:p w14:paraId="7B15E94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速率</w:t>
                  </w:r>
                </w:p>
                <w:p w14:paraId="136894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(kg/h)</w:t>
                  </w:r>
                </w:p>
              </w:tc>
              <w:tc>
                <w:tcPr>
                  <w:tcW w:w="904" w:type="dxa"/>
                  <w:tcBorders>
                    <w:tl2br w:val="nil"/>
                    <w:tr2bl w:val="nil"/>
                  </w:tcBorders>
                  <w:vAlign w:val="center"/>
                </w:tcPr>
                <w:p w14:paraId="41DFC85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频次及</w:t>
                  </w:r>
                </w:p>
                <w:p w14:paraId="3CEFCD7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持续时</w:t>
                  </w:r>
                </w:p>
                <w:p w14:paraId="247A897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间</w:t>
                  </w:r>
                </w:p>
              </w:tc>
              <w:tc>
                <w:tcPr>
                  <w:tcW w:w="840" w:type="dxa"/>
                  <w:tcBorders>
                    <w:tl2br w:val="nil"/>
                    <w:tr2bl w:val="nil"/>
                  </w:tcBorders>
                  <w:vAlign w:val="center"/>
                </w:tcPr>
                <w:p w14:paraId="1BA1683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排放量</w:t>
                  </w:r>
                </w:p>
                <w:p w14:paraId="1D5ED30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(kg/a)</w:t>
                  </w:r>
                </w:p>
              </w:tc>
              <w:tc>
                <w:tcPr>
                  <w:tcW w:w="845" w:type="dxa"/>
                  <w:tcBorders>
                    <w:tl2br w:val="nil"/>
                    <w:tr2bl w:val="nil"/>
                  </w:tcBorders>
                  <w:vAlign w:val="center"/>
                </w:tcPr>
                <w:p w14:paraId="3C2B99C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浓度</w:t>
                  </w:r>
                </w:p>
                <w:p w14:paraId="5FFDA11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(mg/m</w:t>
                  </w:r>
                  <w:r>
                    <w:rPr>
                      <w:rFonts w:hint="eastAsia" w:ascii="Times New Roman" w:hAnsi="Times New Roman" w:eastAsia="宋体" w:cs="Times New Roman"/>
                      <w:color w:val="auto"/>
                      <w:sz w:val="21"/>
                      <w:szCs w:val="21"/>
                      <w:highlight w:val="none"/>
                      <w:vertAlign w:val="superscript"/>
                    </w:rPr>
                    <w:t>3</w:t>
                  </w:r>
                </w:p>
                <w:p w14:paraId="581204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54" w:type="dxa"/>
                  <w:tcBorders>
                    <w:tl2br w:val="nil"/>
                    <w:tr2bl w:val="nil"/>
                  </w:tcBorders>
                  <w:vAlign w:val="center"/>
                </w:tcPr>
                <w:p w14:paraId="762CBB8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速率</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kg/h</w:t>
                  </w:r>
                </w:p>
                <w:p w14:paraId="7B7CC6F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4BDB51E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45AE25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restart"/>
                  <w:tcBorders>
                    <w:tl2br w:val="nil"/>
                    <w:tr2bl w:val="nil"/>
                  </w:tcBorders>
                  <w:vAlign w:val="center"/>
                </w:tcPr>
                <w:p w14:paraId="4FE9959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p>
              </w:tc>
              <w:tc>
                <w:tcPr>
                  <w:tcW w:w="862" w:type="dxa"/>
                  <w:vMerge w:val="restart"/>
                  <w:tcBorders>
                    <w:tl2br w:val="nil"/>
                    <w:tr2bl w:val="nil"/>
                  </w:tcBorders>
                  <w:vAlign w:val="center"/>
                </w:tcPr>
                <w:p w14:paraId="5F2B848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排气筒DA001</w:t>
                  </w:r>
                </w:p>
              </w:tc>
              <w:tc>
                <w:tcPr>
                  <w:tcW w:w="1186" w:type="dxa"/>
                  <w:vMerge w:val="restart"/>
                  <w:tcBorders>
                    <w:tl2br w:val="nil"/>
                    <w:tr2bl w:val="nil"/>
                  </w:tcBorders>
                  <w:vAlign w:val="center"/>
                </w:tcPr>
                <w:p w14:paraId="5397CB2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768" w:type="dxa"/>
                  <w:tcBorders>
                    <w:tl2br w:val="nil"/>
                    <w:tr2bl w:val="nil"/>
                  </w:tcBorders>
                  <w:vAlign w:val="center"/>
                </w:tcPr>
                <w:p w14:paraId="670989C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934" w:type="dxa"/>
                  <w:tcBorders>
                    <w:tl2br w:val="nil"/>
                    <w:tr2bl w:val="nil"/>
                  </w:tcBorders>
                  <w:vAlign w:val="center"/>
                </w:tcPr>
                <w:p w14:paraId="41A94C8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35.30</w:t>
                  </w:r>
                </w:p>
              </w:tc>
              <w:tc>
                <w:tcPr>
                  <w:tcW w:w="890" w:type="dxa"/>
                  <w:tcBorders>
                    <w:tl2br w:val="nil"/>
                    <w:tr2bl w:val="nil"/>
                  </w:tcBorders>
                  <w:vAlign w:val="center"/>
                </w:tcPr>
                <w:p w14:paraId="62C800C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0.3530</w:t>
                  </w:r>
                </w:p>
              </w:tc>
              <w:tc>
                <w:tcPr>
                  <w:tcW w:w="904" w:type="dxa"/>
                  <w:vMerge w:val="restart"/>
                  <w:tcBorders>
                    <w:tl2br w:val="nil"/>
                    <w:tr2bl w:val="nil"/>
                  </w:tcBorders>
                  <w:vAlign w:val="center"/>
                </w:tcPr>
                <w:p w14:paraId="4344802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1次/a，30min/次</w:t>
                  </w:r>
                </w:p>
              </w:tc>
              <w:tc>
                <w:tcPr>
                  <w:tcW w:w="840" w:type="dxa"/>
                  <w:tcBorders>
                    <w:tl2br w:val="nil"/>
                    <w:tr2bl w:val="nil"/>
                  </w:tcBorders>
                  <w:vAlign w:val="center"/>
                </w:tcPr>
                <w:p w14:paraId="44DCED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0.84726</w:t>
                  </w:r>
                </w:p>
              </w:tc>
              <w:tc>
                <w:tcPr>
                  <w:tcW w:w="845" w:type="dxa"/>
                  <w:tcBorders>
                    <w:tl2br w:val="nil"/>
                    <w:tr2bl w:val="nil"/>
                  </w:tcBorders>
                  <w:vAlign w:val="center"/>
                </w:tcPr>
                <w:p w14:paraId="7BD5898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654" w:type="dxa"/>
                  <w:tcBorders>
                    <w:tl2br w:val="nil"/>
                    <w:tr2bl w:val="nil"/>
                  </w:tcBorders>
                  <w:vAlign w:val="center"/>
                </w:tcPr>
                <w:p w14:paraId="1459AFC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629" w:type="dxa"/>
                  <w:vMerge w:val="restart"/>
                  <w:tcBorders>
                    <w:tl2br w:val="nil"/>
                    <w:tr2bl w:val="nil"/>
                  </w:tcBorders>
                  <w:vAlign w:val="center"/>
                </w:tcPr>
                <w:p w14:paraId="740F668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00238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6CC9390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62" w:type="dxa"/>
                  <w:vMerge w:val="continue"/>
                  <w:tcBorders>
                    <w:tl2br w:val="nil"/>
                    <w:tr2bl w:val="nil"/>
                  </w:tcBorders>
                  <w:vAlign w:val="center"/>
                </w:tcPr>
                <w:p w14:paraId="0E879B4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57098ED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38C7252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934" w:type="dxa"/>
                  <w:tcBorders>
                    <w:tl2br w:val="nil"/>
                    <w:tr2bl w:val="nil"/>
                  </w:tcBorders>
                  <w:vAlign w:val="center"/>
                </w:tcPr>
                <w:p w14:paraId="576228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0.43</w:t>
                  </w:r>
                </w:p>
              </w:tc>
              <w:tc>
                <w:tcPr>
                  <w:tcW w:w="890" w:type="dxa"/>
                  <w:tcBorders>
                    <w:tl2br w:val="nil"/>
                    <w:tr2bl w:val="nil"/>
                  </w:tcBorders>
                  <w:vAlign w:val="center"/>
                </w:tcPr>
                <w:p w14:paraId="3F48791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0.0043</w:t>
                  </w:r>
                </w:p>
              </w:tc>
              <w:tc>
                <w:tcPr>
                  <w:tcW w:w="904" w:type="dxa"/>
                  <w:vMerge w:val="continue"/>
                  <w:tcBorders>
                    <w:tl2br w:val="nil"/>
                    <w:tr2bl w:val="nil"/>
                  </w:tcBorders>
                  <w:vAlign w:val="center"/>
                </w:tcPr>
                <w:p w14:paraId="67BEF55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40" w:type="dxa"/>
                  <w:tcBorders>
                    <w:tl2br w:val="nil"/>
                    <w:tr2bl w:val="nil"/>
                  </w:tcBorders>
                  <w:vAlign w:val="center"/>
                </w:tcPr>
                <w:p w14:paraId="6CA8C8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w:t>
                  </w:r>
                  <w:r>
                    <w:rPr>
                      <w:rFonts w:hint="eastAsia" w:ascii="Times New Roman" w:hAnsi="Times New Roman" w:cs="Times New Roman"/>
                      <w:color w:val="auto"/>
                      <w:sz w:val="21"/>
                      <w:szCs w:val="21"/>
                      <w:highlight w:val="none"/>
                      <w:lang w:val="en-US" w:eastAsia="zh-CN"/>
                    </w:rPr>
                    <w:t>3</w:t>
                  </w:r>
                </w:p>
              </w:tc>
              <w:tc>
                <w:tcPr>
                  <w:tcW w:w="845" w:type="dxa"/>
                  <w:tcBorders>
                    <w:tl2br w:val="nil"/>
                    <w:tr2bl w:val="nil"/>
                  </w:tcBorders>
                  <w:vAlign w:val="center"/>
                </w:tcPr>
                <w:p w14:paraId="6A4808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w:t>
                  </w:r>
                </w:p>
              </w:tc>
              <w:tc>
                <w:tcPr>
                  <w:tcW w:w="654" w:type="dxa"/>
                  <w:tcBorders>
                    <w:tl2br w:val="nil"/>
                    <w:tr2bl w:val="nil"/>
                  </w:tcBorders>
                  <w:vAlign w:val="center"/>
                </w:tcPr>
                <w:p w14:paraId="6DE9795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69D5EBB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5AA04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2724514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62" w:type="dxa"/>
                  <w:vMerge w:val="continue"/>
                  <w:tcBorders>
                    <w:tl2br w:val="nil"/>
                    <w:tr2bl w:val="nil"/>
                  </w:tcBorders>
                  <w:vAlign w:val="center"/>
                </w:tcPr>
                <w:p w14:paraId="436D8C1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51F241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0E3F33A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p>
              </w:tc>
              <w:tc>
                <w:tcPr>
                  <w:tcW w:w="934" w:type="dxa"/>
                  <w:tcBorders>
                    <w:tl2br w:val="nil"/>
                    <w:tr2bl w:val="nil"/>
                  </w:tcBorders>
                  <w:vAlign w:val="center"/>
                </w:tcPr>
                <w:p w14:paraId="0855A6A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0.30</w:t>
                  </w:r>
                </w:p>
              </w:tc>
              <w:tc>
                <w:tcPr>
                  <w:tcW w:w="890" w:type="dxa"/>
                  <w:tcBorders>
                    <w:tl2br w:val="nil"/>
                    <w:tr2bl w:val="nil"/>
                  </w:tcBorders>
                  <w:vAlign w:val="center"/>
                </w:tcPr>
                <w:p w14:paraId="1ED8A5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0.0030</w:t>
                  </w:r>
                </w:p>
              </w:tc>
              <w:tc>
                <w:tcPr>
                  <w:tcW w:w="904" w:type="dxa"/>
                  <w:vMerge w:val="continue"/>
                  <w:tcBorders>
                    <w:tl2br w:val="nil"/>
                    <w:tr2bl w:val="nil"/>
                  </w:tcBorders>
                  <w:vAlign w:val="center"/>
                </w:tcPr>
                <w:p w14:paraId="2A6BDCC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40" w:type="dxa"/>
                  <w:tcBorders>
                    <w:tl2br w:val="nil"/>
                    <w:tr2bl w:val="nil"/>
                  </w:tcBorders>
                  <w:vAlign w:val="center"/>
                </w:tcPr>
                <w:p w14:paraId="4D158C4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0.0072</w:t>
                  </w:r>
                </w:p>
              </w:tc>
              <w:tc>
                <w:tcPr>
                  <w:tcW w:w="845" w:type="dxa"/>
                  <w:tcBorders>
                    <w:tl2br w:val="nil"/>
                    <w:tr2bl w:val="nil"/>
                  </w:tcBorders>
                  <w:vAlign w:val="center"/>
                </w:tcPr>
                <w:p w14:paraId="3DD368C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200</w:t>
                  </w:r>
                </w:p>
              </w:tc>
              <w:tc>
                <w:tcPr>
                  <w:tcW w:w="654" w:type="dxa"/>
                  <w:tcBorders>
                    <w:tl2br w:val="nil"/>
                    <w:tr2bl w:val="nil"/>
                  </w:tcBorders>
                  <w:vAlign w:val="center"/>
                </w:tcPr>
                <w:p w14:paraId="1687B1E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15930E7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626B2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593758D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62" w:type="dxa"/>
                  <w:vMerge w:val="continue"/>
                  <w:tcBorders>
                    <w:tl2br w:val="nil"/>
                    <w:tr2bl w:val="nil"/>
                  </w:tcBorders>
                  <w:vAlign w:val="center"/>
                </w:tcPr>
                <w:p w14:paraId="2D84421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20013EC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76878D1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NOx</w:t>
                  </w:r>
                </w:p>
              </w:tc>
              <w:tc>
                <w:tcPr>
                  <w:tcW w:w="934" w:type="dxa"/>
                  <w:tcBorders>
                    <w:tl2br w:val="nil"/>
                    <w:tr2bl w:val="nil"/>
                  </w:tcBorders>
                  <w:vAlign w:val="center"/>
                </w:tcPr>
                <w:p w14:paraId="2A2F1F5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2.38</w:t>
                  </w:r>
                </w:p>
              </w:tc>
              <w:tc>
                <w:tcPr>
                  <w:tcW w:w="890" w:type="dxa"/>
                  <w:tcBorders>
                    <w:tl2br w:val="nil"/>
                    <w:tr2bl w:val="nil"/>
                  </w:tcBorders>
                  <w:vAlign w:val="center"/>
                </w:tcPr>
                <w:p w14:paraId="1C54DA5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0.0238</w:t>
                  </w:r>
                </w:p>
              </w:tc>
              <w:tc>
                <w:tcPr>
                  <w:tcW w:w="904" w:type="dxa"/>
                  <w:vMerge w:val="continue"/>
                  <w:tcBorders>
                    <w:tl2br w:val="nil"/>
                    <w:tr2bl w:val="nil"/>
                  </w:tcBorders>
                  <w:vAlign w:val="center"/>
                </w:tcPr>
                <w:p w14:paraId="4F7136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40" w:type="dxa"/>
                  <w:tcBorders>
                    <w:tl2br w:val="nil"/>
                    <w:tr2bl w:val="nil"/>
                  </w:tcBorders>
                  <w:vAlign w:val="center"/>
                </w:tcPr>
                <w:p w14:paraId="7BA7F0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0.05713</w:t>
                  </w:r>
                </w:p>
              </w:tc>
              <w:tc>
                <w:tcPr>
                  <w:tcW w:w="845" w:type="dxa"/>
                  <w:tcBorders>
                    <w:tl2br w:val="nil"/>
                    <w:tr2bl w:val="nil"/>
                  </w:tcBorders>
                  <w:vAlign w:val="center"/>
                </w:tcPr>
                <w:p w14:paraId="6FE8BA7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300</w:t>
                  </w:r>
                </w:p>
              </w:tc>
              <w:tc>
                <w:tcPr>
                  <w:tcW w:w="654" w:type="dxa"/>
                  <w:tcBorders>
                    <w:tl2br w:val="nil"/>
                    <w:tr2bl w:val="nil"/>
                  </w:tcBorders>
                  <w:vAlign w:val="center"/>
                </w:tcPr>
                <w:p w14:paraId="7EC196D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55019BF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4420C0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tcBorders>
                    <w:tl2br w:val="nil"/>
                    <w:tr2bl w:val="nil"/>
                  </w:tcBorders>
                  <w:vAlign w:val="center"/>
                </w:tcPr>
                <w:p w14:paraId="689672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p>
              </w:tc>
              <w:tc>
                <w:tcPr>
                  <w:tcW w:w="862" w:type="dxa"/>
                  <w:tcBorders>
                    <w:tl2br w:val="nil"/>
                    <w:tr2bl w:val="nil"/>
                  </w:tcBorders>
                  <w:vAlign w:val="center"/>
                </w:tcPr>
                <w:p w14:paraId="4D7A48E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排气筒DA002</w:t>
                  </w:r>
                </w:p>
              </w:tc>
              <w:tc>
                <w:tcPr>
                  <w:tcW w:w="1186" w:type="dxa"/>
                  <w:tcBorders>
                    <w:tl2br w:val="nil"/>
                    <w:tr2bl w:val="nil"/>
                  </w:tcBorders>
                  <w:vAlign w:val="center"/>
                </w:tcPr>
                <w:p w14:paraId="60549F0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768" w:type="dxa"/>
                  <w:tcBorders>
                    <w:tl2br w:val="nil"/>
                    <w:tr2bl w:val="nil"/>
                  </w:tcBorders>
                  <w:vAlign w:val="center"/>
                </w:tcPr>
                <w:p w14:paraId="0EAABA5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934" w:type="dxa"/>
                  <w:tcBorders>
                    <w:tl2br w:val="nil"/>
                    <w:tr2bl w:val="nil"/>
                  </w:tcBorders>
                  <w:vAlign w:val="center"/>
                </w:tcPr>
                <w:p w14:paraId="6551384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15.38</w:t>
                  </w:r>
                </w:p>
              </w:tc>
              <w:tc>
                <w:tcPr>
                  <w:tcW w:w="890" w:type="dxa"/>
                  <w:tcBorders>
                    <w:tl2br w:val="nil"/>
                    <w:tr2bl w:val="nil"/>
                  </w:tcBorders>
                  <w:vAlign w:val="center"/>
                </w:tcPr>
                <w:p w14:paraId="4F48F99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0.1538</w:t>
                  </w:r>
                </w:p>
              </w:tc>
              <w:tc>
                <w:tcPr>
                  <w:tcW w:w="904" w:type="dxa"/>
                  <w:tcBorders>
                    <w:tl2br w:val="nil"/>
                    <w:tr2bl w:val="nil"/>
                  </w:tcBorders>
                  <w:vAlign w:val="center"/>
                </w:tcPr>
                <w:p w14:paraId="084B2F6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1次/a，30min/次</w:t>
                  </w:r>
                </w:p>
              </w:tc>
              <w:tc>
                <w:tcPr>
                  <w:tcW w:w="840" w:type="dxa"/>
                  <w:tcBorders>
                    <w:tl2br w:val="nil"/>
                    <w:tr2bl w:val="nil"/>
                  </w:tcBorders>
                  <w:vAlign w:val="center"/>
                </w:tcPr>
                <w:p w14:paraId="304931B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0.0384</w:t>
                  </w:r>
                </w:p>
              </w:tc>
              <w:tc>
                <w:tcPr>
                  <w:tcW w:w="845" w:type="dxa"/>
                  <w:tcBorders>
                    <w:tl2br w:val="nil"/>
                    <w:tr2bl w:val="nil"/>
                  </w:tcBorders>
                  <w:vAlign w:val="center"/>
                </w:tcPr>
                <w:p w14:paraId="6900500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120</w:t>
                  </w:r>
                </w:p>
              </w:tc>
              <w:tc>
                <w:tcPr>
                  <w:tcW w:w="654" w:type="dxa"/>
                  <w:tcBorders>
                    <w:tl2br w:val="nil"/>
                    <w:tr2bl w:val="nil"/>
                  </w:tcBorders>
                  <w:vAlign w:val="center"/>
                </w:tcPr>
                <w:p w14:paraId="5966A5E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2.95</w:t>
                  </w:r>
                </w:p>
              </w:tc>
              <w:tc>
                <w:tcPr>
                  <w:tcW w:w="629" w:type="dxa"/>
                  <w:tcBorders>
                    <w:tl2br w:val="nil"/>
                    <w:tr2bl w:val="nil"/>
                  </w:tcBorders>
                  <w:vAlign w:val="center"/>
                </w:tcPr>
                <w:p w14:paraId="6446131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3834A3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tcBorders>
                    <w:tl2br w:val="nil"/>
                    <w:tr2bl w:val="nil"/>
                  </w:tcBorders>
                  <w:vAlign w:val="center"/>
                </w:tcPr>
                <w:p w14:paraId="7912F18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862" w:type="dxa"/>
                  <w:tcBorders>
                    <w:tl2br w:val="nil"/>
                    <w:tr2bl w:val="nil"/>
                  </w:tcBorders>
                  <w:vAlign w:val="center"/>
                </w:tcPr>
                <w:p w14:paraId="236BFDC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排气筒DA00</w:t>
                  </w:r>
                  <w:r>
                    <w:rPr>
                      <w:rFonts w:hint="eastAsia" w:ascii="Times New Roman" w:hAnsi="Times New Roman" w:eastAsia="宋体" w:cs="Times New Roman"/>
                      <w:color w:val="auto"/>
                      <w:sz w:val="21"/>
                      <w:szCs w:val="21"/>
                      <w:highlight w:val="none"/>
                      <w:lang w:val="en-US" w:eastAsia="zh-CN"/>
                    </w:rPr>
                    <w:t>3</w:t>
                  </w:r>
                </w:p>
              </w:tc>
              <w:tc>
                <w:tcPr>
                  <w:tcW w:w="1186" w:type="dxa"/>
                  <w:tcBorders>
                    <w:tl2br w:val="nil"/>
                    <w:tr2bl w:val="nil"/>
                  </w:tcBorders>
                  <w:vAlign w:val="center"/>
                </w:tcPr>
                <w:p w14:paraId="741ED8B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768" w:type="dxa"/>
                  <w:tcBorders>
                    <w:tl2br w:val="nil"/>
                    <w:tr2bl w:val="nil"/>
                  </w:tcBorders>
                  <w:vAlign w:val="center"/>
                </w:tcPr>
                <w:p w14:paraId="044750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934" w:type="dxa"/>
                  <w:tcBorders>
                    <w:tl2br w:val="nil"/>
                    <w:tr2bl w:val="nil"/>
                  </w:tcBorders>
                  <w:vAlign w:val="center"/>
                </w:tcPr>
                <w:p w14:paraId="3DAF45C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93.75</w:t>
                  </w:r>
                </w:p>
              </w:tc>
              <w:tc>
                <w:tcPr>
                  <w:tcW w:w="890" w:type="dxa"/>
                  <w:tcBorders>
                    <w:tl2br w:val="nil"/>
                    <w:tr2bl w:val="nil"/>
                  </w:tcBorders>
                  <w:vAlign w:val="center"/>
                </w:tcPr>
                <w:p w14:paraId="3F56FE0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0.5625</w:t>
                  </w:r>
                </w:p>
              </w:tc>
              <w:tc>
                <w:tcPr>
                  <w:tcW w:w="904" w:type="dxa"/>
                  <w:tcBorders>
                    <w:tl2br w:val="nil"/>
                    <w:tr2bl w:val="nil"/>
                  </w:tcBorders>
                  <w:vAlign w:val="center"/>
                </w:tcPr>
                <w:p w14:paraId="5515751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1次/a，30min/次</w:t>
                  </w:r>
                </w:p>
              </w:tc>
              <w:tc>
                <w:tcPr>
                  <w:tcW w:w="840" w:type="dxa"/>
                  <w:tcBorders>
                    <w:tl2br w:val="nil"/>
                    <w:tr2bl w:val="nil"/>
                  </w:tcBorders>
                  <w:vAlign w:val="center"/>
                </w:tcPr>
                <w:p w14:paraId="05B7099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w:t>
                  </w:r>
                </w:p>
              </w:tc>
              <w:tc>
                <w:tcPr>
                  <w:tcW w:w="845" w:type="dxa"/>
                  <w:tcBorders>
                    <w:tl2br w:val="nil"/>
                    <w:tr2bl w:val="nil"/>
                  </w:tcBorders>
                  <w:vAlign w:val="center"/>
                </w:tcPr>
                <w:p w14:paraId="774444D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w:t>
                  </w:r>
                </w:p>
              </w:tc>
              <w:tc>
                <w:tcPr>
                  <w:tcW w:w="654" w:type="dxa"/>
                  <w:tcBorders>
                    <w:tl2br w:val="nil"/>
                    <w:tr2bl w:val="nil"/>
                  </w:tcBorders>
                  <w:vAlign w:val="center"/>
                </w:tcPr>
                <w:p w14:paraId="67442FB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1.75</w:t>
                  </w:r>
                </w:p>
              </w:tc>
              <w:tc>
                <w:tcPr>
                  <w:tcW w:w="629" w:type="dxa"/>
                  <w:tcBorders>
                    <w:tl2br w:val="nil"/>
                    <w:tr2bl w:val="nil"/>
                  </w:tcBorders>
                  <w:vAlign w:val="center"/>
                </w:tcPr>
                <w:p w14:paraId="478901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5E1F7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restart"/>
                  <w:tcBorders>
                    <w:tl2br w:val="nil"/>
                    <w:tr2bl w:val="nil"/>
                  </w:tcBorders>
                  <w:vAlign w:val="center"/>
                </w:tcPr>
                <w:p w14:paraId="440DAE0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862" w:type="dxa"/>
                  <w:vMerge w:val="restart"/>
                  <w:tcBorders>
                    <w:tl2br w:val="nil"/>
                    <w:tr2bl w:val="nil"/>
                  </w:tcBorders>
                  <w:vAlign w:val="center"/>
                </w:tcPr>
                <w:p w14:paraId="1EA70A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排气筒DA00</w:t>
                  </w:r>
                  <w:r>
                    <w:rPr>
                      <w:rFonts w:hint="eastAsia" w:ascii="Times New Roman" w:hAnsi="Times New Roman" w:eastAsia="宋体" w:cs="Times New Roman"/>
                      <w:color w:val="auto"/>
                      <w:sz w:val="21"/>
                      <w:szCs w:val="21"/>
                      <w:highlight w:val="none"/>
                      <w:lang w:val="en-US" w:eastAsia="zh-CN"/>
                    </w:rPr>
                    <w:t>4</w:t>
                  </w:r>
                </w:p>
              </w:tc>
              <w:tc>
                <w:tcPr>
                  <w:tcW w:w="1186" w:type="dxa"/>
                  <w:vMerge w:val="restart"/>
                  <w:tcBorders>
                    <w:tl2br w:val="nil"/>
                    <w:tr2bl w:val="nil"/>
                  </w:tcBorders>
                  <w:vAlign w:val="center"/>
                </w:tcPr>
                <w:p w14:paraId="6FCDD1F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768" w:type="dxa"/>
                  <w:tcBorders>
                    <w:tl2br w:val="nil"/>
                    <w:tr2bl w:val="nil"/>
                  </w:tcBorders>
                  <w:vAlign w:val="center"/>
                </w:tcPr>
                <w:p w14:paraId="21014F6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934" w:type="dxa"/>
                  <w:tcBorders>
                    <w:tl2br w:val="nil"/>
                    <w:tr2bl w:val="nil"/>
                  </w:tcBorders>
                  <w:vAlign w:val="center"/>
                </w:tcPr>
                <w:p w14:paraId="2DA379C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37.08</w:t>
                  </w:r>
                </w:p>
              </w:tc>
              <w:tc>
                <w:tcPr>
                  <w:tcW w:w="890" w:type="dxa"/>
                  <w:tcBorders>
                    <w:tl2br w:val="nil"/>
                    <w:tr2bl w:val="nil"/>
                  </w:tcBorders>
                  <w:vAlign w:val="center"/>
                </w:tcPr>
                <w:p w14:paraId="30C3E07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0.6675</w:t>
                  </w:r>
                </w:p>
              </w:tc>
              <w:tc>
                <w:tcPr>
                  <w:tcW w:w="904" w:type="dxa"/>
                  <w:vMerge w:val="restart"/>
                  <w:tcBorders>
                    <w:tl2br w:val="nil"/>
                    <w:tr2bl w:val="nil"/>
                  </w:tcBorders>
                  <w:vAlign w:val="center"/>
                </w:tcPr>
                <w:p w14:paraId="6A617C2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1次/a，30min/次</w:t>
                  </w:r>
                </w:p>
              </w:tc>
              <w:tc>
                <w:tcPr>
                  <w:tcW w:w="840" w:type="dxa"/>
                  <w:tcBorders>
                    <w:tl2br w:val="nil"/>
                    <w:tr2bl w:val="nil"/>
                  </w:tcBorders>
                  <w:vAlign w:val="center"/>
                </w:tcPr>
                <w:p w14:paraId="2DDAEE0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1.602</w:t>
                  </w:r>
                </w:p>
              </w:tc>
              <w:tc>
                <w:tcPr>
                  <w:tcW w:w="845" w:type="dxa"/>
                  <w:tcBorders>
                    <w:tl2br w:val="nil"/>
                    <w:tr2bl w:val="nil"/>
                  </w:tcBorders>
                  <w:vAlign w:val="center"/>
                </w:tcPr>
                <w:p w14:paraId="5C44B0A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654" w:type="dxa"/>
                  <w:tcBorders>
                    <w:tl2br w:val="nil"/>
                    <w:tr2bl w:val="nil"/>
                  </w:tcBorders>
                  <w:vAlign w:val="center"/>
                </w:tcPr>
                <w:p w14:paraId="6EAEEF3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29" w:type="dxa"/>
                  <w:vMerge w:val="restart"/>
                  <w:tcBorders>
                    <w:tl2br w:val="nil"/>
                    <w:tr2bl w:val="nil"/>
                  </w:tcBorders>
                  <w:vAlign w:val="center"/>
                </w:tcPr>
                <w:p w14:paraId="70F387E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587736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5EAA84D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862" w:type="dxa"/>
                  <w:vMerge w:val="continue"/>
                  <w:tcBorders>
                    <w:tl2br w:val="nil"/>
                    <w:tr2bl w:val="nil"/>
                  </w:tcBorders>
                  <w:vAlign w:val="center"/>
                </w:tcPr>
                <w:p w14:paraId="1E7D6F1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6D4809D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349B26D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934" w:type="dxa"/>
                  <w:tcBorders>
                    <w:tl2br w:val="nil"/>
                    <w:tr2bl w:val="nil"/>
                  </w:tcBorders>
                  <w:vAlign w:val="center"/>
                </w:tcPr>
                <w:p w14:paraId="3E04702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45.06</w:t>
                  </w:r>
                </w:p>
              </w:tc>
              <w:tc>
                <w:tcPr>
                  <w:tcW w:w="890" w:type="dxa"/>
                  <w:tcBorders>
                    <w:tl2br w:val="nil"/>
                    <w:tr2bl w:val="nil"/>
                  </w:tcBorders>
                  <w:vAlign w:val="center"/>
                </w:tcPr>
                <w:p w14:paraId="7921B3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0.8111</w:t>
                  </w:r>
                </w:p>
              </w:tc>
              <w:tc>
                <w:tcPr>
                  <w:tcW w:w="904" w:type="dxa"/>
                  <w:vMerge w:val="continue"/>
                  <w:tcBorders>
                    <w:tl2br w:val="nil"/>
                    <w:tr2bl w:val="nil"/>
                  </w:tcBorders>
                  <w:vAlign w:val="center"/>
                </w:tcPr>
                <w:p w14:paraId="6C01C4A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p>
              </w:tc>
              <w:tc>
                <w:tcPr>
                  <w:tcW w:w="840" w:type="dxa"/>
                  <w:tcBorders>
                    <w:tl2br w:val="nil"/>
                    <w:tr2bl w:val="nil"/>
                  </w:tcBorders>
                  <w:vAlign w:val="center"/>
                </w:tcPr>
                <w:p w14:paraId="0901F26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2.1329</w:t>
                  </w:r>
                </w:p>
              </w:tc>
              <w:tc>
                <w:tcPr>
                  <w:tcW w:w="845" w:type="dxa"/>
                  <w:tcBorders>
                    <w:tl2br w:val="nil"/>
                    <w:tr2bl w:val="nil"/>
                  </w:tcBorders>
                  <w:vAlign w:val="center"/>
                </w:tcPr>
                <w:p w14:paraId="22A67EB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654" w:type="dxa"/>
                  <w:tcBorders>
                    <w:tl2br w:val="nil"/>
                    <w:tr2bl w:val="nil"/>
                  </w:tcBorders>
                  <w:vAlign w:val="center"/>
                </w:tcPr>
                <w:p w14:paraId="051CF61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35F210E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70715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4FCA0A9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862" w:type="dxa"/>
                  <w:vMerge w:val="continue"/>
                  <w:tcBorders>
                    <w:tl2br w:val="nil"/>
                    <w:tr2bl w:val="nil"/>
                  </w:tcBorders>
                  <w:vAlign w:val="center"/>
                </w:tcPr>
                <w:p w14:paraId="5D86CC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544B34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7AEA43D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p>
              </w:tc>
              <w:tc>
                <w:tcPr>
                  <w:tcW w:w="934" w:type="dxa"/>
                  <w:tcBorders>
                    <w:tl2br w:val="nil"/>
                    <w:tr2bl w:val="nil"/>
                  </w:tcBorders>
                  <w:vAlign w:val="center"/>
                </w:tcPr>
                <w:p w14:paraId="450408F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890" w:type="dxa"/>
                  <w:tcBorders>
                    <w:tl2br w:val="nil"/>
                    <w:tr2bl w:val="nil"/>
                  </w:tcBorders>
                  <w:vAlign w:val="center"/>
                </w:tcPr>
                <w:p w14:paraId="09BA4A3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w:t>
                  </w:r>
                </w:p>
              </w:tc>
              <w:tc>
                <w:tcPr>
                  <w:tcW w:w="904" w:type="dxa"/>
                  <w:vMerge w:val="continue"/>
                  <w:tcBorders>
                    <w:tl2br w:val="nil"/>
                    <w:tr2bl w:val="nil"/>
                  </w:tcBorders>
                  <w:vAlign w:val="center"/>
                </w:tcPr>
                <w:p w14:paraId="5DCCBF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p>
              </w:tc>
              <w:tc>
                <w:tcPr>
                  <w:tcW w:w="840" w:type="dxa"/>
                  <w:tcBorders>
                    <w:tl2br w:val="nil"/>
                    <w:tr2bl w:val="nil"/>
                  </w:tcBorders>
                  <w:vAlign w:val="center"/>
                </w:tcPr>
                <w:p w14:paraId="4F679ED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0.0018</w:t>
                  </w:r>
                </w:p>
              </w:tc>
              <w:tc>
                <w:tcPr>
                  <w:tcW w:w="845" w:type="dxa"/>
                  <w:tcBorders>
                    <w:tl2br w:val="nil"/>
                    <w:tr2bl w:val="nil"/>
                  </w:tcBorders>
                  <w:vAlign w:val="center"/>
                </w:tcPr>
                <w:p w14:paraId="29A09B7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200</w:t>
                  </w:r>
                </w:p>
              </w:tc>
              <w:tc>
                <w:tcPr>
                  <w:tcW w:w="654" w:type="dxa"/>
                  <w:tcBorders>
                    <w:tl2br w:val="nil"/>
                    <w:tr2bl w:val="nil"/>
                  </w:tcBorders>
                  <w:vAlign w:val="center"/>
                </w:tcPr>
                <w:p w14:paraId="0D912F6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7163857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167F4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dxa"/>
                  <w:vMerge w:val="continue"/>
                  <w:tcBorders>
                    <w:tl2br w:val="nil"/>
                    <w:tr2bl w:val="nil"/>
                  </w:tcBorders>
                  <w:vAlign w:val="center"/>
                </w:tcPr>
                <w:p w14:paraId="7F19A2F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862" w:type="dxa"/>
                  <w:vMerge w:val="continue"/>
                  <w:tcBorders>
                    <w:tl2br w:val="nil"/>
                    <w:tr2bl w:val="nil"/>
                  </w:tcBorders>
                  <w:vAlign w:val="center"/>
                </w:tcPr>
                <w:p w14:paraId="603960F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1186" w:type="dxa"/>
                  <w:vMerge w:val="continue"/>
                  <w:tcBorders>
                    <w:tl2br w:val="nil"/>
                    <w:tr2bl w:val="nil"/>
                  </w:tcBorders>
                  <w:vAlign w:val="center"/>
                </w:tcPr>
                <w:p w14:paraId="299877F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768" w:type="dxa"/>
                  <w:tcBorders>
                    <w:tl2br w:val="nil"/>
                    <w:tr2bl w:val="nil"/>
                  </w:tcBorders>
                  <w:vAlign w:val="center"/>
                </w:tcPr>
                <w:p w14:paraId="41F6767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NOx</w:t>
                  </w:r>
                </w:p>
              </w:tc>
              <w:tc>
                <w:tcPr>
                  <w:tcW w:w="934" w:type="dxa"/>
                  <w:tcBorders>
                    <w:tl2br w:val="nil"/>
                    <w:tr2bl w:val="nil"/>
                  </w:tcBorders>
                  <w:vAlign w:val="center"/>
                </w:tcPr>
                <w:p w14:paraId="72BA0E6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0.39</w:t>
                  </w:r>
                </w:p>
              </w:tc>
              <w:tc>
                <w:tcPr>
                  <w:tcW w:w="890" w:type="dxa"/>
                  <w:tcBorders>
                    <w:tl2br w:val="nil"/>
                    <w:tr2bl w:val="nil"/>
                  </w:tcBorders>
                  <w:vAlign w:val="center"/>
                </w:tcPr>
                <w:p w14:paraId="5E6530A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0.0070</w:t>
                  </w:r>
                </w:p>
              </w:tc>
              <w:tc>
                <w:tcPr>
                  <w:tcW w:w="904" w:type="dxa"/>
                  <w:vMerge w:val="continue"/>
                  <w:tcBorders>
                    <w:tl2br w:val="nil"/>
                    <w:tr2bl w:val="nil"/>
                  </w:tcBorders>
                  <w:vAlign w:val="center"/>
                </w:tcPr>
                <w:p w14:paraId="4ED5662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840" w:type="dxa"/>
                  <w:tcBorders>
                    <w:tl2br w:val="nil"/>
                    <w:tr2bl w:val="nil"/>
                  </w:tcBorders>
                  <w:vAlign w:val="center"/>
                </w:tcPr>
                <w:p w14:paraId="1FFA6ED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0.01683</w:t>
                  </w:r>
                </w:p>
              </w:tc>
              <w:tc>
                <w:tcPr>
                  <w:tcW w:w="845" w:type="dxa"/>
                  <w:tcBorders>
                    <w:tl2br w:val="nil"/>
                    <w:tr2bl w:val="nil"/>
                  </w:tcBorders>
                  <w:vAlign w:val="center"/>
                </w:tcPr>
                <w:p w14:paraId="11580FA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300</w:t>
                  </w:r>
                </w:p>
              </w:tc>
              <w:tc>
                <w:tcPr>
                  <w:tcW w:w="654" w:type="dxa"/>
                  <w:tcBorders>
                    <w:tl2br w:val="nil"/>
                    <w:tr2bl w:val="nil"/>
                  </w:tcBorders>
                  <w:vAlign w:val="center"/>
                </w:tcPr>
                <w:p w14:paraId="4E498A3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29" w:type="dxa"/>
                  <w:vMerge w:val="continue"/>
                  <w:tcBorders>
                    <w:tl2br w:val="nil"/>
                    <w:tr2bl w:val="nil"/>
                  </w:tcBorders>
                  <w:vAlign w:val="center"/>
                </w:tcPr>
                <w:p w14:paraId="22B5D6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bl>
          <w:p w14:paraId="004B32A9">
            <w:pPr>
              <w:pStyle w:val="46"/>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eastAsia"/>
                <w:color w:val="auto"/>
                <w:highlight w:val="none"/>
              </w:rPr>
            </w:pPr>
            <w:r>
              <w:rPr>
                <w:rFonts w:hint="eastAsia"/>
                <w:color w:val="auto"/>
                <w:highlight w:val="none"/>
              </w:rPr>
              <w:t>由上表可知，非正常工况下，DA001、DA002</w:t>
            </w:r>
            <w:r>
              <w:rPr>
                <w:rFonts w:hint="eastAsia"/>
                <w:color w:val="auto"/>
                <w:highlight w:val="none"/>
                <w:lang w:eastAsia="zh-CN"/>
              </w:rPr>
              <w:t>、</w:t>
            </w:r>
            <w:r>
              <w:rPr>
                <w:rFonts w:hint="eastAsia"/>
                <w:color w:val="auto"/>
                <w:highlight w:val="none"/>
              </w:rPr>
              <w:t>DA00</w:t>
            </w:r>
            <w:r>
              <w:rPr>
                <w:rFonts w:hint="eastAsia"/>
                <w:color w:val="auto"/>
                <w:highlight w:val="none"/>
                <w:lang w:val="en-US" w:eastAsia="zh-CN"/>
              </w:rPr>
              <w:t>3</w:t>
            </w:r>
            <w:r>
              <w:rPr>
                <w:rFonts w:hint="eastAsia"/>
                <w:color w:val="auto"/>
                <w:highlight w:val="none"/>
              </w:rPr>
              <w:t>、DA00</w:t>
            </w:r>
            <w:r>
              <w:rPr>
                <w:rFonts w:hint="eastAsia"/>
                <w:color w:val="auto"/>
                <w:highlight w:val="none"/>
                <w:lang w:val="en-US" w:eastAsia="zh-CN"/>
              </w:rPr>
              <w:t>4</w:t>
            </w:r>
            <w:r>
              <w:rPr>
                <w:rFonts w:hint="eastAsia"/>
                <w:color w:val="auto"/>
                <w:highlight w:val="none"/>
              </w:rPr>
              <w:t>排气筒污染物排放浓度、排放速率均达标。为防止生产废气非正常工况排放，企业必须加强废气处理设施的管理，定期检修，确保废气处理设施正常运行，在废气处理设备停止运行或出现故障时，产生废气的各工序也必须相应停止生产。</w:t>
            </w:r>
          </w:p>
          <w:p w14:paraId="645432E3">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有组织废气防治措施</w:t>
            </w:r>
          </w:p>
          <w:p w14:paraId="62E5AE27">
            <w:pPr>
              <w:pStyle w:val="115"/>
              <w:spacing w:before="142" w:line="219" w:lineRule="auto"/>
              <w:ind w:left="591"/>
              <w:rPr>
                <w:color w:val="auto"/>
                <w:sz w:val="24"/>
                <w:szCs w:val="24"/>
                <w:highlight w:val="none"/>
              </w:rPr>
            </w:pPr>
            <w:r>
              <w:rPr>
                <w:color w:val="auto"/>
                <w:spacing w:val="-1"/>
                <w:sz w:val="24"/>
                <w:szCs w:val="24"/>
                <w:highlight w:val="none"/>
              </w:rPr>
              <w:t>项目活性炭吸附装置理论计算更换周期见下表。</w:t>
            </w:r>
          </w:p>
          <w:p w14:paraId="13D31175">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活性炭装置更换周期计算表</w:t>
            </w:r>
          </w:p>
          <w:p w14:paraId="0A763818">
            <w:pPr>
              <w:spacing w:line="144" w:lineRule="exact"/>
              <w:rPr>
                <w:color w:val="auto"/>
                <w:highlight w:val="none"/>
              </w:rPr>
            </w:pPr>
          </w:p>
          <w:tbl>
            <w:tblPr>
              <w:tblStyle w:val="86"/>
              <w:tblW w:w="892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717"/>
              <w:gridCol w:w="1356"/>
              <w:gridCol w:w="1578"/>
              <w:gridCol w:w="1290"/>
              <w:gridCol w:w="1503"/>
              <w:gridCol w:w="1179"/>
            </w:tblGrid>
            <w:tr w14:paraId="4B7F24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1301" w:type="dxa"/>
                  <w:tcBorders>
                    <w:bottom w:val="single" w:color="000000" w:sz="12" w:space="0"/>
                  </w:tcBorders>
                  <w:vAlign w:val="center"/>
                </w:tcPr>
                <w:p w14:paraId="6083A37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排气筒</w:t>
                  </w:r>
                </w:p>
              </w:tc>
              <w:tc>
                <w:tcPr>
                  <w:tcW w:w="717" w:type="dxa"/>
                  <w:tcBorders>
                    <w:bottom w:val="single" w:color="000000" w:sz="12" w:space="0"/>
                  </w:tcBorders>
                  <w:vAlign w:val="center"/>
                </w:tcPr>
                <w:p w14:paraId="43D876B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数量</w:t>
                  </w:r>
                </w:p>
                <w:p w14:paraId="6D3F897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hint="eastAsia" w:ascii="Times New Roman" w:hAnsi="Times New Roman" w:cs="Times New Roman"/>
                      <w:b/>
                      <w:bCs/>
                      <w:color w:val="auto"/>
                      <w:spacing w:val="2"/>
                      <w:sz w:val="21"/>
                      <w:highlight w:val="none"/>
                      <w:lang w:eastAsia="zh-CN"/>
                    </w:rPr>
                    <w:t>（</w:t>
                  </w:r>
                  <w:r>
                    <w:rPr>
                      <w:rFonts w:ascii="Times New Roman" w:hAnsi="Times New Roman" w:eastAsia="宋体"/>
                      <w:b/>
                      <w:bCs/>
                      <w:color w:val="auto"/>
                      <w:spacing w:val="2"/>
                      <w:sz w:val="21"/>
                      <w:highlight w:val="none"/>
                    </w:rPr>
                    <w:t>套</w:t>
                  </w:r>
                  <w:r>
                    <w:rPr>
                      <w:rFonts w:hint="eastAsia" w:ascii="Times New Roman" w:hAnsi="Times New Roman"/>
                      <w:b/>
                      <w:bCs/>
                      <w:color w:val="auto"/>
                      <w:spacing w:val="2"/>
                      <w:sz w:val="21"/>
                      <w:highlight w:val="none"/>
                      <w:lang w:eastAsia="zh-CN"/>
                    </w:rPr>
                    <w:t>）</w:t>
                  </w:r>
                </w:p>
              </w:tc>
              <w:tc>
                <w:tcPr>
                  <w:tcW w:w="1356" w:type="dxa"/>
                  <w:tcBorders>
                    <w:bottom w:val="single" w:color="000000" w:sz="12" w:space="0"/>
                  </w:tcBorders>
                  <w:vAlign w:val="center"/>
                </w:tcPr>
                <w:p w14:paraId="47DB9B4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活性炭</w:t>
                  </w:r>
                </w:p>
                <w:p w14:paraId="0CFFC3D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装填量</w:t>
                  </w:r>
                </w:p>
                <w:p w14:paraId="430694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z w:val="21"/>
                      <w:szCs w:val="20"/>
                      <w:highlight w:val="none"/>
                    </w:rPr>
                    <w:t>(t)</w:t>
                  </w:r>
                </w:p>
              </w:tc>
              <w:tc>
                <w:tcPr>
                  <w:tcW w:w="1578" w:type="dxa"/>
                  <w:tcBorders>
                    <w:bottom w:val="single" w:color="000000" w:sz="12" w:space="0"/>
                  </w:tcBorders>
                  <w:vAlign w:val="center"/>
                </w:tcPr>
                <w:p w14:paraId="41B7D2A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废气理论吸</w:t>
                  </w:r>
                </w:p>
                <w:p w14:paraId="566CCD9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附量</w:t>
                  </w:r>
                </w:p>
                <w:p w14:paraId="727468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1290" w:type="dxa"/>
                  <w:tcBorders>
                    <w:bottom w:val="single" w:color="000000" w:sz="12" w:space="0"/>
                  </w:tcBorders>
                  <w:vAlign w:val="center"/>
                </w:tcPr>
                <w:p w14:paraId="41F65E2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position w:val="-1"/>
                      <w:sz w:val="21"/>
                      <w:highlight w:val="none"/>
                    </w:rPr>
                    <w:t>活性炭</w:t>
                  </w:r>
                  <w:r>
                    <w:rPr>
                      <w:rFonts w:ascii="Times New Roman" w:hAnsi="Times New Roman" w:eastAsia="宋体" w:cs="Times New Roman"/>
                      <w:b/>
                      <w:bCs/>
                      <w:color w:val="auto"/>
                      <w:spacing w:val="3"/>
                      <w:position w:val="5"/>
                      <w:sz w:val="21"/>
                      <w:szCs w:val="13"/>
                      <w:highlight w:val="none"/>
                      <w:vertAlign w:val="superscript"/>
                    </w:rPr>
                    <w:t>[1]</w:t>
                  </w:r>
                  <w:r>
                    <w:rPr>
                      <w:rFonts w:ascii="Times New Roman" w:hAnsi="Times New Roman" w:eastAsia="宋体"/>
                      <w:b/>
                      <w:bCs/>
                      <w:color w:val="auto"/>
                      <w:spacing w:val="5"/>
                      <w:sz w:val="21"/>
                      <w:highlight w:val="none"/>
                    </w:rPr>
                    <w:t>理论更换</w:t>
                  </w:r>
                  <w:r>
                    <w:rPr>
                      <w:rFonts w:ascii="Times New Roman" w:hAnsi="Times New Roman" w:eastAsia="宋体"/>
                      <w:b/>
                      <w:bCs/>
                      <w:color w:val="auto"/>
                      <w:spacing w:val="-2"/>
                      <w:sz w:val="21"/>
                      <w:highlight w:val="none"/>
                    </w:rPr>
                    <w:t>量</w:t>
                  </w:r>
                </w:p>
                <w:p w14:paraId="1EAFBE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1503" w:type="dxa"/>
                  <w:tcBorders>
                    <w:bottom w:val="single" w:color="000000" w:sz="12" w:space="0"/>
                  </w:tcBorders>
                  <w:vAlign w:val="center"/>
                </w:tcPr>
                <w:p w14:paraId="11FD30C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position w:val="-1"/>
                      <w:sz w:val="21"/>
                      <w:highlight w:val="none"/>
                    </w:rPr>
                    <w:t>废活性炭</w:t>
                  </w:r>
                  <w:r>
                    <w:rPr>
                      <w:rFonts w:ascii="Times New Roman" w:hAnsi="Times New Roman" w:eastAsia="宋体" w:cs="Times New Roman"/>
                      <w:b/>
                      <w:bCs/>
                      <w:color w:val="auto"/>
                      <w:spacing w:val="5"/>
                      <w:position w:val="5"/>
                      <w:sz w:val="21"/>
                      <w:szCs w:val="13"/>
                      <w:highlight w:val="none"/>
                      <w:vertAlign w:val="superscript"/>
                    </w:rPr>
                    <w:t>[2]</w:t>
                  </w:r>
                  <w:r>
                    <w:rPr>
                      <w:rFonts w:ascii="Times New Roman" w:hAnsi="Times New Roman" w:eastAsia="宋体"/>
                      <w:b/>
                      <w:bCs/>
                      <w:color w:val="auto"/>
                      <w:spacing w:val="6"/>
                      <w:sz w:val="21"/>
                      <w:highlight w:val="none"/>
                    </w:rPr>
                    <w:t>理论产生量</w:t>
                  </w:r>
                </w:p>
                <w:p w14:paraId="2490E4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1179" w:type="dxa"/>
                  <w:tcBorders>
                    <w:bottom w:val="single" w:color="000000" w:sz="12" w:space="0"/>
                  </w:tcBorders>
                  <w:vAlign w:val="center"/>
                </w:tcPr>
                <w:p w14:paraId="306A5AF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活性炭</w:t>
                  </w:r>
                </w:p>
                <w:p w14:paraId="41B0C6C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建议更</w:t>
                  </w:r>
                </w:p>
                <w:p w14:paraId="75707D4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highlight w:val="none"/>
                      <w:lang w:val="en-US" w:eastAsia="zh-CN"/>
                    </w:rPr>
                  </w:pPr>
                  <w:r>
                    <w:rPr>
                      <w:rFonts w:ascii="Times New Roman" w:hAnsi="Times New Roman" w:eastAsia="宋体"/>
                      <w:b/>
                      <w:bCs/>
                      <w:color w:val="auto"/>
                      <w:spacing w:val="5"/>
                      <w:sz w:val="21"/>
                      <w:highlight w:val="none"/>
                    </w:rPr>
                    <w:t>换周期</w:t>
                  </w:r>
                  <w:r>
                    <w:rPr>
                      <w:rFonts w:hint="eastAsia" w:ascii="Times New Roman" w:hAnsi="Times New Roman"/>
                      <w:b/>
                      <w:bCs/>
                      <w:color w:val="auto"/>
                      <w:spacing w:val="5"/>
                      <w:sz w:val="21"/>
                      <w:highlight w:val="none"/>
                      <w:lang w:val="en-US" w:eastAsia="zh-CN"/>
                    </w:rPr>
                    <w:t>*</w:t>
                  </w:r>
                </w:p>
              </w:tc>
            </w:tr>
            <w:tr w14:paraId="245B1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301" w:type="dxa"/>
                  <w:tcBorders>
                    <w:top w:val="single" w:color="000000" w:sz="12" w:space="0"/>
                    <w:bottom w:val="single" w:color="000000" w:sz="6" w:space="0"/>
                  </w:tcBorders>
                  <w:vAlign w:val="center"/>
                </w:tcPr>
                <w:p w14:paraId="7943103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z w:val="21"/>
                      <w:highlight w:val="none"/>
                    </w:rPr>
                    <w:t>DA</w:t>
                  </w:r>
                  <w:r>
                    <w:rPr>
                      <w:rFonts w:ascii="Times New Roman" w:hAnsi="Times New Roman" w:eastAsia="宋体" w:cs="Times New Roman"/>
                      <w:color w:val="auto"/>
                      <w:spacing w:val="6"/>
                      <w:sz w:val="21"/>
                      <w:highlight w:val="none"/>
                    </w:rPr>
                    <w:t>001</w:t>
                  </w:r>
                  <w:r>
                    <w:rPr>
                      <w:rFonts w:ascii="Times New Roman" w:hAnsi="Times New Roman" w:eastAsia="宋体"/>
                      <w:color w:val="auto"/>
                      <w:spacing w:val="6"/>
                      <w:sz w:val="21"/>
                      <w:highlight w:val="none"/>
                    </w:rPr>
                    <w:t>排</w:t>
                  </w:r>
                  <w:r>
                    <w:rPr>
                      <w:rFonts w:ascii="Times New Roman" w:hAnsi="Times New Roman" w:eastAsia="宋体"/>
                      <w:color w:val="auto"/>
                      <w:spacing w:val="7"/>
                      <w:sz w:val="21"/>
                      <w:highlight w:val="none"/>
                    </w:rPr>
                    <w:t>气筒配套</w:t>
                  </w:r>
                  <w:r>
                    <w:rPr>
                      <w:rFonts w:ascii="Times New Roman" w:hAnsi="Times New Roman" w:eastAsia="宋体"/>
                      <w:color w:val="auto"/>
                      <w:spacing w:val="6"/>
                      <w:sz w:val="21"/>
                      <w:highlight w:val="none"/>
                    </w:rPr>
                    <w:t>活性炭装</w:t>
                  </w:r>
                  <w:r>
                    <w:rPr>
                      <w:rFonts w:ascii="Times New Roman" w:hAnsi="Times New Roman" w:eastAsia="宋体"/>
                      <w:color w:val="auto"/>
                      <w:spacing w:val="2"/>
                      <w:sz w:val="21"/>
                      <w:highlight w:val="none"/>
                    </w:rPr>
                    <w:t>置</w:t>
                  </w:r>
                </w:p>
              </w:tc>
              <w:tc>
                <w:tcPr>
                  <w:tcW w:w="717" w:type="dxa"/>
                  <w:tcBorders>
                    <w:top w:val="single" w:color="000000" w:sz="12" w:space="0"/>
                    <w:bottom w:val="single" w:color="000000" w:sz="6" w:space="0"/>
                  </w:tcBorders>
                  <w:vAlign w:val="center"/>
                </w:tcPr>
                <w:p w14:paraId="4F6D8D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1356" w:type="dxa"/>
                  <w:tcBorders>
                    <w:top w:val="single" w:color="000000" w:sz="12" w:space="0"/>
                    <w:bottom w:val="single" w:color="000000" w:sz="6" w:space="0"/>
                  </w:tcBorders>
                  <w:vAlign w:val="center"/>
                </w:tcPr>
                <w:p w14:paraId="04CF4D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w:t>
                  </w:r>
                </w:p>
              </w:tc>
              <w:tc>
                <w:tcPr>
                  <w:tcW w:w="1578" w:type="dxa"/>
                  <w:tcBorders>
                    <w:top w:val="single" w:color="000000" w:sz="12" w:space="0"/>
                    <w:bottom w:val="single" w:color="000000" w:sz="6" w:space="0"/>
                  </w:tcBorders>
                  <w:shd w:val="clear" w:color="auto" w:fill="auto"/>
                  <w:vAlign w:val="center"/>
                </w:tcPr>
                <w:p w14:paraId="12C5D6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color w:val="auto"/>
                      <w:position w:val="1"/>
                      <w:sz w:val="21"/>
                      <w:szCs w:val="20"/>
                      <w:highlight w:val="none"/>
                      <w:lang w:val="en-US" w:eastAsia="zh-CN"/>
                    </w:rPr>
                    <w:t>0.6354</w:t>
                  </w:r>
                </w:p>
              </w:tc>
              <w:tc>
                <w:tcPr>
                  <w:tcW w:w="1290" w:type="dxa"/>
                  <w:tcBorders>
                    <w:top w:val="single" w:color="000000" w:sz="12" w:space="0"/>
                    <w:bottom w:val="single" w:color="000000" w:sz="6" w:space="0"/>
                  </w:tcBorders>
                  <w:vAlign w:val="center"/>
                </w:tcPr>
                <w:p w14:paraId="0842EF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2.118</w:t>
                  </w:r>
                </w:p>
              </w:tc>
              <w:tc>
                <w:tcPr>
                  <w:tcW w:w="1503" w:type="dxa"/>
                  <w:tcBorders>
                    <w:top w:val="single" w:color="000000" w:sz="12" w:space="0"/>
                    <w:bottom w:val="single" w:color="000000" w:sz="6" w:space="0"/>
                  </w:tcBorders>
                  <w:vAlign w:val="center"/>
                </w:tcPr>
                <w:p w14:paraId="724760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2.7534</w:t>
                  </w:r>
                </w:p>
              </w:tc>
              <w:tc>
                <w:tcPr>
                  <w:tcW w:w="1179" w:type="dxa"/>
                  <w:tcBorders>
                    <w:top w:val="single" w:color="000000" w:sz="12" w:space="0"/>
                    <w:bottom w:val="single" w:color="000000" w:sz="6" w:space="0"/>
                  </w:tcBorders>
                  <w:vAlign w:val="center"/>
                </w:tcPr>
                <w:p w14:paraId="72EA523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每</w:t>
                  </w:r>
                  <w:r>
                    <w:rPr>
                      <w:rFonts w:hint="eastAsia" w:ascii="Times New Roman" w:hAnsi="Times New Roman"/>
                      <w:color w:val="auto"/>
                      <w:spacing w:val="6"/>
                      <w:sz w:val="21"/>
                      <w:highlight w:val="none"/>
                      <w:lang w:val="en-US" w:eastAsia="zh-CN"/>
                    </w:rPr>
                    <w:t>1个月</w:t>
                  </w:r>
                  <w:r>
                    <w:rPr>
                      <w:rFonts w:ascii="Times New Roman" w:hAnsi="Times New Roman" w:eastAsia="宋体"/>
                      <w:color w:val="auto"/>
                      <w:spacing w:val="6"/>
                      <w:sz w:val="21"/>
                      <w:highlight w:val="none"/>
                    </w:rPr>
                    <w:t>更</w:t>
                  </w:r>
                </w:p>
                <w:p w14:paraId="1B093E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position w:val="1"/>
                      <w:sz w:val="21"/>
                      <w:highlight w:val="none"/>
                    </w:rPr>
                    <w:t>换</w:t>
                  </w:r>
                  <w:r>
                    <w:rPr>
                      <w:rFonts w:ascii="Times New Roman" w:hAnsi="Times New Roman" w:eastAsia="宋体" w:cs="Times New Roman"/>
                      <w:color w:val="auto"/>
                      <w:spacing w:val="-7"/>
                      <w:position w:val="1"/>
                      <w:sz w:val="21"/>
                      <w:highlight w:val="none"/>
                    </w:rPr>
                    <w:t>1</w:t>
                  </w:r>
                  <w:r>
                    <w:rPr>
                      <w:rFonts w:ascii="Times New Roman" w:hAnsi="Times New Roman" w:eastAsia="宋体"/>
                      <w:color w:val="auto"/>
                      <w:spacing w:val="-7"/>
                      <w:position w:val="1"/>
                      <w:sz w:val="21"/>
                      <w:highlight w:val="none"/>
                    </w:rPr>
                    <w:t>次</w:t>
                  </w:r>
                </w:p>
              </w:tc>
            </w:tr>
            <w:tr w14:paraId="1F076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301" w:type="dxa"/>
                  <w:tcBorders>
                    <w:top w:val="single" w:color="000000" w:sz="6" w:space="0"/>
                    <w:tl2br w:val="nil"/>
                    <w:tr2bl w:val="nil"/>
                  </w:tcBorders>
                  <w:vAlign w:val="center"/>
                </w:tcPr>
                <w:p w14:paraId="2C6132D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DA</w:t>
                  </w:r>
                  <w:r>
                    <w:rPr>
                      <w:rFonts w:ascii="Times New Roman" w:hAnsi="Times New Roman" w:eastAsia="宋体" w:cs="Times New Roman"/>
                      <w:color w:val="auto"/>
                      <w:spacing w:val="6"/>
                      <w:sz w:val="21"/>
                      <w:highlight w:val="none"/>
                    </w:rPr>
                    <w:t>00</w:t>
                  </w:r>
                  <w:r>
                    <w:rPr>
                      <w:rFonts w:hint="eastAsia" w:ascii="Times New Roman" w:hAnsi="Times New Roman" w:cs="Times New Roman"/>
                      <w:color w:val="auto"/>
                      <w:spacing w:val="6"/>
                      <w:sz w:val="21"/>
                      <w:highlight w:val="none"/>
                      <w:lang w:val="en-US" w:eastAsia="zh-CN"/>
                    </w:rPr>
                    <w:t>4</w:t>
                  </w:r>
                  <w:r>
                    <w:rPr>
                      <w:rFonts w:ascii="Times New Roman" w:hAnsi="Times New Roman" w:eastAsia="宋体"/>
                      <w:color w:val="auto"/>
                      <w:spacing w:val="6"/>
                      <w:sz w:val="21"/>
                      <w:highlight w:val="none"/>
                    </w:rPr>
                    <w:t>排</w:t>
                  </w:r>
                  <w:r>
                    <w:rPr>
                      <w:rFonts w:ascii="Times New Roman" w:hAnsi="Times New Roman" w:eastAsia="宋体"/>
                      <w:color w:val="auto"/>
                      <w:spacing w:val="7"/>
                      <w:sz w:val="21"/>
                      <w:highlight w:val="none"/>
                    </w:rPr>
                    <w:t>气筒配套</w:t>
                  </w:r>
                  <w:r>
                    <w:rPr>
                      <w:rFonts w:ascii="Times New Roman" w:hAnsi="Times New Roman" w:eastAsia="宋体"/>
                      <w:color w:val="auto"/>
                      <w:spacing w:val="6"/>
                      <w:sz w:val="21"/>
                      <w:highlight w:val="none"/>
                    </w:rPr>
                    <w:t>活性炭装</w:t>
                  </w:r>
                  <w:r>
                    <w:rPr>
                      <w:rFonts w:ascii="Times New Roman" w:hAnsi="Times New Roman" w:eastAsia="宋体"/>
                      <w:color w:val="auto"/>
                      <w:spacing w:val="2"/>
                      <w:sz w:val="21"/>
                      <w:highlight w:val="none"/>
                    </w:rPr>
                    <w:t>置</w:t>
                  </w:r>
                </w:p>
              </w:tc>
              <w:tc>
                <w:tcPr>
                  <w:tcW w:w="717" w:type="dxa"/>
                  <w:tcBorders>
                    <w:top w:val="single" w:color="000000" w:sz="6" w:space="0"/>
                    <w:tl2br w:val="nil"/>
                    <w:tr2bl w:val="nil"/>
                  </w:tcBorders>
                  <w:vAlign w:val="center"/>
                </w:tcPr>
                <w:p w14:paraId="59DF30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w:t>
                  </w:r>
                </w:p>
              </w:tc>
              <w:tc>
                <w:tcPr>
                  <w:tcW w:w="1356" w:type="dxa"/>
                  <w:tcBorders>
                    <w:top w:val="single" w:color="000000" w:sz="6" w:space="0"/>
                    <w:tl2br w:val="nil"/>
                    <w:tr2bl w:val="nil"/>
                  </w:tcBorders>
                  <w:vAlign w:val="center"/>
                </w:tcPr>
                <w:p w14:paraId="1B8633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spacing w:val="1"/>
                      <w:position w:val="2"/>
                      <w:sz w:val="21"/>
                      <w:szCs w:val="20"/>
                      <w:highlight w:val="none"/>
                      <w:lang w:val="en-US" w:eastAsia="zh-CN"/>
                    </w:rPr>
                  </w:pPr>
                  <w:r>
                    <w:rPr>
                      <w:rFonts w:hint="eastAsia" w:cs="Times New Roman"/>
                      <w:color w:val="auto"/>
                      <w:spacing w:val="1"/>
                      <w:position w:val="2"/>
                      <w:sz w:val="21"/>
                      <w:szCs w:val="20"/>
                      <w:highlight w:val="none"/>
                      <w:lang w:val="en-US" w:eastAsia="zh-CN"/>
                    </w:rPr>
                    <w:t>1.0</w:t>
                  </w:r>
                </w:p>
              </w:tc>
              <w:tc>
                <w:tcPr>
                  <w:tcW w:w="1578" w:type="dxa"/>
                  <w:tcBorders>
                    <w:top w:val="single" w:color="000000" w:sz="6" w:space="0"/>
                    <w:tl2br w:val="nil"/>
                    <w:tr2bl w:val="nil"/>
                  </w:tcBorders>
                  <w:shd w:val="clear" w:color="auto" w:fill="auto"/>
                  <w:vAlign w:val="center"/>
                </w:tcPr>
                <w:p w14:paraId="049B1A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position w:val="1"/>
                      <w:sz w:val="21"/>
                      <w:szCs w:val="20"/>
                      <w:highlight w:val="none"/>
                      <w:lang w:val="en-US" w:eastAsia="zh-CN"/>
                    </w:rPr>
                  </w:pPr>
                  <w:r>
                    <w:rPr>
                      <w:rFonts w:hint="eastAsia" w:ascii="Times New Roman" w:hAnsi="Times New Roman" w:eastAsia="宋体" w:cs="Times New Roman"/>
                      <w:color w:val="auto"/>
                      <w:position w:val="1"/>
                      <w:sz w:val="21"/>
                      <w:szCs w:val="20"/>
                      <w:highlight w:val="none"/>
                      <w:lang w:val="en-US" w:eastAsia="zh-CN"/>
                    </w:rPr>
                    <w:t>1.2015</w:t>
                  </w:r>
                </w:p>
              </w:tc>
              <w:tc>
                <w:tcPr>
                  <w:tcW w:w="1290" w:type="dxa"/>
                  <w:tcBorders>
                    <w:top w:val="single" w:color="000000" w:sz="6" w:space="0"/>
                    <w:tl2br w:val="nil"/>
                    <w:tr2bl w:val="nil"/>
                  </w:tcBorders>
                  <w:vAlign w:val="center"/>
                </w:tcPr>
                <w:p w14:paraId="0035DE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4.005</w:t>
                  </w:r>
                </w:p>
              </w:tc>
              <w:tc>
                <w:tcPr>
                  <w:tcW w:w="1503" w:type="dxa"/>
                  <w:tcBorders>
                    <w:top w:val="single" w:color="000000" w:sz="6" w:space="0"/>
                    <w:tl2br w:val="nil"/>
                    <w:tr2bl w:val="nil"/>
                  </w:tcBorders>
                  <w:vAlign w:val="center"/>
                </w:tcPr>
                <w:p w14:paraId="6525F6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spacing w:val="3"/>
                      <w:position w:val="2"/>
                      <w:sz w:val="21"/>
                      <w:szCs w:val="20"/>
                      <w:highlight w:val="none"/>
                      <w:lang w:val="en-US" w:eastAsia="zh-CN"/>
                    </w:rPr>
                  </w:pPr>
                  <w:r>
                    <w:rPr>
                      <w:rFonts w:hint="eastAsia" w:cs="Times New Roman"/>
                      <w:color w:val="auto"/>
                      <w:spacing w:val="3"/>
                      <w:position w:val="2"/>
                      <w:sz w:val="21"/>
                      <w:szCs w:val="20"/>
                      <w:highlight w:val="none"/>
                      <w:lang w:val="en-US" w:eastAsia="zh-CN"/>
                    </w:rPr>
                    <w:t>5.2065</w:t>
                  </w:r>
                </w:p>
              </w:tc>
              <w:tc>
                <w:tcPr>
                  <w:tcW w:w="1179" w:type="dxa"/>
                  <w:tcBorders>
                    <w:top w:val="single" w:color="000000" w:sz="6" w:space="0"/>
                    <w:tl2br w:val="nil"/>
                    <w:tr2bl w:val="nil"/>
                  </w:tcBorders>
                  <w:vAlign w:val="center"/>
                </w:tcPr>
                <w:p w14:paraId="24ED2D0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每</w:t>
                  </w:r>
                  <w:r>
                    <w:rPr>
                      <w:rFonts w:hint="eastAsia" w:ascii="Times New Roman" w:hAnsi="Times New Roman"/>
                      <w:color w:val="auto"/>
                      <w:spacing w:val="6"/>
                      <w:sz w:val="21"/>
                      <w:highlight w:val="none"/>
                      <w:lang w:val="en-US" w:eastAsia="zh-CN"/>
                    </w:rPr>
                    <w:t>1个月</w:t>
                  </w:r>
                  <w:r>
                    <w:rPr>
                      <w:rFonts w:ascii="Times New Roman" w:hAnsi="Times New Roman" w:eastAsia="宋体"/>
                      <w:color w:val="auto"/>
                      <w:spacing w:val="6"/>
                      <w:sz w:val="21"/>
                      <w:highlight w:val="none"/>
                    </w:rPr>
                    <w:t>更</w:t>
                  </w:r>
                </w:p>
                <w:p w14:paraId="00F4A8E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pacing w:val="-7"/>
                      <w:position w:val="1"/>
                      <w:sz w:val="21"/>
                      <w:highlight w:val="none"/>
                    </w:rPr>
                  </w:pPr>
                  <w:r>
                    <w:rPr>
                      <w:rFonts w:ascii="Times New Roman" w:hAnsi="Times New Roman" w:eastAsia="宋体"/>
                      <w:color w:val="auto"/>
                      <w:spacing w:val="-7"/>
                      <w:position w:val="1"/>
                      <w:sz w:val="21"/>
                      <w:highlight w:val="none"/>
                    </w:rPr>
                    <w:t>换</w:t>
                  </w:r>
                  <w:r>
                    <w:rPr>
                      <w:rFonts w:ascii="Times New Roman" w:hAnsi="Times New Roman" w:eastAsia="宋体" w:cs="Times New Roman"/>
                      <w:color w:val="auto"/>
                      <w:spacing w:val="-7"/>
                      <w:position w:val="1"/>
                      <w:sz w:val="21"/>
                      <w:highlight w:val="none"/>
                    </w:rPr>
                    <w:t>1</w:t>
                  </w:r>
                  <w:r>
                    <w:rPr>
                      <w:rFonts w:ascii="Times New Roman" w:hAnsi="Times New Roman" w:eastAsia="宋体"/>
                      <w:color w:val="auto"/>
                      <w:spacing w:val="-7"/>
                      <w:position w:val="1"/>
                      <w:sz w:val="21"/>
                      <w:highlight w:val="none"/>
                    </w:rPr>
                    <w:t>次</w:t>
                  </w:r>
                </w:p>
              </w:tc>
            </w:tr>
            <w:tr w14:paraId="72946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8924" w:type="dxa"/>
                  <w:gridSpan w:val="7"/>
                  <w:tcBorders>
                    <w:tl2br w:val="nil"/>
                    <w:tr2bl w:val="nil"/>
                  </w:tcBorders>
                  <w:vAlign w:val="center"/>
                </w:tcPr>
                <w:p w14:paraId="1FEEAA5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注：</w:t>
                  </w:r>
                  <w:r>
                    <w:rPr>
                      <w:rFonts w:ascii="Times New Roman" w:hAnsi="Times New Roman" w:eastAsia="宋体" w:cs="Times New Roman"/>
                      <w:color w:val="auto"/>
                      <w:spacing w:val="10"/>
                      <w:sz w:val="21"/>
                      <w:highlight w:val="none"/>
                    </w:rPr>
                    <w:t>[1]</w:t>
                  </w:r>
                  <w:r>
                    <w:rPr>
                      <w:rFonts w:ascii="Times New Roman" w:hAnsi="Times New Roman" w:eastAsia="宋体"/>
                      <w:color w:val="auto"/>
                      <w:spacing w:val="10"/>
                      <w:sz w:val="21"/>
                      <w:highlight w:val="none"/>
                    </w:rPr>
                    <w:t>活性炭对有机废气的吸附比例取</w:t>
                  </w:r>
                  <w:r>
                    <w:rPr>
                      <w:rFonts w:ascii="Times New Roman" w:hAnsi="Times New Roman" w:eastAsia="宋体" w:cs="Times New Roman"/>
                      <w:color w:val="auto"/>
                      <w:spacing w:val="10"/>
                      <w:sz w:val="21"/>
                      <w:highlight w:val="none"/>
                    </w:rPr>
                    <w:t>3</w:t>
                  </w:r>
                  <w:r>
                    <w:rPr>
                      <w:rFonts w:ascii="Times New Roman" w:hAnsi="Times New Roman" w:eastAsia="宋体" w:cs="Times New Roman"/>
                      <w:color w:val="auto"/>
                      <w:spacing w:val="9"/>
                      <w:sz w:val="21"/>
                      <w:highlight w:val="none"/>
                    </w:rPr>
                    <w:t>0%</w:t>
                  </w:r>
                  <w:r>
                    <w:rPr>
                      <w:rFonts w:ascii="Times New Roman" w:hAnsi="Times New Roman" w:eastAsia="宋体"/>
                      <w:color w:val="auto"/>
                      <w:spacing w:val="9"/>
                      <w:sz w:val="21"/>
                      <w:highlight w:val="none"/>
                    </w:rPr>
                    <w:t>，则活性炭理论更换量</w:t>
                  </w:r>
                  <w:r>
                    <w:rPr>
                      <w:rFonts w:ascii="Times New Roman" w:hAnsi="Times New Roman" w:eastAsia="宋体" w:cs="Times New Roman"/>
                      <w:color w:val="auto"/>
                      <w:spacing w:val="9"/>
                      <w:sz w:val="21"/>
                      <w:highlight w:val="none"/>
                    </w:rPr>
                    <w:t>=</w:t>
                  </w:r>
                  <w:r>
                    <w:rPr>
                      <w:rFonts w:ascii="Times New Roman" w:hAnsi="Times New Roman" w:eastAsia="宋体"/>
                      <w:color w:val="auto"/>
                      <w:spacing w:val="9"/>
                      <w:sz w:val="21"/>
                      <w:highlight w:val="none"/>
                    </w:rPr>
                    <w:t>废气理论吸附量</w:t>
                  </w:r>
                  <w:r>
                    <w:rPr>
                      <w:rFonts w:ascii="Times New Roman" w:hAnsi="Times New Roman" w:eastAsia="宋体" w:cs="Times New Roman"/>
                      <w:color w:val="auto"/>
                      <w:spacing w:val="2"/>
                      <w:sz w:val="21"/>
                      <w:highlight w:val="none"/>
                    </w:rPr>
                    <w:t>/0.3</w:t>
                  </w:r>
                  <w:r>
                    <w:rPr>
                      <w:rFonts w:ascii="Times New Roman" w:hAnsi="Times New Roman" w:eastAsia="宋体"/>
                      <w:color w:val="auto"/>
                      <w:spacing w:val="2"/>
                      <w:sz w:val="21"/>
                      <w:highlight w:val="none"/>
                    </w:rPr>
                    <w:t>。</w:t>
                  </w:r>
                </w:p>
                <w:p w14:paraId="5FF4C64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color w:val="auto"/>
                      <w:sz w:val="21"/>
                      <w:highlight w:val="none"/>
                    </w:rPr>
                  </w:pPr>
                  <w:r>
                    <w:rPr>
                      <w:rFonts w:ascii="Times New Roman" w:hAnsi="Times New Roman" w:eastAsia="宋体" w:cs="Times New Roman"/>
                      <w:color w:val="auto"/>
                      <w:spacing w:val="8"/>
                      <w:position w:val="2"/>
                      <w:sz w:val="21"/>
                      <w:highlight w:val="none"/>
                    </w:rPr>
                    <w:t>[2]</w:t>
                  </w:r>
                  <w:r>
                    <w:rPr>
                      <w:rFonts w:ascii="Times New Roman" w:hAnsi="Times New Roman" w:eastAsia="宋体"/>
                      <w:color w:val="auto"/>
                      <w:spacing w:val="8"/>
                      <w:position w:val="2"/>
                      <w:sz w:val="21"/>
                      <w:highlight w:val="none"/>
                    </w:rPr>
                    <w:t>废活性炭理论产生量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有机废气理论吸附量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活性炭填充量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每年更换次数。</w:t>
                  </w:r>
                </w:p>
              </w:tc>
            </w:tr>
          </w:tbl>
          <w:p w14:paraId="3B3A4802">
            <w:pPr>
              <w:pStyle w:val="115"/>
              <w:spacing w:before="78" w:line="220" w:lineRule="auto"/>
              <w:rPr>
                <w:rFonts w:hint="default" w:ascii="Times New Roman" w:hAnsi="Times New Roman" w:eastAsia="宋体" w:cs="宋体"/>
                <w:color w:val="auto"/>
                <w:kern w:val="0"/>
                <w:sz w:val="24"/>
                <w:szCs w:val="20"/>
                <w:highlight w:val="none"/>
                <w:lang w:val="en-US" w:eastAsia="zh-CN" w:bidi="ar-SA"/>
              </w:rPr>
            </w:pP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zh-CN" w:eastAsia="zh-CN" w:bidi="ar-SA"/>
              </w:rPr>
              <w:t>活性炭的更换周期计算</w:t>
            </w:r>
            <w:r>
              <w:rPr>
                <w:rFonts w:hint="eastAsia" w:ascii="Times New Roman" w:hAnsi="Times New Roman" w:cs="宋体"/>
                <w:color w:val="auto"/>
                <w:kern w:val="0"/>
                <w:sz w:val="24"/>
                <w:szCs w:val="20"/>
                <w:highlight w:val="none"/>
                <w:lang w:val="en-US" w:eastAsia="zh-CN" w:bidi="ar-SA"/>
              </w:rPr>
              <w:t>如下：</w:t>
            </w:r>
          </w:p>
          <w:p w14:paraId="24C3BA55">
            <w:pPr>
              <w:pStyle w:val="115"/>
              <w:spacing w:before="78" w:line="220" w:lineRule="auto"/>
              <w:ind w:left="1268"/>
              <w:rPr>
                <w:b/>
                <w:bCs/>
                <w:color w:val="auto"/>
                <w:spacing w:val="-1"/>
                <w:sz w:val="24"/>
                <w:szCs w:val="24"/>
                <w:highlight w:val="none"/>
              </w:rPr>
            </w:pPr>
            <w:r>
              <w:rPr>
                <w:color w:val="auto"/>
              </w:rPr>
              <w:drawing>
                <wp:inline distT="0" distB="0" distL="114300" distR="114300">
                  <wp:extent cx="1757680" cy="800100"/>
                  <wp:effectExtent l="0" t="0" r="13970" b="0"/>
                  <wp:docPr id="241" name="图片 241" descr="C:\Users\Administrator\Desktop\图\活性炭计算\微信图片_20201102093110.png微信图片_20201102093110"/>
                  <wp:cNvGraphicFramePr/>
                  <a:graphic xmlns:a="http://schemas.openxmlformats.org/drawingml/2006/main">
                    <a:graphicData uri="http://schemas.openxmlformats.org/drawingml/2006/picture">
                      <pic:pic xmlns:pic="http://schemas.openxmlformats.org/drawingml/2006/picture">
                        <pic:nvPicPr>
                          <pic:cNvPr id="241" name="图片 241" descr="C:\Users\Administrator\Desktop\图\活性炭计算\微信图片_20201102093110.png微信图片_20201102093110"/>
                          <pic:cNvPicPr/>
                        </pic:nvPicPr>
                        <pic:blipFill>
                          <a:blip r:embed="rId20"/>
                          <a:srcRect l="-314" t="-635" r="314" b="-4201"/>
                          <a:stretch>
                            <a:fillRect/>
                          </a:stretch>
                        </pic:blipFill>
                        <pic:spPr>
                          <a:xfrm>
                            <a:off x="0" y="0"/>
                            <a:ext cx="1757680" cy="800100"/>
                          </a:xfrm>
                          <a:prstGeom prst="rect">
                            <a:avLst/>
                          </a:prstGeom>
                          <a:noFill/>
                          <a:ln>
                            <a:noFill/>
                          </a:ln>
                          <a:effectLst/>
                        </pic:spPr>
                      </pic:pic>
                    </a:graphicData>
                  </a:graphic>
                </wp:inline>
              </w:drawing>
            </w:r>
          </w:p>
          <w:p w14:paraId="1BCDC05C">
            <w:pPr>
              <w:pStyle w:val="46"/>
              <w:bidi w:val="0"/>
              <w:rPr>
                <w:rFonts w:hint="eastAsia"/>
                <w:color w:val="auto"/>
                <w:highlight w:val="none"/>
              </w:rPr>
            </w:pPr>
            <w:r>
              <w:rPr>
                <w:rFonts w:hint="eastAsia"/>
                <w:color w:val="auto"/>
                <w:highlight w:val="none"/>
              </w:rPr>
              <w:t>公式中：T—更换周期，天；</w:t>
            </w:r>
          </w:p>
          <w:p w14:paraId="04D8A8A9">
            <w:pPr>
              <w:pStyle w:val="46"/>
              <w:bidi w:val="0"/>
              <w:rPr>
                <w:rFonts w:hint="eastAsia"/>
                <w:color w:val="auto"/>
                <w:highlight w:val="none"/>
              </w:rPr>
            </w:pPr>
            <w:r>
              <w:rPr>
                <w:rFonts w:hint="eastAsia"/>
                <w:color w:val="auto"/>
                <w:highlight w:val="none"/>
              </w:rPr>
              <w:t>m—活性炭的用量，kg；</w:t>
            </w:r>
          </w:p>
          <w:p w14:paraId="1877DDAA">
            <w:pPr>
              <w:pStyle w:val="46"/>
              <w:bidi w:val="0"/>
              <w:rPr>
                <w:rFonts w:hint="eastAsia"/>
                <w:color w:val="auto"/>
                <w:highlight w:val="none"/>
              </w:rPr>
            </w:pPr>
            <w:r>
              <w:rPr>
                <w:rFonts w:hint="eastAsia"/>
                <w:color w:val="auto"/>
                <w:highlight w:val="none"/>
              </w:rPr>
              <w:t>s—动态吸附量，%；（一般取值10%）</w:t>
            </w:r>
          </w:p>
          <w:p w14:paraId="654AA937">
            <w:pPr>
              <w:pStyle w:val="46"/>
              <w:bidi w:val="0"/>
              <w:rPr>
                <w:rFonts w:hint="eastAsia"/>
                <w:color w:val="auto"/>
                <w:highlight w:val="none"/>
              </w:rPr>
            </w:pPr>
            <w:r>
              <w:rPr>
                <w:rFonts w:hint="eastAsia"/>
                <w:color w:val="auto"/>
                <w:highlight w:val="none"/>
              </w:rPr>
              <w:t>c—活性炭削减的VOCs浓度，mg/m</w:t>
            </w:r>
            <w:r>
              <w:rPr>
                <w:rFonts w:hint="eastAsia"/>
                <w:color w:val="auto"/>
                <w:highlight w:val="none"/>
                <w:vertAlign w:val="superscript"/>
              </w:rPr>
              <w:t>3</w:t>
            </w:r>
            <w:r>
              <w:rPr>
                <w:rFonts w:hint="eastAsia"/>
                <w:color w:val="auto"/>
                <w:highlight w:val="none"/>
              </w:rPr>
              <w:t>；</w:t>
            </w:r>
          </w:p>
          <w:p w14:paraId="0A426AB2">
            <w:pPr>
              <w:pStyle w:val="46"/>
              <w:bidi w:val="0"/>
              <w:rPr>
                <w:rFonts w:hint="eastAsia"/>
                <w:color w:val="auto"/>
                <w:highlight w:val="none"/>
              </w:rPr>
            </w:pPr>
            <w:r>
              <w:rPr>
                <w:rFonts w:hint="eastAsia"/>
                <w:color w:val="auto"/>
                <w:highlight w:val="none"/>
              </w:rPr>
              <w:t>Q—风量，单位m</w:t>
            </w:r>
            <w:r>
              <w:rPr>
                <w:rFonts w:hint="eastAsia"/>
                <w:color w:val="auto"/>
                <w:highlight w:val="none"/>
                <w:vertAlign w:val="superscript"/>
              </w:rPr>
              <w:t>3</w:t>
            </w:r>
            <w:r>
              <w:rPr>
                <w:rFonts w:hint="eastAsia"/>
                <w:color w:val="auto"/>
                <w:highlight w:val="none"/>
              </w:rPr>
              <w:t>/h；</w:t>
            </w:r>
          </w:p>
          <w:p w14:paraId="7E85A0DB">
            <w:pPr>
              <w:pStyle w:val="46"/>
              <w:bidi w:val="0"/>
              <w:rPr>
                <w:rFonts w:hint="eastAsia"/>
                <w:color w:val="auto"/>
                <w:highlight w:val="none"/>
              </w:rPr>
            </w:pPr>
            <w:r>
              <w:rPr>
                <w:rFonts w:hint="eastAsia"/>
                <w:color w:val="auto"/>
                <w:highlight w:val="none"/>
              </w:rPr>
              <w:t>t—运行时间，单位h/d。</w:t>
            </w:r>
          </w:p>
          <w:p w14:paraId="362350EB">
            <w:pPr>
              <w:pStyle w:val="46"/>
              <w:bidi w:val="0"/>
              <w:rPr>
                <w:rFonts w:hint="default" w:eastAsia="宋体"/>
                <w:color w:val="auto"/>
                <w:highlight w:val="none"/>
                <w:lang w:val="en-US" w:eastAsia="zh-CN"/>
              </w:rPr>
            </w:pPr>
            <w:r>
              <w:rPr>
                <w:rFonts w:hint="eastAsia"/>
                <w:color w:val="auto"/>
                <w:highlight w:val="none"/>
                <w:lang w:val="en-US" w:eastAsia="zh-CN"/>
              </w:rPr>
              <w:t>即本项目DA001排气筒</w:t>
            </w:r>
            <w:r>
              <w:rPr>
                <w:rFonts w:hint="eastAsia" w:ascii="Times New Roman" w:hAnsi="Times New Roman" w:eastAsia="宋体" w:cs="宋体"/>
                <w:color w:val="auto"/>
                <w:kern w:val="0"/>
                <w:sz w:val="24"/>
                <w:szCs w:val="20"/>
                <w:highlight w:val="none"/>
                <w:lang w:val="zh-CN" w:eastAsia="zh-CN" w:bidi="ar-SA"/>
              </w:rPr>
              <w:t>活性炭的更换周期</w:t>
            </w:r>
            <w:r>
              <w:rPr>
                <w:rFonts w:hint="eastAsia" w:cs="宋体"/>
                <w:color w:val="auto"/>
                <w:kern w:val="0"/>
                <w:sz w:val="24"/>
                <w:szCs w:val="20"/>
                <w:highlight w:val="none"/>
                <w:lang w:val="en-US" w:eastAsia="zh-CN" w:bidi="ar-SA"/>
              </w:rPr>
              <w:t>=500*0.1/（26.4769*10</w:t>
            </w:r>
            <w:r>
              <w:rPr>
                <w:rFonts w:hint="eastAsia" w:cs="宋体"/>
                <w:color w:val="auto"/>
                <w:kern w:val="0"/>
                <w:sz w:val="24"/>
                <w:szCs w:val="20"/>
                <w:highlight w:val="none"/>
                <w:vertAlign w:val="superscript"/>
                <w:lang w:val="en-US" w:eastAsia="zh-CN" w:bidi="ar-SA"/>
              </w:rPr>
              <w:t>-6</w:t>
            </w:r>
            <w:r>
              <w:rPr>
                <w:rFonts w:hint="eastAsia" w:cs="宋体"/>
                <w:color w:val="auto"/>
                <w:kern w:val="0"/>
                <w:sz w:val="24"/>
                <w:szCs w:val="20"/>
                <w:highlight w:val="none"/>
                <w:lang w:val="en-US" w:eastAsia="zh-CN" w:bidi="ar-SA"/>
              </w:rPr>
              <w:t>*10000*8）=23.6d；</w:t>
            </w:r>
            <w:r>
              <w:rPr>
                <w:rFonts w:hint="eastAsia"/>
                <w:color w:val="auto"/>
                <w:highlight w:val="none"/>
                <w:lang w:val="en-US" w:eastAsia="zh-CN"/>
              </w:rPr>
              <w:t>DA004排气筒</w:t>
            </w:r>
            <w:r>
              <w:rPr>
                <w:rFonts w:hint="eastAsia" w:ascii="Times New Roman" w:hAnsi="Times New Roman" w:eastAsia="宋体" w:cs="宋体"/>
                <w:color w:val="auto"/>
                <w:kern w:val="0"/>
                <w:sz w:val="24"/>
                <w:szCs w:val="20"/>
                <w:highlight w:val="none"/>
                <w:lang w:val="zh-CN" w:eastAsia="zh-CN" w:bidi="ar-SA"/>
              </w:rPr>
              <w:t>活性炭的更换周期</w:t>
            </w:r>
            <w:r>
              <w:rPr>
                <w:rFonts w:hint="eastAsia" w:cs="宋体"/>
                <w:color w:val="auto"/>
                <w:kern w:val="0"/>
                <w:sz w:val="24"/>
                <w:szCs w:val="20"/>
                <w:highlight w:val="none"/>
                <w:lang w:val="en-US" w:eastAsia="zh-CN" w:bidi="ar-SA"/>
              </w:rPr>
              <w:t>=1000*0.10/（27.5*10</w:t>
            </w:r>
            <w:r>
              <w:rPr>
                <w:rFonts w:hint="eastAsia" w:cs="宋体"/>
                <w:color w:val="auto"/>
                <w:kern w:val="0"/>
                <w:sz w:val="24"/>
                <w:szCs w:val="20"/>
                <w:highlight w:val="none"/>
                <w:vertAlign w:val="superscript"/>
                <w:lang w:val="en-US" w:eastAsia="zh-CN" w:bidi="ar-SA"/>
              </w:rPr>
              <w:t>-6</w:t>
            </w:r>
            <w:r>
              <w:rPr>
                <w:rFonts w:hint="eastAsia" w:cs="宋体"/>
                <w:color w:val="auto"/>
                <w:kern w:val="0"/>
                <w:sz w:val="24"/>
                <w:szCs w:val="20"/>
                <w:highlight w:val="none"/>
                <w:lang w:val="en-US" w:eastAsia="zh-CN" w:bidi="ar-SA"/>
              </w:rPr>
              <w:t>*18000*8）=25.3d；因此活性炭建议更换周期为每1个月更换1次。</w:t>
            </w:r>
          </w:p>
          <w:p w14:paraId="50949B0D">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项目活性炭装置与HJ 2026-2013相符性分析</w:t>
            </w:r>
          </w:p>
          <w:p w14:paraId="4BE4B927">
            <w:pPr>
              <w:spacing w:line="146" w:lineRule="exact"/>
              <w:rPr>
                <w:color w:val="auto"/>
                <w:highlight w:val="none"/>
              </w:rPr>
            </w:pPr>
          </w:p>
          <w:tbl>
            <w:tblPr>
              <w:tblStyle w:val="86"/>
              <w:tblW w:w="892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814"/>
              <w:gridCol w:w="2713"/>
              <w:gridCol w:w="1525"/>
            </w:tblGrid>
            <w:tr w14:paraId="3201F9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873" w:type="dxa"/>
                  <w:tcBorders>
                    <w:bottom w:val="single" w:color="000000" w:sz="12" w:space="0"/>
                  </w:tcBorders>
                  <w:vAlign w:val="center"/>
                </w:tcPr>
                <w:p w14:paraId="3B2B66D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序号</w:t>
                  </w:r>
                </w:p>
              </w:tc>
              <w:tc>
                <w:tcPr>
                  <w:tcW w:w="3814" w:type="dxa"/>
                  <w:tcBorders>
                    <w:bottom w:val="single" w:color="000000" w:sz="12" w:space="0"/>
                  </w:tcBorders>
                  <w:vAlign w:val="center"/>
                </w:tcPr>
                <w:p w14:paraId="29BA69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b/>
                      <w:bCs/>
                      <w:color w:val="auto"/>
                      <w:sz w:val="21"/>
                      <w:highlight w:val="none"/>
                    </w:rPr>
                    <w:t>HJ</w:t>
                  </w:r>
                  <w:r>
                    <w:rPr>
                      <w:rFonts w:ascii="Times New Roman" w:hAnsi="Times New Roman" w:eastAsia="宋体" w:cs="Times New Roman"/>
                      <w:b/>
                      <w:bCs/>
                      <w:color w:val="auto"/>
                      <w:spacing w:val="5"/>
                      <w:sz w:val="21"/>
                      <w:highlight w:val="none"/>
                    </w:rPr>
                    <w:t xml:space="preserve"> 2026-2013</w:t>
                  </w:r>
                  <w:r>
                    <w:rPr>
                      <w:rFonts w:ascii="Times New Roman" w:hAnsi="Times New Roman" w:eastAsia="宋体"/>
                      <w:b/>
                      <w:bCs/>
                      <w:color w:val="auto"/>
                      <w:spacing w:val="5"/>
                      <w:sz w:val="21"/>
                      <w:highlight w:val="none"/>
                    </w:rPr>
                    <w:t>要求</w:t>
                  </w:r>
                </w:p>
              </w:tc>
              <w:tc>
                <w:tcPr>
                  <w:tcW w:w="2713" w:type="dxa"/>
                  <w:tcBorders>
                    <w:bottom w:val="single" w:color="000000" w:sz="12" w:space="0"/>
                  </w:tcBorders>
                  <w:vAlign w:val="center"/>
                </w:tcPr>
                <w:p w14:paraId="1AA744B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本项目情况</w:t>
                  </w:r>
                </w:p>
              </w:tc>
              <w:tc>
                <w:tcPr>
                  <w:tcW w:w="1525" w:type="dxa"/>
                  <w:tcBorders>
                    <w:bottom w:val="single" w:color="000000" w:sz="12" w:space="0"/>
                  </w:tcBorders>
                  <w:vAlign w:val="center"/>
                </w:tcPr>
                <w:p w14:paraId="4F2E79D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符合性分析</w:t>
                  </w:r>
                </w:p>
              </w:tc>
            </w:tr>
            <w:tr w14:paraId="095239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873" w:type="dxa"/>
                  <w:tcBorders>
                    <w:top w:val="single" w:color="000000" w:sz="12" w:space="0"/>
                    <w:tl2br w:val="nil"/>
                    <w:tr2bl w:val="nil"/>
                  </w:tcBorders>
                  <w:vAlign w:val="center"/>
                </w:tcPr>
                <w:p w14:paraId="22A930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3814" w:type="dxa"/>
                  <w:tcBorders>
                    <w:top w:val="single" w:color="000000" w:sz="12" w:space="0"/>
                    <w:tl2br w:val="nil"/>
                    <w:tr2bl w:val="nil"/>
                  </w:tcBorders>
                  <w:vAlign w:val="center"/>
                </w:tcPr>
                <w:p w14:paraId="0EDAF31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13"/>
                      <w:highlight w:val="none"/>
                      <w:lang w:val="en-US" w:eastAsia="zh-CN"/>
                    </w:rPr>
                  </w:pPr>
                  <w:r>
                    <w:rPr>
                      <w:rFonts w:ascii="Times New Roman" w:hAnsi="Times New Roman" w:eastAsia="宋体"/>
                      <w:color w:val="auto"/>
                      <w:spacing w:val="9"/>
                      <w:sz w:val="21"/>
                      <w:highlight w:val="none"/>
                    </w:rPr>
                    <w:t>进入吸附装置的颗粒物含量宜低于</w:t>
                  </w:r>
                  <w:r>
                    <w:rPr>
                      <w:rFonts w:ascii="Times New Roman" w:hAnsi="Times New Roman" w:eastAsia="宋体" w:cs="Times New Roman"/>
                      <w:color w:val="auto"/>
                      <w:spacing w:val="1"/>
                      <w:position w:val="3"/>
                      <w:sz w:val="21"/>
                      <w:szCs w:val="20"/>
                      <w:highlight w:val="none"/>
                    </w:rPr>
                    <w:t>1</w:t>
                  </w:r>
                  <w:r>
                    <w:rPr>
                      <w:rFonts w:ascii="Times New Roman" w:hAnsi="Times New Roman" w:eastAsia="宋体" w:cs="Times New Roman"/>
                      <w:color w:val="auto"/>
                      <w:position w:val="3"/>
                      <w:sz w:val="21"/>
                      <w:szCs w:val="20"/>
                      <w:highlight w:val="none"/>
                    </w:rPr>
                    <w:t>mg</w:t>
                  </w:r>
                  <w:r>
                    <w:rPr>
                      <w:rFonts w:ascii="Times New Roman" w:hAnsi="Times New Roman" w:eastAsia="宋体" w:cs="Times New Roman"/>
                      <w:color w:val="auto"/>
                      <w:spacing w:val="1"/>
                      <w:position w:val="3"/>
                      <w:sz w:val="21"/>
                      <w:szCs w:val="20"/>
                      <w:highlight w:val="none"/>
                    </w:rPr>
                    <w:t>/m</w:t>
                  </w:r>
                  <w:r>
                    <w:rPr>
                      <w:rFonts w:hint="eastAsia" w:ascii="Times New Roman" w:hAnsi="Times New Roman" w:eastAsia="宋体" w:cs="Times New Roman"/>
                      <w:color w:val="auto"/>
                      <w:spacing w:val="1"/>
                      <w:position w:val="3"/>
                      <w:sz w:val="21"/>
                      <w:szCs w:val="20"/>
                      <w:highlight w:val="none"/>
                      <w:vertAlign w:val="superscript"/>
                      <w:lang w:val="en-US" w:eastAsia="zh-CN"/>
                    </w:rPr>
                    <w:t>3</w:t>
                  </w:r>
                </w:p>
              </w:tc>
              <w:tc>
                <w:tcPr>
                  <w:tcW w:w="2713" w:type="dxa"/>
                  <w:tcBorders>
                    <w:top w:val="single" w:color="000000" w:sz="12" w:space="0"/>
                    <w:tl2br w:val="nil"/>
                    <w:tr2bl w:val="nil"/>
                  </w:tcBorders>
                  <w:vAlign w:val="center"/>
                </w:tcPr>
                <w:p w14:paraId="68CCBA4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本项目进入活性炭装置的废气颗粒物浓度低于</w:t>
                  </w:r>
                </w:p>
                <w:p w14:paraId="6D937F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13"/>
                      <w:highlight w:val="none"/>
                    </w:rPr>
                  </w:pPr>
                  <w:r>
                    <w:rPr>
                      <w:rFonts w:ascii="Times New Roman" w:hAnsi="Times New Roman" w:eastAsia="宋体" w:cs="Times New Roman"/>
                      <w:color w:val="auto"/>
                      <w:spacing w:val="1"/>
                      <w:position w:val="3"/>
                      <w:sz w:val="21"/>
                      <w:szCs w:val="20"/>
                      <w:highlight w:val="none"/>
                    </w:rPr>
                    <w:t>1</w:t>
                  </w:r>
                  <w:r>
                    <w:rPr>
                      <w:rFonts w:ascii="Times New Roman" w:hAnsi="Times New Roman" w:eastAsia="宋体" w:cs="Times New Roman"/>
                      <w:color w:val="auto"/>
                      <w:position w:val="3"/>
                      <w:sz w:val="21"/>
                      <w:szCs w:val="20"/>
                      <w:highlight w:val="none"/>
                    </w:rPr>
                    <w:t>mg</w:t>
                  </w:r>
                  <w:r>
                    <w:rPr>
                      <w:rFonts w:ascii="Times New Roman" w:hAnsi="Times New Roman" w:eastAsia="宋体" w:cs="Times New Roman"/>
                      <w:color w:val="auto"/>
                      <w:spacing w:val="1"/>
                      <w:position w:val="3"/>
                      <w:sz w:val="21"/>
                      <w:szCs w:val="20"/>
                      <w:highlight w:val="none"/>
                    </w:rPr>
                    <w:t>/m</w:t>
                  </w:r>
                  <w:r>
                    <w:rPr>
                      <w:rFonts w:hint="eastAsia" w:ascii="Times New Roman" w:hAnsi="Times New Roman" w:eastAsia="宋体" w:cs="Times New Roman"/>
                      <w:color w:val="auto"/>
                      <w:spacing w:val="1"/>
                      <w:position w:val="3"/>
                      <w:sz w:val="21"/>
                      <w:szCs w:val="20"/>
                      <w:highlight w:val="none"/>
                      <w:vertAlign w:val="superscript"/>
                      <w:lang w:val="en-US" w:eastAsia="zh-CN"/>
                    </w:rPr>
                    <w:t>3</w:t>
                  </w:r>
                </w:p>
              </w:tc>
              <w:tc>
                <w:tcPr>
                  <w:tcW w:w="1525" w:type="dxa"/>
                  <w:tcBorders>
                    <w:top w:val="single" w:color="000000" w:sz="12" w:space="0"/>
                    <w:tl2br w:val="nil"/>
                    <w:tr2bl w:val="nil"/>
                  </w:tcBorders>
                  <w:vAlign w:val="center"/>
                </w:tcPr>
                <w:p w14:paraId="31CD411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r w14:paraId="27240B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73" w:type="dxa"/>
                  <w:tcBorders>
                    <w:tl2br w:val="nil"/>
                    <w:tr2bl w:val="nil"/>
                  </w:tcBorders>
                  <w:vAlign w:val="center"/>
                </w:tcPr>
                <w:p w14:paraId="316CC3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3814" w:type="dxa"/>
                  <w:tcBorders>
                    <w:tl2br w:val="nil"/>
                    <w:tr2bl w:val="nil"/>
                  </w:tcBorders>
                  <w:vAlign w:val="center"/>
                </w:tcPr>
                <w:p w14:paraId="0BD8B67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进入吸附装置的废气温度宜低于</w:t>
                  </w:r>
                </w:p>
                <w:p w14:paraId="6EE0261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5"/>
                      <w:position w:val="1"/>
                      <w:sz w:val="21"/>
                      <w:highlight w:val="none"/>
                    </w:rPr>
                    <w:t>40</w:t>
                  </w:r>
                  <w:r>
                    <w:rPr>
                      <w:rFonts w:ascii="Times New Roman" w:hAnsi="Times New Roman" w:eastAsia="宋体"/>
                      <w:color w:val="auto"/>
                      <w:spacing w:val="5"/>
                      <w:position w:val="1"/>
                      <w:sz w:val="21"/>
                      <w:highlight w:val="none"/>
                    </w:rPr>
                    <w:t>℃</w:t>
                  </w:r>
                </w:p>
              </w:tc>
              <w:tc>
                <w:tcPr>
                  <w:tcW w:w="2713" w:type="dxa"/>
                  <w:tcBorders>
                    <w:tl2br w:val="nil"/>
                    <w:tr2bl w:val="nil"/>
                  </w:tcBorders>
                  <w:vAlign w:val="center"/>
                </w:tcPr>
                <w:p w14:paraId="35C1511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本项目进入活性炭装置的</w:t>
                  </w:r>
                  <w:r>
                    <w:rPr>
                      <w:rFonts w:ascii="Times New Roman" w:hAnsi="Times New Roman" w:eastAsia="宋体"/>
                      <w:color w:val="auto"/>
                      <w:spacing w:val="13"/>
                      <w:sz w:val="21"/>
                      <w:highlight w:val="none"/>
                    </w:rPr>
                    <w:t>废气温度均低于</w:t>
                  </w:r>
                  <w:r>
                    <w:rPr>
                      <w:rFonts w:ascii="Times New Roman" w:hAnsi="Times New Roman" w:eastAsia="宋体" w:cs="Times New Roman"/>
                      <w:color w:val="auto"/>
                      <w:spacing w:val="13"/>
                      <w:sz w:val="21"/>
                      <w:highlight w:val="none"/>
                    </w:rPr>
                    <w:t>40</w:t>
                  </w:r>
                  <w:r>
                    <w:rPr>
                      <w:rFonts w:ascii="Times New Roman" w:hAnsi="Times New Roman" w:eastAsia="宋体"/>
                      <w:color w:val="auto"/>
                      <w:spacing w:val="13"/>
                      <w:sz w:val="21"/>
                      <w:highlight w:val="none"/>
                    </w:rPr>
                    <w:t>℃</w:t>
                  </w:r>
                </w:p>
              </w:tc>
              <w:tc>
                <w:tcPr>
                  <w:tcW w:w="1525" w:type="dxa"/>
                  <w:tcBorders>
                    <w:tl2br w:val="nil"/>
                    <w:tr2bl w:val="nil"/>
                  </w:tcBorders>
                  <w:vAlign w:val="center"/>
                </w:tcPr>
                <w:p w14:paraId="3040FE0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r w14:paraId="0DCC7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873" w:type="dxa"/>
                  <w:tcBorders>
                    <w:tl2br w:val="nil"/>
                    <w:tr2bl w:val="nil"/>
                  </w:tcBorders>
                  <w:vAlign w:val="center"/>
                </w:tcPr>
                <w:p w14:paraId="41DA88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3</w:t>
                  </w:r>
                </w:p>
              </w:tc>
              <w:tc>
                <w:tcPr>
                  <w:tcW w:w="3814" w:type="dxa"/>
                  <w:tcBorders>
                    <w:tl2br w:val="nil"/>
                    <w:tr2bl w:val="nil"/>
                  </w:tcBorders>
                  <w:vAlign w:val="center"/>
                </w:tcPr>
                <w:p w14:paraId="53B2012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固定床吸附装置吸附层的气体流速</w:t>
                  </w:r>
                  <w:r>
                    <w:rPr>
                      <w:rFonts w:ascii="Times New Roman" w:hAnsi="Times New Roman" w:eastAsia="宋体"/>
                      <w:color w:val="auto"/>
                      <w:spacing w:val="5"/>
                      <w:sz w:val="21"/>
                      <w:highlight w:val="none"/>
                    </w:rPr>
                    <w:t>应根据吸附剂的形态确定。采用颗粒</w:t>
                  </w:r>
                  <w:r>
                    <w:rPr>
                      <w:rFonts w:ascii="Times New Roman" w:hAnsi="Times New Roman" w:eastAsia="宋体"/>
                      <w:color w:val="auto"/>
                      <w:spacing w:val="9"/>
                      <w:sz w:val="21"/>
                      <w:highlight w:val="none"/>
                    </w:rPr>
                    <w:t>状吸附剂时，气体流速宜低于</w:t>
                  </w:r>
                </w:p>
                <w:p w14:paraId="32D415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0.6m/s</w:t>
                  </w:r>
                </w:p>
              </w:tc>
              <w:tc>
                <w:tcPr>
                  <w:tcW w:w="2713" w:type="dxa"/>
                  <w:tcBorders>
                    <w:tl2br w:val="nil"/>
                    <w:tr2bl w:val="nil"/>
                  </w:tcBorders>
                  <w:vAlign w:val="center"/>
                </w:tcPr>
                <w:p w14:paraId="2A5111C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9"/>
                      <w:sz w:val="21"/>
                      <w:highlight w:val="none"/>
                    </w:rPr>
                    <w:t>本项目活性炭装置气体流</w:t>
                  </w:r>
                  <w:r>
                    <w:rPr>
                      <w:rFonts w:ascii="Times New Roman" w:hAnsi="Times New Roman" w:eastAsia="宋体"/>
                      <w:color w:val="auto"/>
                      <w:spacing w:val="4"/>
                      <w:sz w:val="21"/>
                      <w:highlight w:val="none"/>
                    </w:rPr>
                    <w:t>速低于</w:t>
                  </w:r>
                  <w:r>
                    <w:rPr>
                      <w:rFonts w:ascii="Times New Roman" w:hAnsi="Times New Roman" w:eastAsia="宋体" w:cs="Times New Roman"/>
                      <w:color w:val="auto"/>
                      <w:spacing w:val="4"/>
                      <w:sz w:val="21"/>
                      <w:highlight w:val="none"/>
                    </w:rPr>
                    <w:t>0.6m/s</w:t>
                  </w:r>
                </w:p>
              </w:tc>
              <w:tc>
                <w:tcPr>
                  <w:tcW w:w="1525" w:type="dxa"/>
                  <w:tcBorders>
                    <w:tl2br w:val="nil"/>
                    <w:tr2bl w:val="nil"/>
                  </w:tcBorders>
                  <w:vAlign w:val="center"/>
                </w:tcPr>
                <w:p w14:paraId="69B925B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bl>
          <w:p w14:paraId="1208D2F8">
            <w:pPr>
              <w:pStyle w:val="46"/>
              <w:bidi w:val="0"/>
              <w:rPr>
                <w:rFonts w:hint="eastAsia"/>
                <w:color w:val="auto"/>
                <w:highlight w:val="none"/>
                <w:lang w:val="en-US" w:eastAsia="zh-CN"/>
              </w:rPr>
            </w:pPr>
            <w:r>
              <w:rPr>
                <w:rFonts w:hint="eastAsia"/>
                <w:color w:val="auto"/>
                <w:highlight w:val="none"/>
                <w:lang w:val="en-US" w:eastAsia="zh-CN"/>
              </w:rPr>
              <w:t>由上表可见，本项目活性炭装置与《吸附法工业有机废气治理工程技术规范》（HJ 2026-2013）中的要求相符。此外，吸附法VOCs治理技术属于《汽车工业污染防治可行技术指南（HJ 1181-2021）》中列出的可行技术，处理措施可行。</w:t>
            </w:r>
          </w:p>
          <w:p w14:paraId="3421C3AB">
            <w:pPr>
              <w:pStyle w:val="46"/>
              <w:bidi w:val="0"/>
              <w:rPr>
                <w:rFonts w:hint="eastAsia"/>
                <w:color w:val="auto"/>
                <w:highlight w:val="none"/>
                <w:lang w:val="en-US" w:eastAsia="zh-CN"/>
              </w:rPr>
            </w:pPr>
            <w:r>
              <w:rPr>
                <w:rFonts w:hint="eastAsia"/>
                <w:color w:val="auto"/>
                <w:highlight w:val="none"/>
                <w:lang w:val="en-US" w:eastAsia="zh-CN"/>
              </w:rPr>
              <w:t>根据《排污许可证申请与核发技术规范汽车制造业》（HJ971-2018）中表25汽车制造业废气污染治理推荐可行技术清单，本项目焊接工序产生的废气采用“布袋除尘器”处理属于推荐可行技术。</w:t>
            </w:r>
          </w:p>
          <w:p w14:paraId="66FAC986">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无组织废气防治措施</w:t>
            </w:r>
          </w:p>
          <w:p w14:paraId="2E90632F">
            <w:pPr>
              <w:pStyle w:val="46"/>
              <w:bidi w:val="0"/>
              <w:rPr>
                <w:rFonts w:hint="eastAsia"/>
                <w:color w:val="auto"/>
                <w:highlight w:val="none"/>
              </w:rPr>
            </w:pPr>
            <w:r>
              <w:rPr>
                <w:rFonts w:hint="eastAsia"/>
                <w:color w:val="auto"/>
                <w:highlight w:val="none"/>
              </w:rPr>
              <w:t>建设项目无组织排放的废气主要是未捕集的含尘废气、有机废气等。建设单位拟采取如下措施，以减少无组织挥发量与排放浓度：</w:t>
            </w:r>
          </w:p>
          <w:p w14:paraId="2B622B60">
            <w:pPr>
              <w:pStyle w:val="46"/>
              <w:bidi w:val="0"/>
              <w:rPr>
                <w:rFonts w:hint="eastAsia" w:eastAsia="宋体"/>
                <w:color w:val="auto"/>
                <w:highlight w:val="none"/>
                <w:lang w:eastAsia="zh-CN"/>
              </w:rPr>
            </w:pPr>
            <w:r>
              <w:rPr>
                <w:rFonts w:hint="eastAsia"/>
                <w:color w:val="auto"/>
                <w:highlight w:val="none"/>
              </w:rPr>
              <w:t>（1）在装卸过程中应轻装轻卸，在允许的条件下可在室内进行装卸，加强车间吸尘范围及设备吸尘效率，使物料装卸及项目生产运营过程中产生的无组织废气挥发量降到最低</w:t>
            </w:r>
            <w:r>
              <w:rPr>
                <w:rFonts w:hint="eastAsia"/>
                <w:color w:val="auto"/>
                <w:highlight w:val="none"/>
                <w:lang w:eastAsia="zh-CN"/>
              </w:rPr>
              <w:t>；</w:t>
            </w:r>
          </w:p>
          <w:p w14:paraId="0C68241E">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）合理布置车间，加强设备管理，将产生无组织废气的产生源布置在远离厂界的地方，以减少无组织废气对厂界周围环境的影响；</w:t>
            </w:r>
          </w:p>
          <w:p w14:paraId="60C5B9C8">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）加强对操作工的培训和管理，确保废气的捕捉率，以减少人为造成的废气无组织排放；</w:t>
            </w:r>
          </w:p>
          <w:p w14:paraId="25F9D7CC">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）除尘器卸灰口应采取遮挡等抑尘措施，除尘灰不得直接卸落到地面。除尘灰采取袋装、罐装等密闭措施收集、存放和运输；</w:t>
            </w:r>
          </w:p>
          <w:p w14:paraId="4226FD15">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lang w:val="en-US" w:eastAsia="zh-CN"/>
              </w:rPr>
              <w:t>废气产生量大的工序如：电泳、焊接等</w:t>
            </w:r>
            <w:r>
              <w:rPr>
                <w:rFonts w:hint="eastAsia"/>
                <w:color w:val="auto"/>
                <w:highlight w:val="none"/>
                <w:lang w:eastAsia="zh-CN"/>
              </w:rPr>
              <w:t>工序应在封闭空间内操作，废气收集至除尘设施；未在封闭空间内操作，应采用固定式、移动式集气设备，并配备除尘设施。</w:t>
            </w:r>
          </w:p>
          <w:p w14:paraId="4542EA25">
            <w:pPr>
              <w:pStyle w:val="46"/>
              <w:bidi w:val="0"/>
              <w:jc w:val="both"/>
              <w:rPr>
                <w:rFonts w:hint="eastAsia"/>
                <w:color w:val="auto"/>
                <w:highlight w:val="none"/>
                <w:lang w:eastAsia="zh-CN"/>
              </w:rPr>
            </w:pPr>
            <w:r>
              <w:rPr>
                <w:rFonts w:hint="eastAsia"/>
                <w:color w:val="auto"/>
                <w:highlight w:val="none"/>
                <w:lang w:eastAsia="zh-CN"/>
              </w:rPr>
              <w:t>通过以上措施，可减少无组织废气的排放，无组织排放废气能够满足相应的排放标准要求，对周围大气环境的影响较小。</w:t>
            </w:r>
          </w:p>
          <w:p w14:paraId="05C13BD8">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非正常排放</w:t>
            </w:r>
            <w:r>
              <w:rPr>
                <w:rFonts w:hint="default" w:ascii="Times New Roman" w:hAnsi="Times New Roman" w:eastAsia="宋体" w:cs="Times New Roman"/>
                <w:color w:val="auto"/>
                <w:highlight w:val="none"/>
                <w:lang w:val="en-US" w:eastAsia="zh-CN"/>
              </w:rPr>
              <w:t>防治措施</w:t>
            </w:r>
          </w:p>
          <w:p w14:paraId="30EAAA19">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防止废气非正常工况排放，企业必须加强环保设施运行管理，定期检修，确保设备效率正常运行，在设备停止运行或出现故障时，产生废气的工序也必须相应停止运行。为严防废气非正常排放，应采取以下措施确保废气达标排放：</w:t>
            </w:r>
          </w:p>
          <w:p w14:paraId="7C68BBF4">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①安排专人负责设备的日常维护和管理，每隔固定时间检查、汇报情况，及时发现废气处理设备的隐患，确保设备处理效率正常运行；</w:t>
            </w:r>
          </w:p>
          <w:p w14:paraId="60AE7EFE">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②建立健全的环保管理机构，对环保管理人员和技术人员进行岗位培训，委托具有专业资质的环境检测单位对项目排放的污染物进行定期检测；</w:t>
            </w:r>
          </w:p>
          <w:p w14:paraId="45A59D30">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③应定期维护、检修环保设施运行装置，以保持设备的净化能力和净化容量。</w:t>
            </w:r>
          </w:p>
          <w:p w14:paraId="0F171404">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综上，项目在采取上述非正常排放防范措施后，非正常排放发生频率较低，非正常工况可及时得到处理，因此本项目废气非正常排放对周边大气环境影响较小。当非正常排放时，废气将超标排放，因此建设单位须加强管理，并采取必要的防范措施，杜绝此类事件发生。</w:t>
            </w:r>
          </w:p>
          <w:p w14:paraId="70C312CE">
            <w:pPr>
              <w:pStyle w:val="4"/>
              <w:numPr>
                <w:ilvl w:val="2"/>
                <w:numId w:val="14"/>
              </w:numPr>
              <w:tabs>
                <w:tab w:val="left" w:pos="0"/>
              </w:tabs>
              <w:bidi w:val="0"/>
              <w:ind w:left="720" w:leftChars="0" w:hanging="720" w:firstLineChars="0"/>
              <w:rPr>
                <w:rFonts w:hint="default" w:ascii="Times New Roman" w:hAnsi="Times New Roman" w:eastAsia="宋体" w:cs="宋体"/>
                <w:color w:val="auto"/>
                <w:highlight w:val="none"/>
                <w:lang w:val="en-US" w:eastAsia="zh-CN"/>
              </w:rPr>
            </w:pPr>
            <w:r>
              <w:rPr>
                <w:rFonts w:hint="eastAsia"/>
                <w:color w:val="auto"/>
                <w:highlight w:val="none"/>
                <w:lang w:val="en-US" w:eastAsia="zh-CN"/>
              </w:rPr>
              <w:t>废气自行监测计划</w:t>
            </w:r>
          </w:p>
          <w:p w14:paraId="356AF242">
            <w:pPr>
              <w:pStyle w:val="46"/>
              <w:bidi w:val="0"/>
              <w:jc w:val="both"/>
              <w:rPr>
                <w:rFonts w:hint="eastAsia"/>
                <w:color w:val="auto"/>
                <w:highlight w:val="none"/>
                <w:lang w:eastAsia="zh-CN"/>
              </w:rPr>
            </w:pPr>
            <w:r>
              <w:rPr>
                <w:rFonts w:hint="eastAsia"/>
                <w:color w:val="auto"/>
                <w:highlight w:val="none"/>
                <w:lang w:eastAsia="zh-CN"/>
              </w:rPr>
              <w:t>根据《排污单位自行监测技术指南涂装》（HJ1086-2020）中表2、表3中监测要求，项目自行监测计划见下表。</w:t>
            </w:r>
          </w:p>
          <w:p w14:paraId="6BBEE6E4">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 xml:space="preserve"> 项目废气监测要求一览表</w:t>
            </w:r>
          </w:p>
          <w:tbl>
            <w:tblPr>
              <w:tblStyle w:val="86"/>
              <w:tblW w:w="8924"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52"/>
              <w:gridCol w:w="1356"/>
              <w:gridCol w:w="1366"/>
              <w:gridCol w:w="1581"/>
              <w:gridCol w:w="1340"/>
              <w:gridCol w:w="1929"/>
            </w:tblGrid>
            <w:tr w14:paraId="1EDE4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2" w:type="dxa"/>
                  <w:vMerge w:val="restart"/>
                  <w:tcBorders>
                    <w:tl2br w:val="nil"/>
                    <w:tr2bl w:val="nil"/>
                  </w:tcBorders>
                  <w:vAlign w:val="center"/>
                </w:tcPr>
                <w:p w14:paraId="23E14709">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排气筒编号</w:t>
                  </w:r>
                </w:p>
              </w:tc>
              <w:tc>
                <w:tcPr>
                  <w:tcW w:w="1356" w:type="dxa"/>
                  <w:vMerge w:val="restart"/>
                  <w:tcBorders>
                    <w:tl2br w:val="nil"/>
                    <w:tr2bl w:val="nil"/>
                  </w:tcBorders>
                  <w:vAlign w:val="center"/>
                </w:tcPr>
                <w:p w14:paraId="4FAD7BA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生产工序</w:t>
                  </w:r>
                </w:p>
              </w:tc>
              <w:tc>
                <w:tcPr>
                  <w:tcW w:w="1366" w:type="dxa"/>
                  <w:vMerge w:val="restart"/>
                  <w:tcBorders>
                    <w:tl2br w:val="nil"/>
                    <w:tr2bl w:val="nil"/>
                  </w:tcBorders>
                  <w:vAlign w:val="center"/>
                </w:tcPr>
                <w:p w14:paraId="6E5CFAB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监测点位</w:t>
                  </w:r>
                </w:p>
              </w:tc>
              <w:tc>
                <w:tcPr>
                  <w:tcW w:w="1581" w:type="dxa"/>
                  <w:vMerge w:val="restart"/>
                  <w:tcBorders>
                    <w:tl2br w:val="nil"/>
                    <w:tr2bl w:val="nil"/>
                  </w:tcBorders>
                  <w:vAlign w:val="center"/>
                </w:tcPr>
                <w:p w14:paraId="037AD07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监测指标</w:t>
                  </w:r>
                </w:p>
              </w:tc>
              <w:tc>
                <w:tcPr>
                  <w:tcW w:w="1340" w:type="dxa"/>
                  <w:tcBorders>
                    <w:tl2br w:val="nil"/>
                    <w:tr2bl w:val="nil"/>
                  </w:tcBorders>
                  <w:vAlign w:val="center"/>
                </w:tcPr>
                <w:p w14:paraId="43FEF72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监测频次</w:t>
                  </w:r>
                </w:p>
              </w:tc>
              <w:tc>
                <w:tcPr>
                  <w:tcW w:w="1929" w:type="dxa"/>
                  <w:vMerge w:val="restart"/>
                  <w:tcBorders>
                    <w:tl2br w:val="nil"/>
                    <w:tr2bl w:val="nil"/>
                  </w:tcBorders>
                  <w:vAlign w:val="center"/>
                </w:tcPr>
                <w:p w14:paraId="48CD86E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执行标准</w:t>
                  </w:r>
                </w:p>
              </w:tc>
            </w:tr>
            <w:tr w14:paraId="75809C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352" w:type="dxa"/>
                  <w:vMerge w:val="continue"/>
                  <w:tcBorders>
                    <w:tl2br w:val="nil"/>
                    <w:tr2bl w:val="nil"/>
                  </w:tcBorders>
                  <w:vAlign w:val="center"/>
                </w:tcPr>
                <w:p w14:paraId="49CE44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356" w:type="dxa"/>
                  <w:vMerge w:val="continue"/>
                  <w:tcBorders>
                    <w:tl2br w:val="nil"/>
                    <w:tr2bl w:val="nil"/>
                  </w:tcBorders>
                  <w:vAlign w:val="center"/>
                </w:tcPr>
                <w:p w14:paraId="74C807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366" w:type="dxa"/>
                  <w:vMerge w:val="continue"/>
                  <w:tcBorders>
                    <w:tl2br w:val="nil"/>
                    <w:tr2bl w:val="nil"/>
                  </w:tcBorders>
                  <w:vAlign w:val="center"/>
                </w:tcPr>
                <w:p w14:paraId="7D1FAB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581" w:type="dxa"/>
                  <w:vMerge w:val="continue"/>
                  <w:tcBorders>
                    <w:tl2br w:val="nil"/>
                    <w:tr2bl w:val="nil"/>
                  </w:tcBorders>
                  <w:vAlign w:val="center"/>
                </w:tcPr>
                <w:p w14:paraId="2FE00C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340" w:type="dxa"/>
                  <w:tcBorders>
                    <w:tl2br w:val="nil"/>
                    <w:tr2bl w:val="nil"/>
                  </w:tcBorders>
                  <w:vAlign w:val="center"/>
                </w:tcPr>
                <w:p w14:paraId="0793572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一般排放口</w:t>
                  </w:r>
                </w:p>
              </w:tc>
              <w:tc>
                <w:tcPr>
                  <w:tcW w:w="1929" w:type="dxa"/>
                  <w:vMerge w:val="continue"/>
                  <w:tcBorders>
                    <w:tl2br w:val="nil"/>
                    <w:tr2bl w:val="nil"/>
                  </w:tcBorders>
                  <w:vAlign w:val="center"/>
                </w:tcPr>
                <w:p w14:paraId="4B61F1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r>
            <w:tr w14:paraId="70E3CF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352" w:type="dxa"/>
                  <w:vMerge w:val="restart"/>
                  <w:tcBorders>
                    <w:tl2br w:val="nil"/>
                    <w:tr2bl w:val="nil"/>
                  </w:tcBorders>
                  <w:vAlign w:val="center"/>
                </w:tcPr>
                <w:p w14:paraId="747971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tc>
              <w:tc>
                <w:tcPr>
                  <w:tcW w:w="1356" w:type="dxa"/>
                  <w:tcBorders>
                    <w:tl2br w:val="nil"/>
                    <w:tr2bl w:val="nil"/>
                  </w:tcBorders>
                  <w:vAlign w:val="center"/>
                </w:tcPr>
                <w:p w14:paraId="30841BD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电泳、固化</w:t>
                  </w:r>
                </w:p>
              </w:tc>
              <w:tc>
                <w:tcPr>
                  <w:tcW w:w="1366" w:type="dxa"/>
                  <w:tcBorders>
                    <w:tl2br w:val="nil"/>
                    <w:tr2bl w:val="nil"/>
                  </w:tcBorders>
                  <w:vAlign w:val="center"/>
                </w:tcPr>
                <w:p w14:paraId="12D3A8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p w14:paraId="75E6727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199876C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非甲烷总烃</w:t>
                  </w:r>
                </w:p>
              </w:tc>
              <w:tc>
                <w:tcPr>
                  <w:tcW w:w="1340" w:type="dxa"/>
                  <w:vMerge w:val="restart"/>
                  <w:tcBorders>
                    <w:tl2br w:val="nil"/>
                    <w:tr2bl w:val="nil"/>
                  </w:tcBorders>
                  <w:vAlign w:val="center"/>
                </w:tcPr>
                <w:p w14:paraId="3C08E3A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929" w:type="dxa"/>
                  <w:tcBorders>
                    <w:tl2br w:val="nil"/>
                    <w:tr2bl w:val="nil"/>
                  </w:tcBorders>
                  <w:vAlign w:val="center"/>
                </w:tcPr>
                <w:p w14:paraId="20AB5D9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rPr>
                    <w:t>《工业企业挥发性有机物排放标准》（DB35 1782-2018）表1</w:t>
                  </w:r>
                </w:p>
              </w:tc>
            </w:tr>
            <w:tr w14:paraId="32FCD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1352" w:type="dxa"/>
                  <w:vMerge w:val="continue"/>
                  <w:tcBorders>
                    <w:tl2br w:val="nil"/>
                    <w:tr2bl w:val="nil"/>
                  </w:tcBorders>
                  <w:vAlign w:val="center"/>
                </w:tcPr>
                <w:p w14:paraId="66ECC9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356" w:type="dxa"/>
                  <w:tcBorders>
                    <w:tl2br w:val="nil"/>
                    <w:tr2bl w:val="nil"/>
                  </w:tcBorders>
                  <w:vAlign w:val="center"/>
                </w:tcPr>
                <w:p w14:paraId="5AB10E9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天然气燃烧</w:t>
                  </w:r>
                </w:p>
              </w:tc>
              <w:tc>
                <w:tcPr>
                  <w:tcW w:w="1366" w:type="dxa"/>
                  <w:tcBorders>
                    <w:tl2br w:val="nil"/>
                    <w:tr2bl w:val="nil"/>
                  </w:tcBorders>
                  <w:vAlign w:val="center"/>
                </w:tcPr>
                <w:p w14:paraId="134EEA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p w14:paraId="7085A1D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1BE1A00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position w:val="1"/>
                      <w:sz w:val="21"/>
                      <w:highlight w:val="none"/>
                    </w:rPr>
                    <w:t>颗粒物、</w:t>
                  </w:r>
                  <w:r>
                    <w:rPr>
                      <w:rFonts w:ascii="Times New Roman" w:hAnsi="Times New Roman" w:eastAsia="宋体" w:cs="Times New Roman"/>
                      <w:color w:val="auto"/>
                      <w:spacing w:val="-7"/>
                      <w:position w:val="1"/>
                      <w:sz w:val="21"/>
                      <w:highlight w:val="none"/>
                    </w:rPr>
                    <w:t>SO</w:t>
                  </w:r>
                  <w:r>
                    <w:rPr>
                      <w:rFonts w:ascii="Times New Roman" w:hAnsi="Times New Roman" w:eastAsia="宋体" w:cs="Times New Roman"/>
                      <w:color w:val="auto"/>
                      <w:spacing w:val="-7"/>
                      <w:sz w:val="21"/>
                      <w:szCs w:val="13"/>
                      <w:highlight w:val="none"/>
                      <w:vertAlign w:val="subscript"/>
                    </w:rPr>
                    <w:t>2</w:t>
                  </w:r>
                  <w:r>
                    <w:rPr>
                      <w:rFonts w:ascii="Times New Roman" w:hAnsi="Times New Roman" w:eastAsia="宋体"/>
                      <w:color w:val="auto"/>
                      <w:spacing w:val="-7"/>
                      <w:position w:val="1"/>
                      <w:sz w:val="21"/>
                      <w:highlight w:val="none"/>
                    </w:rPr>
                    <w:t>、</w:t>
                  </w:r>
                </w:p>
                <w:p w14:paraId="51044F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6"/>
                      <w:sz w:val="21"/>
                      <w:szCs w:val="20"/>
                      <w:highlight w:val="none"/>
                    </w:rPr>
                    <w:t>NOx</w:t>
                  </w:r>
                </w:p>
              </w:tc>
              <w:tc>
                <w:tcPr>
                  <w:tcW w:w="1340" w:type="dxa"/>
                  <w:vMerge w:val="continue"/>
                  <w:tcBorders>
                    <w:tl2br w:val="nil"/>
                    <w:tr2bl w:val="nil"/>
                  </w:tcBorders>
                  <w:vAlign w:val="center"/>
                </w:tcPr>
                <w:p w14:paraId="5F66D9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929" w:type="dxa"/>
                  <w:tcBorders>
                    <w:tl2br w:val="nil"/>
                    <w:tr2bl w:val="nil"/>
                  </w:tcBorders>
                  <w:vAlign w:val="center"/>
                </w:tcPr>
                <w:p w14:paraId="70FABCF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《工业炉窑大气</w:t>
                  </w:r>
                </w:p>
                <w:p w14:paraId="5B66D76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污染物排放标</w:t>
                  </w:r>
                </w:p>
                <w:p w14:paraId="6E9E79B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准》</w:t>
                  </w:r>
                  <w:r>
                    <w:rPr>
                      <w:rFonts w:ascii="Times New Roman" w:hAnsi="Times New Roman" w:eastAsia="宋体"/>
                      <w:color w:val="auto"/>
                      <w:spacing w:val="-3"/>
                      <w:position w:val="1"/>
                      <w:sz w:val="21"/>
                      <w:highlight w:val="none"/>
                    </w:rPr>
                    <w:t>（</w:t>
                  </w:r>
                  <w:r>
                    <w:rPr>
                      <w:rFonts w:ascii="Times New Roman" w:hAnsi="Times New Roman" w:eastAsia="宋体" w:cs="Times New Roman"/>
                      <w:color w:val="auto"/>
                      <w:spacing w:val="-3"/>
                      <w:position w:val="1"/>
                      <w:sz w:val="21"/>
                      <w:highlight w:val="none"/>
                    </w:rPr>
                    <w:t>GB9078-1996</w:t>
                  </w:r>
                  <w:r>
                    <w:rPr>
                      <w:rFonts w:ascii="Times New Roman" w:hAnsi="Times New Roman" w:eastAsia="宋体"/>
                      <w:color w:val="auto"/>
                      <w:spacing w:val="-3"/>
                      <w:position w:val="1"/>
                      <w:sz w:val="21"/>
                      <w:highlight w:val="none"/>
                    </w:rPr>
                    <w:t>）</w:t>
                  </w:r>
                </w:p>
                <w:p w14:paraId="25859DB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3"/>
                      <w:position w:val="1"/>
                      <w:sz w:val="21"/>
                      <w:highlight w:val="none"/>
                    </w:rPr>
                    <w:t>表</w:t>
                  </w:r>
                  <w:r>
                    <w:rPr>
                      <w:rFonts w:ascii="Times New Roman" w:hAnsi="Times New Roman" w:eastAsia="宋体" w:cs="Times New Roman"/>
                      <w:color w:val="auto"/>
                      <w:spacing w:val="3"/>
                      <w:position w:val="1"/>
                      <w:sz w:val="21"/>
                      <w:highlight w:val="none"/>
                    </w:rPr>
                    <w:t>2</w:t>
                  </w:r>
                  <w:r>
                    <w:rPr>
                      <w:rFonts w:ascii="Times New Roman" w:hAnsi="Times New Roman" w:eastAsia="宋体"/>
                      <w:color w:val="auto"/>
                      <w:spacing w:val="3"/>
                      <w:position w:val="1"/>
                      <w:sz w:val="21"/>
                      <w:highlight w:val="none"/>
                    </w:rPr>
                    <w:t>中二级标准</w:t>
                  </w:r>
                </w:p>
                <w:p w14:paraId="543F340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及《工业炉窑大</w:t>
                  </w:r>
                </w:p>
                <w:p w14:paraId="123E36F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气污染综合治理</w:t>
                  </w:r>
                </w:p>
                <w:p w14:paraId="561CA3B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方案》中重点区</w:t>
                  </w:r>
                </w:p>
                <w:p w14:paraId="0753D50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域排放要求</w:t>
                  </w:r>
                </w:p>
              </w:tc>
            </w:tr>
            <w:tr w14:paraId="186BDD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1352" w:type="dxa"/>
                  <w:tcBorders>
                    <w:tl2br w:val="nil"/>
                    <w:tr2bl w:val="nil"/>
                  </w:tcBorders>
                  <w:vAlign w:val="center"/>
                </w:tcPr>
                <w:p w14:paraId="5C49F1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002</w:t>
                  </w:r>
                </w:p>
              </w:tc>
              <w:tc>
                <w:tcPr>
                  <w:tcW w:w="1356" w:type="dxa"/>
                  <w:tcBorders>
                    <w:tl2br w:val="nil"/>
                    <w:tr2bl w:val="nil"/>
                  </w:tcBorders>
                  <w:vAlign w:val="center"/>
                </w:tcPr>
                <w:p w14:paraId="7C6FBCE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焊接</w:t>
                  </w:r>
                </w:p>
              </w:tc>
              <w:tc>
                <w:tcPr>
                  <w:tcW w:w="1366" w:type="dxa"/>
                  <w:tcBorders>
                    <w:tl2br w:val="nil"/>
                    <w:tr2bl w:val="nil"/>
                  </w:tcBorders>
                  <w:vAlign w:val="center"/>
                </w:tcPr>
                <w:p w14:paraId="79110C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002</w:t>
                  </w:r>
                </w:p>
                <w:p w14:paraId="04AB2FF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5DA5F6F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颗粒物</w:t>
                  </w:r>
                </w:p>
              </w:tc>
              <w:tc>
                <w:tcPr>
                  <w:tcW w:w="1340" w:type="dxa"/>
                  <w:tcBorders>
                    <w:tl2br w:val="nil"/>
                    <w:tr2bl w:val="nil"/>
                  </w:tcBorders>
                  <w:vAlign w:val="center"/>
                </w:tcPr>
                <w:p w14:paraId="2872359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929" w:type="dxa"/>
                  <w:tcBorders>
                    <w:tl2br w:val="nil"/>
                    <w:tr2bl w:val="nil"/>
                  </w:tcBorders>
                  <w:vAlign w:val="center"/>
                </w:tcPr>
                <w:p w14:paraId="743253B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《大气污染物综</w:t>
                  </w:r>
                </w:p>
                <w:p w14:paraId="3EC11D5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合排放标准》</w:t>
                  </w:r>
                </w:p>
                <w:p w14:paraId="67C245E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5"/>
                      <w:position w:val="1"/>
                      <w:sz w:val="21"/>
                      <w:highlight w:val="none"/>
                    </w:rPr>
                    <w:t>（</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5"/>
                      <w:position w:val="1"/>
                      <w:sz w:val="21"/>
                      <w:highlight w:val="none"/>
                    </w:rPr>
                    <w:t>16297-1996</w:t>
                  </w:r>
                  <w:r>
                    <w:rPr>
                      <w:rFonts w:hint="eastAsia" w:ascii="Times New Roman" w:hAnsi="Times New Roman" w:cs="Times New Roman"/>
                      <w:color w:val="auto"/>
                      <w:spacing w:val="5"/>
                      <w:position w:val="1"/>
                      <w:sz w:val="21"/>
                      <w:highlight w:val="none"/>
                      <w:lang w:eastAsia="zh-CN"/>
                    </w:rPr>
                    <w:t>）</w:t>
                  </w:r>
                  <w:r>
                    <w:rPr>
                      <w:rFonts w:ascii="Times New Roman" w:hAnsi="Times New Roman" w:eastAsia="宋体"/>
                      <w:color w:val="auto"/>
                      <w:spacing w:val="-6"/>
                      <w:position w:val="1"/>
                      <w:sz w:val="21"/>
                      <w:highlight w:val="none"/>
                    </w:rPr>
                    <w:t>表</w:t>
                  </w:r>
                  <w:r>
                    <w:rPr>
                      <w:rFonts w:ascii="Times New Roman" w:hAnsi="Times New Roman" w:eastAsia="宋体" w:cs="Times New Roman"/>
                      <w:color w:val="auto"/>
                      <w:spacing w:val="-6"/>
                      <w:position w:val="1"/>
                      <w:sz w:val="21"/>
                      <w:highlight w:val="none"/>
                    </w:rPr>
                    <w:t>2</w:t>
                  </w:r>
                  <w:r>
                    <w:rPr>
                      <w:rFonts w:ascii="Times New Roman" w:hAnsi="Times New Roman" w:eastAsia="宋体"/>
                      <w:color w:val="auto"/>
                      <w:spacing w:val="-6"/>
                      <w:position w:val="1"/>
                      <w:sz w:val="21"/>
                      <w:highlight w:val="none"/>
                    </w:rPr>
                    <w:t>标准</w:t>
                  </w:r>
                </w:p>
              </w:tc>
            </w:tr>
            <w:tr w14:paraId="75E87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1352" w:type="dxa"/>
                  <w:tcBorders>
                    <w:tl2br w:val="nil"/>
                    <w:tr2bl w:val="nil"/>
                  </w:tcBorders>
                  <w:vAlign w:val="center"/>
                </w:tcPr>
                <w:p w14:paraId="6C162D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2"/>
                      <w:sz w:val="21"/>
                      <w:szCs w:val="20"/>
                      <w:highlight w:val="none"/>
                      <w:lang w:eastAsia="zh-CN"/>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w:t>
                  </w:r>
                  <w:r>
                    <w:rPr>
                      <w:rFonts w:hint="eastAsia" w:cs="Times New Roman"/>
                      <w:color w:val="auto"/>
                      <w:spacing w:val="8"/>
                      <w:position w:val="2"/>
                      <w:sz w:val="21"/>
                      <w:szCs w:val="20"/>
                      <w:highlight w:val="none"/>
                      <w:lang w:val="en-US" w:eastAsia="zh-CN"/>
                    </w:rPr>
                    <w:t>3</w:t>
                  </w:r>
                </w:p>
              </w:tc>
              <w:tc>
                <w:tcPr>
                  <w:tcW w:w="1356" w:type="dxa"/>
                  <w:tcBorders>
                    <w:tl2br w:val="nil"/>
                    <w:tr2bl w:val="nil"/>
                  </w:tcBorders>
                  <w:vAlign w:val="center"/>
                </w:tcPr>
                <w:p w14:paraId="300D30F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auto"/>
                      <w:spacing w:val="4"/>
                      <w:sz w:val="21"/>
                      <w:highlight w:val="none"/>
                      <w:lang w:val="en-US" w:eastAsia="zh-CN"/>
                    </w:rPr>
                  </w:pPr>
                  <w:r>
                    <w:rPr>
                      <w:rFonts w:hint="eastAsia" w:ascii="Times New Roman" w:hAnsi="Times New Roman"/>
                      <w:color w:val="auto"/>
                      <w:spacing w:val="4"/>
                      <w:sz w:val="21"/>
                      <w:highlight w:val="none"/>
                      <w:lang w:val="en-US" w:eastAsia="zh-CN"/>
                    </w:rPr>
                    <w:t>喷粉</w:t>
                  </w:r>
                </w:p>
              </w:tc>
              <w:tc>
                <w:tcPr>
                  <w:tcW w:w="1366" w:type="dxa"/>
                  <w:tcBorders>
                    <w:tl2br w:val="nil"/>
                    <w:tr2bl w:val="nil"/>
                  </w:tcBorders>
                  <w:vAlign w:val="center"/>
                </w:tcPr>
                <w:p w14:paraId="102823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0"/>
                      <w:highlight w:val="none"/>
                      <w:lang w:eastAsia="zh-CN"/>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w:t>
                  </w:r>
                  <w:r>
                    <w:rPr>
                      <w:rFonts w:hint="eastAsia" w:cs="Times New Roman"/>
                      <w:color w:val="auto"/>
                      <w:spacing w:val="8"/>
                      <w:position w:val="2"/>
                      <w:sz w:val="21"/>
                      <w:szCs w:val="20"/>
                      <w:highlight w:val="none"/>
                      <w:lang w:val="en-US" w:eastAsia="zh-CN"/>
                    </w:rPr>
                    <w:t>3</w:t>
                  </w:r>
                </w:p>
                <w:p w14:paraId="2A18506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4BE492D9">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sz w:val="21"/>
                      <w:highlight w:val="none"/>
                    </w:rPr>
                  </w:pPr>
                  <w:r>
                    <w:rPr>
                      <w:rFonts w:ascii="Times New Roman" w:hAnsi="Times New Roman" w:eastAsia="宋体"/>
                      <w:color w:val="auto"/>
                      <w:spacing w:val="7"/>
                      <w:sz w:val="21"/>
                      <w:highlight w:val="none"/>
                    </w:rPr>
                    <w:t>颗粒物</w:t>
                  </w:r>
                </w:p>
              </w:tc>
              <w:tc>
                <w:tcPr>
                  <w:tcW w:w="1340" w:type="dxa"/>
                  <w:tcBorders>
                    <w:tl2br w:val="nil"/>
                    <w:tr2bl w:val="nil"/>
                  </w:tcBorders>
                  <w:vAlign w:val="center"/>
                </w:tcPr>
                <w:p w14:paraId="076632E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pacing w:val="-4"/>
                      <w:position w:val="1"/>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929" w:type="dxa"/>
                  <w:tcBorders>
                    <w:tl2br w:val="nil"/>
                    <w:tr2bl w:val="nil"/>
                  </w:tcBorders>
                  <w:vAlign w:val="center"/>
                </w:tcPr>
                <w:p w14:paraId="4638AD4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《大气污染物综</w:t>
                  </w:r>
                </w:p>
                <w:p w14:paraId="16EC796B">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合排放标准》</w:t>
                  </w:r>
                </w:p>
                <w:p w14:paraId="25A6FAA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5"/>
                      <w:position w:val="1"/>
                      <w:sz w:val="21"/>
                      <w:highlight w:val="none"/>
                    </w:rPr>
                  </w:pPr>
                  <w:r>
                    <w:rPr>
                      <w:rFonts w:ascii="Times New Roman" w:hAnsi="Times New Roman" w:eastAsia="宋体"/>
                      <w:color w:val="auto"/>
                      <w:spacing w:val="5"/>
                      <w:position w:val="1"/>
                      <w:sz w:val="21"/>
                      <w:highlight w:val="none"/>
                    </w:rPr>
                    <w:t>（</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5"/>
                      <w:position w:val="1"/>
                      <w:sz w:val="21"/>
                      <w:highlight w:val="none"/>
                    </w:rPr>
                    <w:t>16297-1996</w:t>
                  </w:r>
                  <w:r>
                    <w:rPr>
                      <w:rFonts w:hint="eastAsia" w:ascii="Times New Roman" w:hAnsi="Times New Roman" w:cs="Times New Roman"/>
                      <w:color w:val="auto"/>
                      <w:spacing w:val="5"/>
                      <w:position w:val="1"/>
                      <w:sz w:val="21"/>
                      <w:highlight w:val="none"/>
                      <w:lang w:eastAsia="zh-CN"/>
                    </w:rPr>
                    <w:t>）</w:t>
                  </w:r>
                  <w:r>
                    <w:rPr>
                      <w:rFonts w:ascii="Times New Roman" w:hAnsi="Times New Roman" w:eastAsia="宋体"/>
                      <w:color w:val="auto"/>
                      <w:spacing w:val="-6"/>
                      <w:position w:val="1"/>
                      <w:sz w:val="21"/>
                      <w:highlight w:val="none"/>
                    </w:rPr>
                    <w:t>表</w:t>
                  </w:r>
                  <w:r>
                    <w:rPr>
                      <w:rFonts w:ascii="Times New Roman" w:hAnsi="Times New Roman" w:eastAsia="宋体" w:cs="Times New Roman"/>
                      <w:color w:val="auto"/>
                      <w:spacing w:val="-6"/>
                      <w:position w:val="1"/>
                      <w:sz w:val="21"/>
                      <w:highlight w:val="none"/>
                    </w:rPr>
                    <w:t>2</w:t>
                  </w:r>
                  <w:r>
                    <w:rPr>
                      <w:rFonts w:ascii="Times New Roman" w:hAnsi="Times New Roman" w:eastAsia="宋体"/>
                      <w:color w:val="auto"/>
                      <w:spacing w:val="-6"/>
                      <w:position w:val="1"/>
                      <w:sz w:val="21"/>
                      <w:highlight w:val="none"/>
                    </w:rPr>
                    <w:t>标准</w:t>
                  </w:r>
                </w:p>
              </w:tc>
            </w:tr>
            <w:tr w14:paraId="4D0C8D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1352" w:type="dxa"/>
                  <w:vMerge w:val="restart"/>
                  <w:tcBorders>
                    <w:tl2br w:val="nil"/>
                    <w:tr2bl w:val="nil"/>
                  </w:tcBorders>
                  <w:vAlign w:val="center"/>
                </w:tcPr>
                <w:p w14:paraId="151FAC6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2"/>
                      <w:sz w:val="21"/>
                      <w:szCs w:val="20"/>
                      <w:highlight w:val="none"/>
                      <w:lang w:eastAsia="zh-CN"/>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w:t>
                  </w:r>
                  <w:r>
                    <w:rPr>
                      <w:rFonts w:hint="eastAsia" w:cs="Times New Roman"/>
                      <w:color w:val="auto"/>
                      <w:spacing w:val="8"/>
                      <w:position w:val="2"/>
                      <w:sz w:val="21"/>
                      <w:szCs w:val="20"/>
                      <w:highlight w:val="none"/>
                      <w:lang w:val="en-US" w:eastAsia="zh-CN"/>
                    </w:rPr>
                    <w:t>4</w:t>
                  </w:r>
                </w:p>
              </w:tc>
              <w:tc>
                <w:tcPr>
                  <w:tcW w:w="1356" w:type="dxa"/>
                  <w:tcBorders>
                    <w:tl2br w:val="nil"/>
                    <w:tr2bl w:val="nil"/>
                  </w:tcBorders>
                  <w:vAlign w:val="center"/>
                </w:tcPr>
                <w:p w14:paraId="6200056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4"/>
                      <w:sz w:val="21"/>
                      <w:highlight w:val="none"/>
                      <w:lang w:val="en-US" w:eastAsia="zh-CN"/>
                    </w:rPr>
                  </w:pPr>
                  <w:r>
                    <w:rPr>
                      <w:rFonts w:hint="eastAsia" w:ascii="Times New Roman" w:hAnsi="Times New Roman"/>
                      <w:color w:val="auto"/>
                      <w:spacing w:val="4"/>
                      <w:sz w:val="21"/>
                      <w:highlight w:val="none"/>
                      <w:lang w:val="en-US" w:eastAsia="zh-CN"/>
                    </w:rPr>
                    <w:t>喷粉固化、调漆、喷漆、喷漆固化废气</w:t>
                  </w:r>
                </w:p>
              </w:tc>
              <w:tc>
                <w:tcPr>
                  <w:tcW w:w="1366" w:type="dxa"/>
                  <w:tcBorders>
                    <w:tl2br w:val="nil"/>
                    <w:tr2bl w:val="nil"/>
                  </w:tcBorders>
                  <w:vAlign w:val="center"/>
                </w:tcPr>
                <w:p w14:paraId="19FCE3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0"/>
                      <w:highlight w:val="none"/>
                      <w:lang w:eastAsia="zh-CN"/>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w:t>
                  </w:r>
                  <w:r>
                    <w:rPr>
                      <w:rFonts w:hint="eastAsia" w:cs="Times New Roman"/>
                      <w:color w:val="auto"/>
                      <w:spacing w:val="8"/>
                      <w:position w:val="2"/>
                      <w:sz w:val="21"/>
                      <w:szCs w:val="20"/>
                      <w:highlight w:val="none"/>
                      <w:lang w:val="en-US" w:eastAsia="zh-CN"/>
                    </w:rPr>
                    <w:t>4</w:t>
                  </w:r>
                </w:p>
                <w:p w14:paraId="5BE6587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4C8C675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sz w:val="21"/>
                      <w:highlight w:val="none"/>
                    </w:rPr>
                  </w:pPr>
                  <w:r>
                    <w:rPr>
                      <w:rFonts w:ascii="Times New Roman" w:hAnsi="Times New Roman" w:eastAsia="宋体"/>
                      <w:color w:val="auto"/>
                      <w:spacing w:val="-7"/>
                      <w:position w:val="1"/>
                      <w:sz w:val="21"/>
                      <w:highlight w:val="none"/>
                    </w:rPr>
                    <w:t>颗粒物、</w:t>
                  </w:r>
                  <w:r>
                    <w:rPr>
                      <w:rFonts w:ascii="Times New Roman" w:hAnsi="Times New Roman" w:eastAsia="宋体"/>
                      <w:color w:val="auto"/>
                      <w:spacing w:val="7"/>
                      <w:sz w:val="21"/>
                      <w:highlight w:val="none"/>
                    </w:rPr>
                    <w:t>非甲烷总烃</w:t>
                  </w:r>
                </w:p>
              </w:tc>
              <w:tc>
                <w:tcPr>
                  <w:tcW w:w="1340" w:type="dxa"/>
                  <w:tcBorders>
                    <w:tl2br w:val="nil"/>
                    <w:tr2bl w:val="nil"/>
                  </w:tcBorders>
                  <w:vAlign w:val="center"/>
                </w:tcPr>
                <w:p w14:paraId="340D91C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pacing w:val="-4"/>
                      <w:position w:val="1"/>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929" w:type="dxa"/>
                  <w:tcBorders>
                    <w:tl2br w:val="nil"/>
                    <w:tr2bl w:val="nil"/>
                  </w:tcBorders>
                  <w:vAlign w:val="center"/>
                </w:tcPr>
                <w:p w14:paraId="1800713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《大气污染物综</w:t>
                  </w:r>
                </w:p>
                <w:p w14:paraId="681D4B5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合排放标准》</w:t>
                  </w:r>
                </w:p>
                <w:p w14:paraId="6D24191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5"/>
                      <w:position w:val="1"/>
                      <w:sz w:val="21"/>
                      <w:highlight w:val="none"/>
                    </w:rPr>
                  </w:pPr>
                  <w:r>
                    <w:rPr>
                      <w:rFonts w:ascii="Times New Roman" w:hAnsi="Times New Roman" w:eastAsia="宋体"/>
                      <w:color w:val="auto"/>
                      <w:spacing w:val="5"/>
                      <w:position w:val="1"/>
                      <w:sz w:val="21"/>
                      <w:highlight w:val="none"/>
                    </w:rPr>
                    <w:t>（</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5"/>
                      <w:position w:val="1"/>
                      <w:sz w:val="21"/>
                      <w:highlight w:val="none"/>
                    </w:rPr>
                    <w:t>16297-1996</w:t>
                  </w:r>
                  <w:r>
                    <w:rPr>
                      <w:rFonts w:hint="eastAsia" w:ascii="Times New Roman" w:hAnsi="Times New Roman" w:cs="Times New Roman"/>
                      <w:color w:val="auto"/>
                      <w:spacing w:val="5"/>
                      <w:position w:val="1"/>
                      <w:sz w:val="21"/>
                      <w:highlight w:val="none"/>
                      <w:lang w:eastAsia="zh-CN"/>
                    </w:rPr>
                    <w:t>）</w:t>
                  </w:r>
                  <w:r>
                    <w:rPr>
                      <w:rFonts w:ascii="Times New Roman" w:hAnsi="Times New Roman" w:eastAsia="宋体"/>
                      <w:color w:val="auto"/>
                      <w:spacing w:val="-6"/>
                      <w:position w:val="1"/>
                      <w:sz w:val="21"/>
                      <w:highlight w:val="none"/>
                    </w:rPr>
                    <w:t>表</w:t>
                  </w:r>
                  <w:r>
                    <w:rPr>
                      <w:rFonts w:ascii="Times New Roman" w:hAnsi="Times New Roman" w:eastAsia="宋体" w:cs="Times New Roman"/>
                      <w:color w:val="auto"/>
                      <w:spacing w:val="-6"/>
                      <w:position w:val="1"/>
                      <w:sz w:val="21"/>
                      <w:highlight w:val="none"/>
                    </w:rPr>
                    <w:t>2</w:t>
                  </w:r>
                  <w:r>
                    <w:rPr>
                      <w:rFonts w:ascii="Times New Roman" w:hAnsi="Times New Roman" w:eastAsia="宋体"/>
                      <w:color w:val="auto"/>
                      <w:spacing w:val="-6"/>
                      <w:position w:val="1"/>
                      <w:sz w:val="21"/>
                      <w:highlight w:val="none"/>
                    </w:rPr>
                    <w:t>标准</w:t>
                  </w:r>
                  <w:r>
                    <w:rPr>
                      <w:rFonts w:hint="eastAsia" w:ascii="Times New Roman" w:hAnsi="Times New Roman"/>
                      <w:color w:val="auto"/>
                      <w:spacing w:val="-6"/>
                      <w:position w:val="1"/>
                      <w:sz w:val="21"/>
                      <w:highlight w:val="none"/>
                      <w:lang w:eastAsia="zh-CN"/>
                    </w:rPr>
                    <w:t>；</w:t>
                  </w:r>
                  <w:r>
                    <w:rPr>
                      <w:rFonts w:hint="eastAsia" w:ascii="Times New Roman" w:hAnsi="Times New Roman" w:eastAsia="宋体"/>
                      <w:color w:val="auto"/>
                      <w:sz w:val="21"/>
                      <w:highlight w:val="none"/>
                    </w:rPr>
                    <w:t>《工业企业挥发性有机物排放标准》（DB35 1782-2018）表1</w:t>
                  </w:r>
                </w:p>
              </w:tc>
            </w:tr>
            <w:tr w14:paraId="32B4F8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1352" w:type="dxa"/>
                  <w:vMerge w:val="continue"/>
                  <w:tcBorders>
                    <w:tl2br w:val="nil"/>
                    <w:tr2bl w:val="nil"/>
                  </w:tcBorders>
                  <w:vAlign w:val="center"/>
                </w:tcPr>
                <w:p w14:paraId="0946AB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position w:val="2"/>
                      <w:sz w:val="21"/>
                      <w:szCs w:val="20"/>
                      <w:highlight w:val="none"/>
                    </w:rPr>
                  </w:pPr>
                </w:p>
              </w:tc>
              <w:tc>
                <w:tcPr>
                  <w:tcW w:w="1356" w:type="dxa"/>
                  <w:tcBorders>
                    <w:tl2br w:val="nil"/>
                    <w:tr2bl w:val="nil"/>
                  </w:tcBorders>
                  <w:vAlign w:val="center"/>
                </w:tcPr>
                <w:p w14:paraId="0CCAA10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4"/>
                      <w:sz w:val="21"/>
                      <w:highlight w:val="none"/>
                    </w:rPr>
                  </w:pPr>
                  <w:r>
                    <w:rPr>
                      <w:rFonts w:ascii="Times New Roman" w:hAnsi="Times New Roman" w:eastAsia="宋体"/>
                      <w:color w:val="auto"/>
                      <w:spacing w:val="7"/>
                      <w:sz w:val="21"/>
                      <w:highlight w:val="none"/>
                    </w:rPr>
                    <w:t>天然气燃烧</w:t>
                  </w:r>
                </w:p>
              </w:tc>
              <w:tc>
                <w:tcPr>
                  <w:tcW w:w="1366" w:type="dxa"/>
                  <w:tcBorders>
                    <w:tl2br w:val="nil"/>
                    <w:tr2bl w:val="nil"/>
                  </w:tcBorders>
                  <w:vAlign w:val="center"/>
                </w:tcPr>
                <w:p w14:paraId="694C21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0"/>
                      <w:highlight w:val="none"/>
                      <w:lang w:eastAsia="zh-CN"/>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w:t>
                  </w:r>
                  <w:r>
                    <w:rPr>
                      <w:rFonts w:hint="eastAsia" w:cs="Times New Roman"/>
                      <w:color w:val="auto"/>
                      <w:spacing w:val="8"/>
                      <w:position w:val="2"/>
                      <w:sz w:val="21"/>
                      <w:szCs w:val="20"/>
                      <w:highlight w:val="none"/>
                      <w:lang w:val="en-US" w:eastAsia="zh-CN"/>
                    </w:rPr>
                    <w:t>4</w:t>
                  </w:r>
                </w:p>
                <w:p w14:paraId="0BFBFA5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废气排放口</w:t>
                  </w:r>
                </w:p>
              </w:tc>
              <w:tc>
                <w:tcPr>
                  <w:tcW w:w="1581" w:type="dxa"/>
                  <w:tcBorders>
                    <w:tl2br w:val="nil"/>
                    <w:tr2bl w:val="nil"/>
                  </w:tcBorders>
                  <w:vAlign w:val="center"/>
                </w:tcPr>
                <w:p w14:paraId="5ED9896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position w:val="1"/>
                      <w:sz w:val="21"/>
                      <w:highlight w:val="none"/>
                    </w:rPr>
                    <w:t>颗粒物、</w:t>
                  </w:r>
                  <w:r>
                    <w:rPr>
                      <w:rFonts w:ascii="Times New Roman" w:hAnsi="Times New Roman" w:eastAsia="宋体" w:cs="Times New Roman"/>
                      <w:color w:val="auto"/>
                      <w:spacing w:val="-7"/>
                      <w:position w:val="1"/>
                      <w:sz w:val="21"/>
                      <w:highlight w:val="none"/>
                    </w:rPr>
                    <w:t>SO</w:t>
                  </w:r>
                  <w:r>
                    <w:rPr>
                      <w:rFonts w:ascii="Times New Roman" w:hAnsi="Times New Roman" w:eastAsia="宋体" w:cs="Times New Roman"/>
                      <w:color w:val="auto"/>
                      <w:spacing w:val="-7"/>
                      <w:sz w:val="21"/>
                      <w:szCs w:val="13"/>
                      <w:highlight w:val="none"/>
                      <w:vertAlign w:val="subscript"/>
                    </w:rPr>
                    <w:t>2</w:t>
                  </w:r>
                  <w:r>
                    <w:rPr>
                      <w:rFonts w:ascii="Times New Roman" w:hAnsi="Times New Roman" w:eastAsia="宋体"/>
                      <w:color w:val="auto"/>
                      <w:spacing w:val="-7"/>
                      <w:position w:val="1"/>
                      <w:sz w:val="21"/>
                      <w:highlight w:val="none"/>
                    </w:rPr>
                    <w:t>、</w:t>
                  </w:r>
                </w:p>
                <w:p w14:paraId="2387CE9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sz w:val="21"/>
                      <w:highlight w:val="none"/>
                    </w:rPr>
                  </w:pPr>
                  <w:r>
                    <w:rPr>
                      <w:rFonts w:ascii="Times New Roman" w:hAnsi="Times New Roman" w:eastAsia="宋体" w:cs="Times New Roman"/>
                      <w:color w:val="auto"/>
                      <w:spacing w:val="6"/>
                      <w:sz w:val="21"/>
                      <w:szCs w:val="20"/>
                      <w:highlight w:val="none"/>
                    </w:rPr>
                    <w:t>NOx</w:t>
                  </w:r>
                </w:p>
              </w:tc>
              <w:tc>
                <w:tcPr>
                  <w:tcW w:w="1340" w:type="dxa"/>
                  <w:tcBorders>
                    <w:tl2br w:val="nil"/>
                    <w:tr2bl w:val="nil"/>
                  </w:tcBorders>
                  <w:vAlign w:val="center"/>
                </w:tcPr>
                <w:p w14:paraId="78EF775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pacing w:val="-4"/>
                      <w:position w:val="1"/>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929" w:type="dxa"/>
                  <w:tcBorders>
                    <w:tl2br w:val="nil"/>
                    <w:tr2bl w:val="nil"/>
                  </w:tcBorders>
                  <w:vAlign w:val="center"/>
                </w:tcPr>
                <w:p w14:paraId="72B1DB6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《工业炉窑大气</w:t>
                  </w:r>
                </w:p>
                <w:p w14:paraId="094F300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污染物排放标</w:t>
                  </w:r>
                </w:p>
                <w:p w14:paraId="5EB430E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准》</w:t>
                  </w:r>
                  <w:r>
                    <w:rPr>
                      <w:rFonts w:ascii="Times New Roman" w:hAnsi="Times New Roman" w:eastAsia="宋体"/>
                      <w:color w:val="auto"/>
                      <w:spacing w:val="-3"/>
                      <w:position w:val="1"/>
                      <w:sz w:val="21"/>
                      <w:highlight w:val="none"/>
                    </w:rPr>
                    <w:t>（</w:t>
                  </w:r>
                  <w:r>
                    <w:rPr>
                      <w:rFonts w:ascii="Times New Roman" w:hAnsi="Times New Roman" w:eastAsia="宋体" w:cs="Times New Roman"/>
                      <w:color w:val="auto"/>
                      <w:spacing w:val="-3"/>
                      <w:position w:val="1"/>
                      <w:sz w:val="21"/>
                      <w:highlight w:val="none"/>
                    </w:rPr>
                    <w:t>GB9078-1996</w:t>
                  </w:r>
                  <w:r>
                    <w:rPr>
                      <w:rFonts w:ascii="Times New Roman" w:hAnsi="Times New Roman" w:eastAsia="宋体"/>
                      <w:color w:val="auto"/>
                      <w:spacing w:val="-3"/>
                      <w:position w:val="1"/>
                      <w:sz w:val="21"/>
                      <w:highlight w:val="none"/>
                    </w:rPr>
                    <w:t>）</w:t>
                  </w:r>
                </w:p>
                <w:p w14:paraId="5FEE39F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3"/>
                      <w:position w:val="1"/>
                      <w:sz w:val="21"/>
                      <w:highlight w:val="none"/>
                    </w:rPr>
                    <w:t>表</w:t>
                  </w:r>
                  <w:r>
                    <w:rPr>
                      <w:rFonts w:ascii="Times New Roman" w:hAnsi="Times New Roman" w:eastAsia="宋体" w:cs="Times New Roman"/>
                      <w:color w:val="auto"/>
                      <w:spacing w:val="3"/>
                      <w:position w:val="1"/>
                      <w:sz w:val="21"/>
                      <w:highlight w:val="none"/>
                    </w:rPr>
                    <w:t>2</w:t>
                  </w:r>
                  <w:r>
                    <w:rPr>
                      <w:rFonts w:ascii="Times New Roman" w:hAnsi="Times New Roman" w:eastAsia="宋体"/>
                      <w:color w:val="auto"/>
                      <w:spacing w:val="3"/>
                      <w:position w:val="1"/>
                      <w:sz w:val="21"/>
                      <w:highlight w:val="none"/>
                    </w:rPr>
                    <w:t>中二级标准</w:t>
                  </w:r>
                </w:p>
                <w:p w14:paraId="76C0802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及《工业炉窑大</w:t>
                  </w:r>
                </w:p>
                <w:p w14:paraId="35CD133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气污染综合治理</w:t>
                  </w:r>
                </w:p>
                <w:p w14:paraId="426D6C0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方案》中重点区</w:t>
                  </w:r>
                </w:p>
                <w:p w14:paraId="0DAD02F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5"/>
                      <w:position w:val="1"/>
                      <w:sz w:val="21"/>
                      <w:highlight w:val="none"/>
                    </w:rPr>
                  </w:pPr>
                  <w:r>
                    <w:rPr>
                      <w:rFonts w:ascii="Times New Roman" w:hAnsi="Times New Roman" w:eastAsia="宋体"/>
                      <w:color w:val="auto"/>
                      <w:spacing w:val="7"/>
                      <w:sz w:val="21"/>
                      <w:highlight w:val="none"/>
                    </w:rPr>
                    <w:t>域排放要求</w:t>
                  </w:r>
                </w:p>
              </w:tc>
            </w:tr>
          </w:tbl>
          <w:p w14:paraId="4BA158EB">
            <w:pPr>
              <w:pStyle w:val="48"/>
              <w:rPr>
                <w:rFonts w:hint="eastAsia"/>
                <w:color w:val="auto"/>
                <w:highlight w:val="none"/>
                <w:lang w:val="en-US" w:eastAsia="zh-CN"/>
              </w:rPr>
            </w:pPr>
          </w:p>
          <w:p w14:paraId="5E886916">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无组织废气排放监测点位、监测指标及最低监测频次</w:t>
            </w:r>
          </w:p>
          <w:tbl>
            <w:tblPr>
              <w:tblStyle w:val="86"/>
              <w:tblW w:w="8915"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1413"/>
              <w:gridCol w:w="5936"/>
            </w:tblGrid>
            <w:tr w14:paraId="7DCAE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bottom w:val="single" w:color="000000" w:sz="12" w:space="0"/>
                  </w:tcBorders>
                  <w:vAlign w:val="center"/>
                </w:tcPr>
                <w:p w14:paraId="267CE44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监测指标</w:t>
                  </w:r>
                </w:p>
              </w:tc>
              <w:tc>
                <w:tcPr>
                  <w:tcW w:w="1413" w:type="dxa"/>
                  <w:tcBorders>
                    <w:bottom w:val="single" w:color="000000" w:sz="12" w:space="0"/>
                  </w:tcBorders>
                  <w:vAlign w:val="center"/>
                </w:tcPr>
                <w:p w14:paraId="0DABA00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监测频率</w:t>
                  </w:r>
                </w:p>
              </w:tc>
              <w:tc>
                <w:tcPr>
                  <w:tcW w:w="5936" w:type="dxa"/>
                  <w:tcBorders>
                    <w:bottom w:val="single" w:color="000000" w:sz="12" w:space="0"/>
                  </w:tcBorders>
                  <w:vAlign w:val="center"/>
                </w:tcPr>
                <w:p w14:paraId="5556A63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执行标准</w:t>
                  </w:r>
                </w:p>
              </w:tc>
            </w:tr>
            <w:tr w14:paraId="04E66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op w:val="single" w:color="000000" w:sz="12" w:space="0"/>
                    <w:tl2br w:val="nil"/>
                    <w:tr2bl w:val="nil"/>
                  </w:tcBorders>
                  <w:vAlign w:val="center"/>
                </w:tcPr>
                <w:p w14:paraId="044D122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7"/>
                      <w:sz w:val="21"/>
                      <w:szCs w:val="21"/>
                    </w:rPr>
                    <w:t>非甲烷总烃</w:t>
                  </w:r>
                </w:p>
              </w:tc>
              <w:tc>
                <w:tcPr>
                  <w:tcW w:w="1413" w:type="dxa"/>
                  <w:tcBorders>
                    <w:top w:val="single" w:color="000000" w:sz="12" w:space="0"/>
                    <w:tl2br w:val="nil"/>
                    <w:tr2bl w:val="nil"/>
                  </w:tcBorders>
                  <w:vAlign w:val="center"/>
                </w:tcPr>
                <w:p w14:paraId="55363FB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1</w:t>
                  </w:r>
                  <w:r>
                    <w:rPr>
                      <w:rFonts w:ascii="Times New Roman" w:hAnsi="Times New Roman" w:eastAsia="宋体"/>
                      <w:color w:val="auto"/>
                      <w:spacing w:val="-1"/>
                      <w:sz w:val="21"/>
                      <w:szCs w:val="21"/>
                    </w:rPr>
                    <w:t>次</w:t>
                  </w:r>
                  <w:r>
                    <w:rPr>
                      <w:rFonts w:ascii="Times New Roman" w:hAnsi="Times New Roman" w:eastAsia="宋体" w:cs="Times New Roman"/>
                      <w:color w:val="auto"/>
                      <w:spacing w:val="-1"/>
                      <w:sz w:val="21"/>
                      <w:szCs w:val="21"/>
                    </w:rPr>
                    <w:t>/</w:t>
                  </w:r>
                  <w:r>
                    <w:rPr>
                      <w:rFonts w:ascii="Times New Roman" w:hAnsi="Times New Roman" w:eastAsia="宋体"/>
                      <w:color w:val="auto"/>
                      <w:spacing w:val="-1"/>
                      <w:sz w:val="21"/>
                      <w:szCs w:val="21"/>
                    </w:rPr>
                    <w:t>半年</w:t>
                  </w:r>
                </w:p>
              </w:tc>
              <w:tc>
                <w:tcPr>
                  <w:tcW w:w="5936" w:type="dxa"/>
                  <w:tcBorders>
                    <w:top w:val="single" w:color="000000" w:sz="12" w:space="0"/>
                    <w:tl2br w:val="nil"/>
                    <w:tr2bl w:val="nil"/>
                  </w:tcBorders>
                  <w:vAlign w:val="center"/>
                </w:tcPr>
                <w:p w14:paraId="0E3A8EE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《挥发性有机物无组织排放控制标准》</w:t>
                  </w:r>
                  <w:r>
                    <w:rPr>
                      <w:rFonts w:ascii="Times New Roman" w:hAnsi="Times New Roman" w:eastAsia="宋体"/>
                      <w:color w:val="auto"/>
                      <w:spacing w:val="5"/>
                      <w:sz w:val="21"/>
                      <w:szCs w:val="21"/>
                    </w:rPr>
                    <w:t>（</w:t>
                  </w:r>
                  <w:r>
                    <w:rPr>
                      <w:rFonts w:ascii="Times New Roman" w:hAnsi="Times New Roman" w:eastAsia="宋体" w:cs="Times New Roman"/>
                      <w:color w:val="auto"/>
                      <w:sz w:val="21"/>
                      <w:szCs w:val="21"/>
                    </w:rPr>
                    <w:t>GB</w:t>
                  </w:r>
                  <w:r>
                    <w:rPr>
                      <w:rFonts w:ascii="Times New Roman" w:hAnsi="Times New Roman" w:eastAsia="宋体" w:cs="Times New Roman"/>
                      <w:color w:val="auto"/>
                      <w:spacing w:val="5"/>
                      <w:sz w:val="21"/>
                      <w:szCs w:val="21"/>
                    </w:rPr>
                    <w:t>37822-2019</w:t>
                  </w:r>
                  <w:r>
                    <w:rPr>
                      <w:rFonts w:ascii="Times New Roman" w:hAnsi="Times New Roman" w:eastAsia="宋体"/>
                      <w:color w:val="auto"/>
                      <w:spacing w:val="5"/>
                      <w:sz w:val="21"/>
                      <w:szCs w:val="21"/>
                    </w:rPr>
                    <w:t>）表</w:t>
                  </w:r>
                  <w:r>
                    <w:rPr>
                      <w:rFonts w:ascii="Times New Roman" w:hAnsi="Times New Roman" w:eastAsia="宋体" w:cs="Times New Roman"/>
                      <w:color w:val="auto"/>
                      <w:spacing w:val="5"/>
                      <w:sz w:val="21"/>
                      <w:szCs w:val="21"/>
                    </w:rPr>
                    <w:t>A.1</w:t>
                  </w:r>
                  <w:r>
                    <w:rPr>
                      <w:rFonts w:ascii="Times New Roman" w:hAnsi="Times New Roman" w:eastAsia="宋体"/>
                      <w:color w:val="auto"/>
                      <w:spacing w:val="5"/>
                      <w:sz w:val="21"/>
                      <w:szCs w:val="21"/>
                    </w:rPr>
                    <w:t>特别排放限值</w:t>
                  </w:r>
                </w:p>
              </w:tc>
            </w:tr>
            <w:tr w14:paraId="51E97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vAlign w:val="center"/>
                </w:tcPr>
                <w:p w14:paraId="08A69B1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7"/>
                      <w:sz w:val="21"/>
                      <w:szCs w:val="21"/>
                    </w:rPr>
                    <w:t>颗粒物</w:t>
                  </w:r>
                </w:p>
              </w:tc>
              <w:tc>
                <w:tcPr>
                  <w:tcW w:w="1413" w:type="dxa"/>
                  <w:tcBorders>
                    <w:tl2br w:val="nil"/>
                    <w:tr2bl w:val="nil"/>
                  </w:tcBorders>
                  <w:vAlign w:val="center"/>
                </w:tcPr>
                <w:p w14:paraId="347A989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1</w:t>
                  </w:r>
                  <w:r>
                    <w:rPr>
                      <w:rFonts w:ascii="Times New Roman" w:hAnsi="Times New Roman" w:eastAsia="宋体"/>
                      <w:color w:val="auto"/>
                      <w:spacing w:val="-1"/>
                      <w:sz w:val="21"/>
                      <w:szCs w:val="21"/>
                    </w:rPr>
                    <w:t>次</w:t>
                  </w:r>
                  <w:r>
                    <w:rPr>
                      <w:rFonts w:ascii="Times New Roman" w:hAnsi="Times New Roman" w:eastAsia="宋体" w:cs="Times New Roman"/>
                      <w:color w:val="auto"/>
                      <w:spacing w:val="-1"/>
                      <w:sz w:val="21"/>
                      <w:szCs w:val="21"/>
                    </w:rPr>
                    <w:t>/</w:t>
                  </w:r>
                  <w:r>
                    <w:rPr>
                      <w:rFonts w:ascii="Times New Roman" w:hAnsi="Times New Roman" w:eastAsia="宋体"/>
                      <w:color w:val="auto"/>
                      <w:spacing w:val="-1"/>
                      <w:sz w:val="21"/>
                      <w:szCs w:val="21"/>
                    </w:rPr>
                    <w:t>半年</w:t>
                  </w:r>
                </w:p>
              </w:tc>
              <w:tc>
                <w:tcPr>
                  <w:tcW w:w="5936" w:type="dxa"/>
                  <w:tcBorders>
                    <w:tl2br w:val="nil"/>
                    <w:tr2bl w:val="nil"/>
                  </w:tcBorders>
                  <w:vAlign w:val="center"/>
                </w:tcPr>
                <w:p w14:paraId="19B47BC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olor w:val="auto"/>
                      <w:spacing w:val="7"/>
                      <w:sz w:val="21"/>
                      <w:szCs w:val="21"/>
                    </w:rPr>
                    <w:t>《大气污染物综合排放标准》（</w:t>
                  </w:r>
                  <w:r>
                    <w:rPr>
                      <w:rFonts w:ascii="Times New Roman" w:hAnsi="Times New Roman" w:eastAsia="宋体" w:cs="Times New Roman"/>
                      <w:color w:val="auto"/>
                      <w:sz w:val="21"/>
                      <w:szCs w:val="21"/>
                    </w:rPr>
                    <w:t>GB</w:t>
                  </w:r>
                  <w:r>
                    <w:rPr>
                      <w:rFonts w:ascii="Times New Roman" w:hAnsi="Times New Roman" w:eastAsia="宋体" w:cs="Times New Roman"/>
                      <w:color w:val="auto"/>
                      <w:spacing w:val="27"/>
                      <w:w w:val="101"/>
                      <w:sz w:val="21"/>
                      <w:szCs w:val="21"/>
                    </w:rPr>
                    <w:t xml:space="preserve"> </w:t>
                  </w:r>
                  <w:r>
                    <w:rPr>
                      <w:rFonts w:ascii="Times New Roman" w:hAnsi="Times New Roman" w:eastAsia="宋体" w:cs="Times New Roman"/>
                      <w:color w:val="auto"/>
                      <w:spacing w:val="7"/>
                      <w:sz w:val="21"/>
                      <w:szCs w:val="21"/>
                    </w:rPr>
                    <w:t>16297-</w:t>
                  </w:r>
                  <w:r>
                    <w:rPr>
                      <w:rFonts w:ascii="Times New Roman" w:hAnsi="Times New Roman" w:eastAsia="宋体" w:cs="Times New Roman"/>
                      <w:color w:val="auto"/>
                      <w:spacing w:val="6"/>
                      <w:sz w:val="21"/>
                      <w:szCs w:val="21"/>
                    </w:rPr>
                    <w:t>1996</w:t>
                  </w:r>
                  <w:r>
                    <w:rPr>
                      <w:rFonts w:ascii="Times New Roman" w:hAnsi="Times New Roman" w:eastAsia="宋体"/>
                      <w:color w:val="auto"/>
                      <w:spacing w:val="6"/>
                      <w:sz w:val="21"/>
                      <w:szCs w:val="21"/>
                    </w:rPr>
                    <w:t>）表</w:t>
                  </w:r>
                  <w:r>
                    <w:rPr>
                      <w:rFonts w:ascii="Times New Roman" w:hAnsi="Times New Roman" w:eastAsia="宋体" w:cs="Times New Roman"/>
                      <w:color w:val="auto"/>
                      <w:spacing w:val="6"/>
                      <w:sz w:val="21"/>
                      <w:szCs w:val="21"/>
                    </w:rPr>
                    <w:t>2</w:t>
                  </w:r>
                </w:p>
                <w:p w14:paraId="3F273B7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6"/>
                      <w:sz w:val="21"/>
                      <w:szCs w:val="21"/>
                    </w:rPr>
                    <w:t>中无组织限值要求</w:t>
                  </w:r>
                </w:p>
              </w:tc>
            </w:tr>
            <w:tr w14:paraId="1F59F6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shd w:val="clear" w:color="auto" w:fill="auto"/>
                  <w:vAlign w:val="center"/>
                </w:tcPr>
                <w:p w14:paraId="3726477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z w:val="21"/>
                      <w:szCs w:val="21"/>
                    </w:rPr>
                    <w:t>氨</w:t>
                  </w:r>
                </w:p>
              </w:tc>
              <w:tc>
                <w:tcPr>
                  <w:tcW w:w="1413" w:type="dxa"/>
                  <w:tcBorders>
                    <w:tl2br w:val="nil"/>
                    <w:tr2bl w:val="nil"/>
                  </w:tcBorders>
                  <w:shd w:val="clear" w:color="auto" w:fill="auto"/>
                  <w:vAlign w:val="center"/>
                </w:tcPr>
                <w:p w14:paraId="298C4D4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5936" w:type="dxa"/>
                  <w:vMerge w:val="restart"/>
                  <w:tcBorders>
                    <w:tl2br w:val="nil"/>
                    <w:tr2bl w:val="nil"/>
                  </w:tcBorders>
                  <w:vAlign w:val="center"/>
                </w:tcPr>
                <w:p w14:paraId="64189F4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r>
                    <w:rPr>
                      <w:color w:val="auto"/>
                      <w:spacing w:val="7"/>
                      <w:sz w:val="21"/>
                      <w:szCs w:val="21"/>
                    </w:rPr>
                    <w:t>《恶臭污染物排放标准》（</w:t>
                  </w:r>
                  <w:r>
                    <w:rPr>
                      <w:rFonts w:ascii="Times New Roman" w:hAnsi="Times New Roman" w:eastAsia="Times New Roman" w:cs="Times New Roman"/>
                      <w:color w:val="auto"/>
                      <w:sz w:val="21"/>
                      <w:szCs w:val="21"/>
                    </w:rPr>
                    <w:t>GB</w:t>
                  </w:r>
                  <w:r>
                    <w:rPr>
                      <w:rFonts w:ascii="Times New Roman" w:hAnsi="Times New Roman" w:eastAsia="Times New Roman" w:cs="Times New Roman"/>
                      <w:color w:val="auto"/>
                      <w:spacing w:val="7"/>
                      <w:sz w:val="21"/>
                      <w:szCs w:val="21"/>
                    </w:rPr>
                    <w:t>14554-93</w:t>
                  </w:r>
                  <w:r>
                    <w:rPr>
                      <w:color w:val="auto"/>
                      <w:spacing w:val="7"/>
                      <w:sz w:val="21"/>
                      <w:szCs w:val="21"/>
                    </w:rPr>
                    <w:t>）中表</w:t>
                  </w:r>
                  <w:r>
                    <w:rPr>
                      <w:rFonts w:ascii="Times New Roman" w:hAnsi="Times New Roman" w:eastAsia="Times New Roman" w:cs="Times New Roman"/>
                      <w:color w:val="auto"/>
                      <w:spacing w:val="7"/>
                      <w:sz w:val="21"/>
                      <w:szCs w:val="21"/>
                    </w:rPr>
                    <w:t>1</w:t>
                  </w:r>
                  <w:r>
                    <w:rPr>
                      <w:color w:val="auto"/>
                      <w:spacing w:val="7"/>
                      <w:sz w:val="21"/>
                      <w:szCs w:val="21"/>
                    </w:rPr>
                    <w:t>标准</w:t>
                  </w:r>
                </w:p>
              </w:tc>
            </w:tr>
            <w:tr w14:paraId="78C92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shd w:val="clear" w:color="auto" w:fill="auto"/>
                  <w:vAlign w:val="center"/>
                </w:tcPr>
                <w:p w14:paraId="5BBD8DE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7"/>
                      <w:sz w:val="21"/>
                      <w:szCs w:val="21"/>
                    </w:rPr>
                    <w:t>硫化氢</w:t>
                  </w:r>
                </w:p>
              </w:tc>
              <w:tc>
                <w:tcPr>
                  <w:tcW w:w="1413" w:type="dxa"/>
                  <w:tcBorders>
                    <w:tl2br w:val="nil"/>
                    <w:tr2bl w:val="nil"/>
                  </w:tcBorders>
                  <w:shd w:val="clear" w:color="auto" w:fill="auto"/>
                  <w:vAlign w:val="center"/>
                </w:tcPr>
                <w:p w14:paraId="289822B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5936" w:type="dxa"/>
                  <w:vMerge w:val="continue"/>
                  <w:tcBorders>
                    <w:tl2br w:val="nil"/>
                    <w:tr2bl w:val="nil"/>
                  </w:tcBorders>
                  <w:vAlign w:val="center"/>
                </w:tcPr>
                <w:p w14:paraId="623BEC7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p>
              </w:tc>
            </w:tr>
            <w:tr w14:paraId="205B36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shd w:val="clear" w:color="auto" w:fill="auto"/>
                  <w:vAlign w:val="center"/>
                </w:tcPr>
                <w:p w14:paraId="42FFCD8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4"/>
                      <w:sz w:val="21"/>
                      <w:szCs w:val="21"/>
                    </w:rPr>
                    <w:t>臭气</w:t>
                  </w:r>
                </w:p>
              </w:tc>
              <w:tc>
                <w:tcPr>
                  <w:tcW w:w="1413" w:type="dxa"/>
                  <w:tcBorders>
                    <w:tl2br w:val="nil"/>
                    <w:tr2bl w:val="nil"/>
                  </w:tcBorders>
                  <w:shd w:val="clear" w:color="auto" w:fill="auto"/>
                  <w:vAlign w:val="center"/>
                </w:tcPr>
                <w:p w14:paraId="4539F96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5936" w:type="dxa"/>
                  <w:vMerge w:val="continue"/>
                  <w:tcBorders>
                    <w:tl2br w:val="nil"/>
                    <w:tr2bl w:val="nil"/>
                  </w:tcBorders>
                  <w:vAlign w:val="center"/>
                </w:tcPr>
                <w:p w14:paraId="164A197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p>
              </w:tc>
            </w:tr>
            <w:tr w14:paraId="356FC8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shd w:val="clear" w:color="auto" w:fill="auto"/>
                  <w:vAlign w:val="center"/>
                </w:tcPr>
                <w:p w14:paraId="38E8DD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z w:val="21"/>
                      <w:szCs w:val="21"/>
                      <w:highlight w:val="none"/>
                    </w:rPr>
                    <w:t>SO</w:t>
                  </w:r>
                  <w:r>
                    <w:rPr>
                      <w:rFonts w:ascii="Times New Roman" w:hAnsi="Times New Roman" w:eastAsia="Times New Roman" w:cs="Times New Roman"/>
                      <w:color w:val="auto"/>
                      <w:spacing w:val="3"/>
                      <w:position w:val="-1"/>
                      <w:sz w:val="21"/>
                      <w:szCs w:val="21"/>
                      <w:highlight w:val="none"/>
                      <w:vertAlign w:val="subscript"/>
                    </w:rPr>
                    <w:t>2</w:t>
                  </w:r>
                </w:p>
              </w:tc>
              <w:tc>
                <w:tcPr>
                  <w:tcW w:w="1413" w:type="dxa"/>
                  <w:tcBorders>
                    <w:tl2br w:val="nil"/>
                    <w:tr2bl w:val="nil"/>
                  </w:tcBorders>
                  <w:shd w:val="clear" w:color="auto" w:fill="auto"/>
                  <w:vAlign w:val="center"/>
                </w:tcPr>
                <w:p w14:paraId="4547776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1</w:t>
                  </w:r>
                  <w:r>
                    <w:rPr>
                      <w:color w:val="auto"/>
                      <w:spacing w:val="-3"/>
                      <w:sz w:val="21"/>
                      <w:szCs w:val="21"/>
                      <w:highlight w:val="none"/>
                    </w:rPr>
                    <w:t>次</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年</w:t>
                  </w:r>
                </w:p>
              </w:tc>
              <w:tc>
                <w:tcPr>
                  <w:tcW w:w="5936" w:type="dxa"/>
                  <w:vMerge w:val="restart"/>
                  <w:tcBorders>
                    <w:tl2br w:val="nil"/>
                    <w:tr2bl w:val="nil"/>
                  </w:tcBorders>
                  <w:vAlign w:val="center"/>
                </w:tcPr>
                <w:p w14:paraId="6FCBD3C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highlight w:val="none"/>
                    </w:rPr>
                  </w:pPr>
                  <w:r>
                    <w:rPr>
                      <w:rFonts w:hint="default" w:ascii="Times New Roman" w:hAnsi="Times New Roman" w:eastAsia="宋体"/>
                      <w:color w:val="auto"/>
                      <w:spacing w:val="6"/>
                      <w:sz w:val="21"/>
                      <w:szCs w:val="21"/>
                      <w:highlight w:val="none"/>
                      <w:lang w:val="en-US" w:eastAsia="zh-CN"/>
                    </w:rPr>
                    <w:t>《福建省工业炉窑大气污染综合治理方案》（闽环保大气〔2019〕10号）中明确规定的重点区域限值</w:t>
                  </w:r>
                </w:p>
              </w:tc>
            </w:tr>
            <w:tr w14:paraId="6852F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566" w:type="dxa"/>
                  <w:tcBorders>
                    <w:tl2br w:val="nil"/>
                    <w:tr2bl w:val="nil"/>
                  </w:tcBorders>
                  <w:shd w:val="clear" w:color="auto" w:fill="auto"/>
                  <w:vAlign w:val="center"/>
                </w:tcPr>
                <w:p w14:paraId="3B28C5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pacing w:val="6"/>
                      <w:sz w:val="21"/>
                      <w:szCs w:val="21"/>
                      <w:highlight w:val="none"/>
                    </w:rPr>
                    <w:t>NOx</w:t>
                  </w:r>
                </w:p>
              </w:tc>
              <w:tc>
                <w:tcPr>
                  <w:tcW w:w="1413" w:type="dxa"/>
                  <w:tcBorders>
                    <w:tl2br w:val="nil"/>
                    <w:tr2bl w:val="nil"/>
                  </w:tcBorders>
                  <w:shd w:val="clear" w:color="auto" w:fill="auto"/>
                  <w:vAlign w:val="center"/>
                </w:tcPr>
                <w:p w14:paraId="43AFA7E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1</w:t>
                  </w:r>
                  <w:r>
                    <w:rPr>
                      <w:color w:val="auto"/>
                      <w:spacing w:val="-3"/>
                      <w:sz w:val="21"/>
                      <w:szCs w:val="21"/>
                      <w:highlight w:val="none"/>
                    </w:rPr>
                    <w:t>次</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年</w:t>
                  </w:r>
                </w:p>
              </w:tc>
              <w:tc>
                <w:tcPr>
                  <w:tcW w:w="5936" w:type="dxa"/>
                  <w:vMerge w:val="continue"/>
                  <w:tcBorders>
                    <w:tl2br w:val="nil"/>
                    <w:tr2bl w:val="nil"/>
                  </w:tcBorders>
                  <w:vAlign w:val="center"/>
                </w:tcPr>
                <w:p w14:paraId="7F0E729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highlight w:val="none"/>
                    </w:rPr>
                  </w:pPr>
                </w:p>
              </w:tc>
            </w:tr>
          </w:tbl>
          <w:p w14:paraId="50A8F6CC">
            <w:pPr>
              <w:rPr>
                <w:rFonts w:hint="eastAsia"/>
                <w:color w:val="auto"/>
                <w:lang w:val="en-US" w:eastAsia="zh-CN"/>
              </w:rPr>
            </w:pPr>
          </w:p>
          <w:p w14:paraId="69062670">
            <w:pPr>
              <w:pStyle w:val="3"/>
              <w:numPr>
                <w:ilvl w:val="1"/>
                <w:numId w:val="1"/>
              </w:numPr>
              <w:bidi w:val="0"/>
              <w:ind w:left="0" w:leftChars="0" w:firstLine="0" w:firstLineChars="0"/>
              <w:rPr>
                <w:color w:val="auto"/>
                <w:highlight w:val="none"/>
              </w:rPr>
            </w:pPr>
            <w:bookmarkStart w:id="46" w:name="_Toc20164"/>
            <w:r>
              <w:rPr>
                <w:rFonts w:hint="eastAsia"/>
                <w:color w:val="auto"/>
                <w:highlight w:val="none"/>
                <w:lang w:val="en-US" w:eastAsia="zh-CN"/>
              </w:rPr>
              <w:t>运营期</w:t>
            </w:r>
            <w:r>
              <w:rPr>
                <w:color w:val="auto"/>
                <w:highlight w:val="none"/>
              </w:rPr>
              <w:t>水环境</w:t>
            </w:r>
            <w:r>
              <w:rPr>
                <w:rFonts w:hint="eastAsia"/>
                <w:color w:val="auto"/>
                <w:highlight w:val="none"/>
                <w:lang w:val="en-US" w:eastAsia="zh-CN"/>
              </w:rPr>
              <w:t>影响分析</w:t>
            </w:r>
            <w:bookmarkEnd w:id="46"/>
          </w:p>
          <w:p w14:paraId="66F04E90">
            <w:pPr>
              <w:pStyle w:val="4"/>
              <w:numPr>
                <w:ilvl w:val="2"/>
                <w:numId w:val="1"/>
              </w:numPr>
              <w:bidi w:val="0"/>
              <w:ind w:left="720" w:leftChars="0" w:hanging="720" w:firstLineChars="0"/>
              <w:rPr>
                <w:rFonts w:hint="default"/>
                <w:color w:val="auto"/>
                <w:highlight w:val="none"/>
              </w:rPr>
            </w:pPr>
            <w:r>
              <w:rPr>
                <w:rFonts w:hint="eastAsia"/>
                <w:color w:val="auto"/>
                <w:highlight w:val="none"/>
              </w:rPr>
              <w:t>废水污染源强分析</w:t>
            </w:r>
          </w:p>
          <w:p w14:paraId="60E9C726">
            <w:pPr>
              <w:pStyle w:val="46"/>
              <w:ind w:firstLine="480"/>
              <w:rPr>
                <w:rFonts w:hint="eastAsia"/>
                <w:color w:val="auto"/>
                <w:highlight w:val="none"/>
                <w:lang w:val="en-US" w:eastAsia="zh-CN"/>
              </w:rPr>
            </w:pPr>
            <w:r>
              <w:rPr>
                <w:rFonts w:hint="eastAsia"/>
                <w:color w:val="auto"/>
                <w:highlight w:val="none"/>
                <w:lang w:val="en-US" w:eastAsia="zh-CN"/>
              </w:rPr>
              <w:t>本项目外排废水主要为生活污水。项目废水治理设施、废水污染物排放口、排放口基本情况详见下表。</w:t>
            </w:r>
            <w:bookmarkStart w:id="47" w:name="_Ref24577"/>
          </w:p>
          <w:p w14:paraId="4FD963F8">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项目废水治理设施一览表</w:t>
            </w:r>
            <w:bookmarkEnd w:id="47"/>
          </w:p>
          <w:tbl>
            <w:tblPr>
              <w:tblStyle w:val="86"/>
              <w:tblW w:w="892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6"/>
              <w:gridCol w:w="561"/>
              <w:gridCol w:w="1059"/>
              <w:gridCol w:w="1703"/>
              <w:gridCol w:w="412"/>
              <w:gridCol w:w="1443"/>
              <w:gridCol w:w="1298"/>
              <w:gridCol w:w="566"/>
              <w:gridCol w:w="714"/>
              <w:gridCol w:w="882"/>
            </w:tblGrid>
            <w:tr w14:paraId="73FB6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86" w:type="dxa"/>
                  <w:vMerge w:val="restart"/>
                  <w:tcBorders>
                    <w:tl2br w:val="nil"/>
                    <w:tr2bl w:val="nil"/>
                  </w:tcBorders>
                  <w:textDirection w:val="tbRlV"/>
                  <w:vAlign w:val="center"/>
                </w:tcPr>
                <w:p w14:paraId="302130F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序号</w:t>
                  </w:r>
                </w:p>
              </w:tc>
              <w:tc>
                <w:tcPr>
                  <w:tcW w:w="561" w:type="dxa"/>
                  <w:vMerge w:val="restart"/>
                  <w:tcBorders>
                    <w:tl2br w:val="nil"/>
                    <w:tr2bl w:val="nil"/>
                  </w:tcBorders>
                  <w:vAlign w:val="center"/>
                </w:tcPr>
                <w:p w14:paraId="49BC012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p w14:paraId="4B6FBD7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类别</w:t>
                  </w:r>
                </w:p>
              </w:tc>
              <w:tc>
                <w:tcPr>
                  <w:tcW w:w="1059" w:type="dxa"/>
                  <w:vMerge w:val="restart"/>
                  <w:tcBorders>
                    <w:tl2br w:val="nil"/>
                    <w:tr2bl w:val="nil"/>
                  </w:tcBorders>
                  <w:vAlign w:val="center"/>
                </w:tcPr>
                <w:p w14:paraId="53F19C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污染物种类</w:t>
                  </w:r>
                </w:p>
              </w:tc>
              <w:tc>
                <w:tcPr>
                  <w:tcW w:w="1703" w:type="dxa"/>
                  <w:vMerge w:val="restart"/>
                  <w:tcBorders>
                    <w:tl2br w:val="nil"/>
                    <w:tr2bl w:val="nil"/>
                  </w:tcBorders>
                  <w:vAlign w:val="center"/>
                </w:tcPr>
                <w:p w14:paraId="2CAC99B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排放去向</w:t>
                  </w:r>
                </w:p>
              </w:tc>
              <w:tc>
                <w:tcPr>
                  <w:tcW w:w="412" w:type="dxa"/>
                  <w:vMerge w:val="restart"/>
                  <w:tcBorders>
                    <w:tl2br w:val="nil"/>
                    <w:tr2bl w:val="nil"/>
                  </w:tcBorders>
                  <w:vAlign w:val="center"/>
                </w:tcPr>
                <w:p w14:paraId="77ACAAF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w:t>
                  </w:r>
                </w:p>
                <w:p w14:paraId="4571280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规律</w:t>
                  </w:r>
                </w:p>
              </w:tc>
              <w:tc>
                <w:tcPr>
                  <w:tcW w:w="3307" w:type="dxa"/>
                  <w:gridSpan w:val="3"/>
                  <w:tcBorders>
                    <w:tl2br w:val="nil"/>
                    <w:tr2bl w:val="nil"/>
                  </w:tcBorders>
                  <w:vAlign w:val="center"/>
                </w:tcPr>
                <w:p w14:paraId="2AA775C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污染治理设施</w:t>
                  </w:r>
                </w:p>
              </w:tc>
              <w:tc>
                <w:tcPr>
                  <w:tcW w:w="714" w:type="dxa"/>
                  <w:vMerge w:val="restart"/>
                  <w:tcBorders>
                    <w:tl2br w:val="nil"/>
                    <w:tr2bl w:val="nil"/>
                  </w:tcBorders>
                  <w:vAlign w:val="center"/>
                </w:tcPr>
                <w:p w14:paraId="47A2651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w:t>
                  </w:r>
                </w:p>
                <w:p w14:paraId="50A5445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口编号</w:t>
                  </w:r>
                </w:p>
              </w:tc>
              <w:tc>
                <w:tcPr>
                  <w:tcW w:w="882" w:type="dxa"/>
                  <w:vMerge w:val="restart"/>
                  <w:tcBorders>
                    <w:tl2br w:val="nil"/>
                    <w:tr2bl w:val="nil"/>
                  </w:tcBorders>
                  <w:vAlign w:val="center"/>
                </w:tcPr>
                <w:p w14:paraId="4398914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排放口</w:t>
                  </w:r>
                </w:p>
                <w:p w14:paraId="39D6D45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设置是</w:t>
                  </w:r>
                </w:p>
                <w:p w14:paraId="43A781B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否符合要求</w:t>
                  </w:r>
                </w:p>
              </w:tc>
            </w:tr>
            <w:tr w14:paraId="60DB23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286" w:type="dxa"/>
                  <w:vMerge w:val="continue"/>
                  <w:tcBorders>
                    <w:tl2br w:val="nil"/>
                    <w:tr2bl w:val="nil"/>
                  </w:tcBorders>
                  <w:textDirection w:val="tbRlV"/>
                  <w:vAlign w:val="center"/>
                </w:tcPr>
                <w:p w14:paraId="3ACB9D4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561" w:type="dxa"/>
                  <w:vMerge w:val="continue"/>
                  <w:tcBorders>
                    <w:tl2br w:val="nil"/>
                    <w:tr2bl w:val="nil"/>
                  </w:tcBorders>
                  <w:vAlign w:val="center"/>
                </w:tcPr>
                <w:p w14:paraId="42204E9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059" w:type="dxa"/>
                  <w:vMerge w:val="continue"/>
                  <w:tcBorders>
                    <w:tl2br w:val="nil"/>
                    <w:tr2bl w:val="nil"/>
                  </w:tcBorders>
                  <w:vAlign w:val="center"/>
                </w:tcPr>
                <w:p w14:paraId="5D06856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703" w:type="dxa"/>
                  <w:vMerge w:val="continue"/>
                  <w:tcBorders>
                    <w:tl2br w:val="nil"/>
                    <w:tr2bl w:val="nil"/>
                  </w:tcBorders>
                  <w:vAlign w:val="center"/>
                </w:tcPr>
                <w:p w14:paraId="0B68DC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12" w:type="dxa"/>
                  <w:vMerge w:val="continue"/>
                  <w:tcBorders>
                    <w:tl2br w:val="nil"/>
                    <w:tr2bl w:val="nil"/>
                  </w:tcBorders>
                  <w:vAlign w:val="center"/>
                </w:tcPr>
                <w:p w14:paraId="26C199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443" w:type="dxa"/>
                  <w:tcBorders>
                    <w:tl2br w:val="nil"/>
                    <w:tr2bl w:val="nil"/>
                  </w:tcBorders>
                  <w:vAlign w:val="center"/>
                </w:tcPr>
                <w:p w14:paraId="6F0FD24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w:t>
                  </w:r>
                </w:p>
                <w:p w14:paraId="721588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理设施名称</w:t>
                  </w:r>
                </w:p>
              </w:tc>
              <w:tc>
                <w:tcPr>
                  <w:tcW w:w="1298" w:type="dxa"/>
                  <w:tcBorders>
                    <w:tl2br w:val="nil"/>
                    <w:tr2bl w:val="nil"/>
                  </w:tcBorders>
                  <w:vAlign w:val="center"/>
                </w:tcPr>
                <w:p w14:paraId="02608AF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污染治理</w:t>
                  </w:r>
                </w:p>
                <w:p w14:paraId="21FA458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设施工艺</w:t>
                  </w:r>
                </w:p>
              </w:tc>
              <w:tc>
                <w:tcPr>
                  <w:tcW w:w="566" w:type="dxa"/>
                  <w:tcBorders>
                    <w:tl2br w:val="nil"/>
                    <w:tr2bl w:val="nil"/>
                  </w:tcBorders>
                  <w:vAlign w:val="center"/>
                </w:tcPr>
                <w:p w14:paraId="761E221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是否</w:t>
                  </w:r>
                </w:p>
                <w:p w14:paraId="7ADCD0B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为可</w:t>
                  </w:r>
                </w:p>
                <w:p w14:paraId="75F2C47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行技术</w:t>
                  </w:r>
                </w:p>
              </w:tc>
              <w:tc>
                <w:tcPr>
                  <w:tcW w:w="714" w:type="dxa"/>
                  <w:vMerge w:val="continue"/>
                  <w:tcBorders>
                    <w:tl2br w:val="nil"/>
                    <w:tr2bl w:val="nil"/>
                  </w:tcBorders>
                  <w:vAlign w:val="center"/>
                </w:tcPr>
                <w:p w14:paraId="0EF1D49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882" w:type="dxa"/>
                  <w:vMerge w:val="continue"/>
                  <w:tcBorders>
                    <w:tl2br w:val="nil"/>
                    <w:tr2bl w:val="nil"/>
                  </w:tcBorders>
                  <w:vAlign w:val="center"/>
                </w:tcPr>
                <w:p w14:paraId="1618DF5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r w14:paraId="5D90D7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286" w:type="dxa"/>
                  <w:tcBorders>
                    <w:tl2br w:val="nil"/>
                    <w:tr2bl w:val="nil"/>
                  </w:tcBorders>
                  <w:shd w:val="clear" w:color="auto" w:fill="auto"/>
                  <w:vAlign w:val="center"/>
                </w:tcPr>
                <w:p w14:paraId="0EB4373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1</w:t>
                  </w:r>
                </w:p>
              </w:tc>
              <w:tc>
                <w:tcPr>
                  <w:tcW w:w="561" w:type="dxa"/>
                  <w:tcBorders>
                    <w:tl2br w:val="nil"/>
                    <w:tr2bl w:val="nil"/>
                  </w:tcBorders>
                  <w:shd w:val="clear" w:color="auto" w:fill="auto"/>
                  <w:vAlign w:val="center"/>
                </w:tcPr>
                <w:p w14:paraId="1D8D151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生活污</w:t>
                  </w:r>
                </w:p>
                <w:p w14:paraId="178A0A7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水</w:t>
                  </w:r>
                </w:p>
              </w:tc>
              <w:tc>
                <w:tcPr>
                  <w:tcW w:w="1059" w:type="dxa"/>
                  <w:tcBorders>
                    <w:tl2br w:val="nil"/>
                    <w:tr2bl w:val="nil"/>
                  </w:tcBorders>
                  <w:shd w:val="clear" w:color="auto" w:fill="auto"/>
                  <w:vAlign w:val="center"/>
                </w:tcPr>
                <w:p w14:paraId="0D93A5E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r>
                    <w:rPr>
                      <w:rFonts w:ascii="Times New Roman" w:hAnsi="Times New Roman" w:eastAsia="宋体" w:cs="Times New Roman"/>
                      <w:color w:val="auto"/>
                      <w:sz w:val="21"/>
                      <w:highlight w:val="none"/>
                    </w:rPr>
                    <w:t>、</w:t>
                  </w:r>
                </w:p>
                <w:p w14:paraId="6DFC192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r>
                    <w:rPr>
                      <w:rFonts w:ascii="Times New Roman" w:hAnsi="Times New Roman" w:eastAsia="宋体" w:cs="Times New Roman"/>
                      <w:color w:val="auto"/>
                      <w:sz w:val="21"/>
                      <w:highlight w:val="none"/>
                    </w:rPr>
                    <w:t>、</w:t>
                  </w:r>
                </w:p>
                <w:p w14:paraId="43E5FDF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p w14:paraId="71E5D3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TN</w:t>
                  </w:r>
                </w:p>
              </w:tc>
              <w:tc>
                <w:tcPr>
                  <w:tcW w:w="1703" w:type="dxa"/>
                  <w:vMerge w:val="restart"/>
                  <w:tcBorders>
                    <w:tl2br w:val="nil"/>
                    <w:tr2bl w:val="nil"/>
                  </w:tcBorders>
                  <w:shd w:val="clear" w:color="auto" w:fill="auto"/>
                  <w:vAlign w:val="center"/>
                </w:tcPr>
                <w:p w14:paraId="03A3D78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福清市第二污水处理厂</w:t>
                  </w:r>
                </w:p>
              </w:tc>
              <w:tc>
                <w:tcPr>
                  <w:tcW w:w="412" w:type="dxa"/>
                  <w:tcBorders>
                    <w:tl2br w:val="nil"/>
                    <w:tr2bl w:val="nil"/>
                  </w:tcBorders>
                  <w:shd w:val="clear" w:color="auto" w:fill="auto"/>
                  <w:textDirection w:val="tbRlV"/>
                  <w:vAlign w:val="center"/>
                </w:tcPr>
                <w:p w14:paraId="6248113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间歇</w:t>
                  </w:r>
                </w:p>
              </w:tc>
              <w:tc>
                <w:tcPr>
                  <w:tcW w:w="1443" w:type="dxa"/>
                  <w:tcBorders>
                    <w:tl2br w:val="nil"/>
                    <w:tr2bl w:val="nil"/>
                  </w:tcBorders>
                  <w:shd w:val="clear" w:color="auto" w:fill="auto"/>
                  <w:vAlign w:val="center"/>
                </w:tcPr>
                <w:p w14:paraId="679D864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化粪池</w:t>
                  </w:r>
                </w:p>
              </w:tc>
              <w:tc>
                <w:tcPr>
                  <w:tcW w:w="1298" w:type="dxa"/>
                  <w:tcBorders>
                    <w:tl2br w:val="nil"/>
                    <w:tr2bl w:val="nil"/>
                  </w:tcBorders>
                  <w:shd w:val="clear" w:color="auto" w:fill="auto"/>
                  <w:vAlign w:val="center"/>
                </w:tcPr>
                <w:p w14:paraId="3F592B2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沉淀</w:t>
                  </w:r>
                </w:p>
              </w:tc>
              <w:tc>
                <w:tcPr>
                  <w:tcW w:w="566" w:type="dxa"/>
                  <w:tcBorders>
                    <w:tl2br w:val="nil"/>
                    <w:tr2bl w:val="nil"/>
                  </w:tcBorders>
                  <w:shd w:val="clear" w:color="auto" w:fill="auto"/>
                  <w:vAlign w:val="center"/>
                </w:tcPr>
                <w:p w14:paraId="45BCBA0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是</w:t>
                  </w:r>
                </w:p>
              </w:tc>
              <w:tc>
                <w:tcPr>
                  <w:tcW w:w="714" w:type="dxa"/>
                  <w:tcBorders>
                    <w:tl2br w:val="nil"/>
                    <w:tr2bl w:val="nil"/>
                  </w:tcBorders>
                  <w:shd w:val="clear" w:color="auto" w:fill="auto"/>
                  <w:vAlign w:val="center"/>
                </w:tcPr>
                <w:p w14:paraId="79AA8E9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highlight w:val="none"/>
                      <w:lang w:val="en-US" w:eastAsia="zh-CN"/>
                    </w:rPr>
                    <w:t>DW001</w:t>
                  </w:r>
                </w:p>
              </w:tc>
              <w:tc>
                <w:tcPr>
                  <w:tcW w:w="882" w:type="dxa"/>
                  <w:vMerge w:val="restart"/>
                  <w:tcBorders>
                    <w:tl2br w:val="nil"/>
                    <w:tr2bl w:val="nil"/>
                  </w:tcBorders>
                  <w:vAlign w:val="center"/>
                </w:tcPr>
                <w:p w14:paraId="40D242E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是</w:t>
                  </w:r>
                </w:p>
              </w:tc>
            </w:tr>
            <w:tr w14:paraId="04022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286" w:type="dxa"/>
                  <w:tcBorders>
                    <w:tl2br w:val="nil"/>
                    <w:tr2bl w:val="nil"/>
                  </w:tcBorders>
                  <w:shd w:val="clear" w:color="auto" w:fill="auto"/>
                  <w:vAlign w:val="center"/>
                </w:tcPr>
                <w:p w14:paraId="2C43CC0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2</w:t>
                  </w:r>
                </w:p>
              </w:tc>
              <w:tc>
                <w:tcPr>
                  <w:tcW w:w="561" w:type="dxa"/>
                  <w:tcBorders>
                    <w:tl2br w:val="nil"/>
                    <w:tr2bl w:val="nil"/>
                  </w:tcBorders>
                  <w:shd w:val="clear" w:color="auto" w:fill="auto"/>
                  <w:vAlign w:val="center"/>
                </w:tcPr>
                <w:p w14:paraId="004BB96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生产废</w:t>
                  </w:r>
                </w:p>
                <w:p w14:paraId="05A1825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水</w:t>
                  </w:r>
                </w:p>
              </w:tc>
              <w:tc>
                <w:tcPr>
                  <w:tcW w:w="1059" w:type="dxa"/>
                  <w:tcBorders>
                    <w:tl2br w:val="nil"/>
                    <w:tr2bl w:val="nil"/>
                  </w:tcBorders>
                  <w:shd w:val="clear" w:color="auto" w:fill="auto"/>
                  <w:vAlign w:val="center"/>
                </w:tcPr>
                <w:p w14:paraId="20621CD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p>
                <w:p w14:paraId="21C6018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p w14:paraId="07020AA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p w14:paraId="6153FF4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r>
                    <w:rPr>
                      <w:rFonts w:ascii="Times New Roman" w:hAnsi="Times New Roman" w:eastAsia="宋体" w:cs="Times New Roman"/>
                      <w:color w:val="auto"/>
                      <w:sz w:val="21"/>
                      <w:highlight w:val="none"/>
                    </w:rPr>
                    <w:t>、石</w:t>
                  </w:r>
                </w:p>
                <w:p w14:paraId="12A11E2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油类、</w:t>
                  </w:r>
                </w:p>
                <w:p w14:paraId="4C10AB9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LAS</w:t>
                  </w:r>
                </w:p>
              </w:tc>
              <w:tc>
                <w:tcPr>
                  <w:tcW w:w="1703" w:type="dxa"/>
                  <w:vMerge w:val="continue"/>
                  <w:tcBorders>
                    <w:tl2br w:val="nil"/>
                    <w:tr2bl w:val="nil"/>
                  </w:tcBorders>
                  <w:shd w:val="clear" w:color="auto" w:fill="auto"/>
                  <w:vAlign w:val="center"/>
                </w:tcPr>
                <w:p w14:paraId="24FA98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p>
              </w:tc>
              <w:tc>
                <w:tcPr>
                  <w:tcW w:w="412" w:type="dxa"/>
                  <w:tcBorders>
                    <w:tl2br w:val="nil"/>
                    <w:tr2bl w:val="nil"/>
                  </w:tcBorders>
                  <w:shd w:val="clear" w:color="auto" w:fill="auto"/>
                  <w:vAlign w:val="center"/>
                </w:tcPr>
                <w:p w14:paraId="1D2F8E9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间歇</w:t>
                  </w:r>
                </w:p>
              </w:tc>
              <w:tc>
                <w:tcPr>
                  <w:tcW w:w="1443" w:type="dxa"/>
                  <w:tcBorders>
                    <w:tl2br w:val="nil"/>
                    <w:tr2bl w:val="nil"/>
                  </w:tcBorders>
                  <w:shd w:val="clear" w:color="auto" w:fill="auto"/>
                  <w:vAlign w:val="center"/>
                </w:tcPr>
                <w:p w14:paraId="258475A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eastAsia="zh-CN"/>
                    </w:rPr>
                    <w:t>物化+A/O+沉淀</w:t>
                  </w:r>
                  <w:r>
                    <w:rPr>
                      <w:rFonts w:ascii="Times New Roman" w:hAnsi="Times New Roman" w:eastAsia="宋体" w:cs="Times New Roman"/>
                      <w:color w:val="auto"/>
                      <w:sz w:val="21"/>
                      <w:highlight w:val="none"/>
                    </w:rPr>
                    <w:t>”</w:t>
                  </w:r>
                </w:p>
                <w:p w14:paraId="2A85DDF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处理设施</w:t>
                  </w:r>
                </w:p>
              </w:tc>
              <w:tc>
                <w:tcPr>
                  <w:tcW w:w="1298" w:type="dxa"/>
                  <w:tcBorders>
                    <w:tl2br w:val="nil"/>
                    <w:tr2bl w:val="nil"/>
                  </w:tcBorders>
                  <w:shd w:val="clear" w:color="auto" w:fill="auto"/>
                  <w:vAlign w:val="center"/>
                </w:tcPr>
                <w:p w14:paraId="2E0CD5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highlight w:val="none"/>
                      <w:lang w:eastAsia="zh-CN"/>
                    </w:rPr>
                    <w:t>物化+A/O+沉淀</w:t>
                  </w:r>
                </w:p>
              </w:tc>
              <w:tc>
                <w:tcPr>
                  <w:tcW w:w="566" w:type="dxa"/>
                  <w:tcBorders>
                    <w:tl2br w:val="nil"/>
                    <w:tr2bl w:val="nil"/>
                  </w:tcBorders>
                  <w:shd w:val="clear" w:color="auto" w:fill="auto"/>
                  <w:vAlign w:val="center"/>
                </w:tcPr>
                <w:p w14:paraId="6A6871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是</w:t>
                  </w:r>
                </w:p>
              </w:tc>
              <w:tc>
                <w:tcPr>
                  <w:tcW w:w="714" w:type="dxa"/>
                  <w:tcBorders>
                    <w:tl2br w:val="nil"/>
                    <w:tr2bl w:val="nil"/>
                  </w:tcBorders>
                  <w:shd w:val="clear" w:color="auto" w:fill="auto"/>
                  <w:vAlign w:val="center"/>
                </w:tcPr>
                <w:p w14:paraId="39580C7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DW00</w:t>
                  </w:r>
                  <w:r>
                    <w:rPr>
                      <w:rFonts w:hint="eastAsia" w:ascii="Times New Roman" w:hAnsi="Times New Roman" w:cs="Times New Roman"/>
                      <w:color w:val="auto"/>
                      <w:sz w:val="21"/>
                      <w:highlight w:val="none"/>
                      <w:lang w:val="en-US" w:eastAsia="zh-CN"/>
                    </w:rPr>
                    <w:t>2</w:t>
                  </w:r>
                </w:p>
              </w:tc>
              <w:tc>
                <w:tcPr>
                  <w:tcW w:w="882" w:type="dxa"/>
                  <w:vMerge w:val="continue"/>
                  <w:tcBorders>
                    <w:tl2br w:val="nil"/>
                    <w:tr2bl w:val="nil"/>
                  </w:tcBorders>
                  <w:vAlign w:val="center"/>
                </w:tcPr>
                <w:p w14:paraId="7AD2DD2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bl>
          <w:p w14:paraId="410B66E0">
            <w:pPr>
              <w:rPr>
                <w:rFonts w:hint="eastAsia"/>
                <w:color w:val="auto"/>
                <w:highlight w:val="none"/>
                <w:lang w:val="en-US" w:eastAsia="zh-CN"/>
              </w:rPr>
            </w:pPr>
          </w:p>
          <w:p w14:paraId="52621578">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auto"/>
                <w:highlight w:val="none"/>
                <w:lang w:val="en-US" w:eastAsia="zh-CN"/>
              </w:rPr>
            </w:pPr>
            <w:bookmarkStart w:id="48" w:name="_Ref27296"/>
            <w:r>
              <w:rPr>
                <w:rFonts w:hint="eastAsia" w:ascii="Times New Roman" w:hAnsi="Times New Roman" w:eastAsia="宋体" w:cs="Times New Roman"/>
                <w:color w:val="auto"/>
                <w:highlight w:val="none"/>
                <w:lang w:val="en-US" w:eastAsia="zh-CN"/>
              </w:rPr>
              <w:t>项目废水源核算一览表</w:t>
            </w:r>
            <w:bookmarkEnd w:id="48"/>
          </w:p>
          <w:tbl>
            <w:tblPr>
              <w:tblStyle w:val="34"/>
              <w:tblW w:w="87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78"/>
              <w:gridCol w:w="1182"/>
              <w:gridCol w:w="851"/>
              <w:gridCol w:w="814"/>
              <w:gridCol w:w="619"/>
              <w:gridCol w:w="837"/>
              <w:gridCol w:w="769"/>
              <w:gridCol w:w="392"/>
              <w:gridCol w:w="2157"/>
              <w:gridCol w:w="759"/>
            </w:tblGrid>
            <w:tr w14:paraId="7D8C0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8" w:type="dxa"/>
                  <w:vMerge w:val="restart"/>
                  <w:tcBorders>
                    <w:tl2br w:val="nil"/>
                    <w:tr2bl w:val="nil"/>
                  </w:tcBorders>
                  <w:vAlign w:val="center"/>
                </w:tcPr>
                <w:p w14:paraId="35C97FF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类别</w:t>
                  </w:r>
                </w:p>
              </w:tc>
              <w:tc>
                <w:tcPr>
                  <w:tcW w:w="1182" w:type="dxa"/>
                  <w:vMerge w:val="restart"/>
                  <w:tcBorders>
                    <w:tl2br w:val="nil"/>
                    <w:tr2bl w:val="nil"/>
                  </w:tcBorders>
                  <w:vAlign w:val="center"/>
                </w:tcPr>
                <w:p w14:paraId="483209E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污染物种类</w:t>
                  </w:r>
                </w:p>
              </w:tc>
              <w:tc>
                <w:tcPr>
                  <w:tcW w:w="1665" w:type="dxa"/>
                  <w:gridSpan w:val="2"/>
                  <w:tcBorders>
                    <w:tl2br w:val="nil"/>
                    <w:tr2bl w:val="nil"/>
                  </w:tcBorders>
                  <w:vAlign w:val="center"/>
                </w:tcPr>
                <w:p w14:paraId="7736ABA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污染物产生情况</w:t>
                  </w:r>
                </w:p>
              </w:tc>
              <w:tc>
                <w:tcPr>
                  <w:tcW w:w="619" w:type="dxa"/>
                  <w:vMerge w:val="restart"/>
                  <w:tcBorders>
                    <w:tl2br w:val="nil"/>
                    <w:tr2bl w:val="nil"/>
                  </w:tcBorders>
                  <w:vAlign w:val="center"/>
                </w:tcPr>
                <w:p w14:paraId="22C3929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净化</w:t>
                  </w:r>
                </w:p>
                <w:p w14:paraId="6E5A919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效率</w:t>
                  </w:r>
                </w:p>
              </w:tc>
              <w:tc>
                <w:tcPr>
                  <w:tcW w:w="1606" w:type="dxa"/>
                  <w:gridSpan w:val="2"/>
                  <w:tcBorders>
                    <w:tl2br w:val="nil"/>
                    <w:tr2bl w:val="nil"/>
                  </w:tcBorders>
                  <w:vAlign w:val="center"/>
                </w:tcPr>
                <w:p w14:paraId="244DDDA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污染物排放情况</w:t>
                  </w:r>
                </w:p>
              </w:tc>
              <w:tc>
                <w:tcPr>
                  <w:tcW w:w="392" w:type="dxa"/>
                  <w:vMerge w:val="restart"/>
                  <w:tcBorders>
                    <w:tl2br w:val="nil"/>
                    <w:tr2bl w:val="nil"/>
                  </w:tcBorders>
                  <w:vAlign w:val="center"/>
                </w:tcPr>
                <w:p w14:paraId="67344A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排放方式</w:t>
                  </w:r>
                </w:p>
              </w:tc>
              <w:tc>
                <w:tcPr>
                  <w:tcW w:w="2157" w:type="dxa"/>
                  <w:vMerge w:val="restart"/>
                  <w:tcBorders>
                    <w:tl2br w:val="nil"/>
                    <w:tr2bl w:val="nil"/>
                  </w:tcBorders>
                  <w:vAlign w:val="center"/>
                </w:tcPr>
                <w:p w14:paraId="7AFB80D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排放去向</w:t>
                  </w:r>
                </w:p>
              </w:tc>
              <w:tc>
                <w:tcPr>
                  <w:tcW w:w="759" w:type="dxa"/>
                  <w:vMerge w:val="restart"/>
                  <w:tcBorders>
                    <w:tl2br w:val="nil"/>
                    <w:tr2bl w:val="nil"/>
                  </w:tcBorders>
                  <w:vAlign w:val="center"/>
                </w:tcPr>
                <w:p w14:paraId="6A1A155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排放标准mg/</w:t>
                  </w:r>
                  <w:r>
                    <w:rPr>
                      <w:rFonts w:hint="eastAsia" w:ascii="Times New Roman" w:hAnsi="Times New Roman" w:eastAsia="宋体" w:cs="Times New Roman"/>
                      <w:color w:val="auto"/>
                      <w:sz w:val="21"/>
                      <w:highlight w:val="none"/>
                    </w:rPr>
                    <w:t>L</w:t>
                  </w:r>
                </w:p>
              </w:tc>
            </w:tr>
            <w:tr w14:paraId="694AE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8" w:type="dxa"/>
                  <w:vMerge w:val="continue"/>
                  <w:tcBorders>
                    <w:tl2br w:val="nil"/>
                    <w:tr2bl w:val="nil"/>
                  </w:tcBorders>
                  <w:vAlign w:val="center"/>
                </w:tcPr>
                <w:p w14:paraId="08C5966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vMerge w:val="continue"/>
                  <w:tcBorders>
                    <w:tl2br w:val="nil"/>
                    <w:tr2bl w:val="nil"/>
                  </w:tcBorders>
                  <w:vAlign w:val="center"/>
                </w:tcPr>
                <w:p w14:paraId="739876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851" w:type="dxa"/>
                  <w:tcBorders>
                    <w:tl2br w:val="nil"/>
                    <w:tr2bl w:val="nil"/>
                  </w:tcBorders>
                  <w:vAlign w:val="center"/>
                </w:tcPr>
                <w:p w14:paraId="4410E10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产生浓度mg/</w:t>
                  </w:r>
                  <w:r>
                    <w:rPr>
                      <w:rFonts w:hint="eastAsia" w:ascii="Times New Roman" w:hAnsi="Times New Roman" w:eastAsia="宋体" w:cs="Times New Roman"/>
                      <w:color w:val="auto"/>
                      <w:sz w:val="21"/>
                      <w:highlight w:val="none"/>
                    </w:rPr>
                    <w:t>L</w:t>
                  </w:r>
                </w:p>
              </w:tc>
              <w:tc>
                <w:tcPr>
                  <w:tcW w:w="814" w:type="dxa"/>
                  <w:tcBorders>
                    <w:tl2br w:val="nil"/>
                    <w:tr2bl w:val="nil"/>
                  </w:tcBorders>
                  <w:vAlign w:val="center"/>
                </w:tcPr>
                <w:p w14:paraId="7F90322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产生量t/a</w:t>
                  </w:r>
                </w:p>
              </w:tc>
              <w:tc>
                <w:tcPr>
                  <w:tcW w:w="619" w:type="dxa"/>
                  <w:vMerge w:val="continue"/>
                  <w:tcBorders>
                    <w:tl2br w:val="nil"/>
                    <w:tr2bl w:val="nil"/>
                  </w:tcBorders>
                  <w:vAlign w:val="center"/>
                </w:tcPr>
                <w:p w14:paraId="42DAA14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837" w:type="dxa"/>
                  <w:tcBorders>
                    <w:tl2br w:val="nil"/>
                    <w:tr2bl w:val="nil"/>
                  </w:tcBorders>
                  <w:vAlign w:val="center"/>
                </w:tcPr>
                <w:p w14:paraId="71949B4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排放浓度mg/</w:t>
                  </w:r>
                  <w:r>
                    <w:rPr>
                      <w:rFonts w:hint="eastAsia" w:ascii="Times New Roman" w:hAnsi="Times New Roman" w:eastAsia="宋体" w:cs="Times New Roman"/>
                      <w:color w:val="auto"/>
                      <w:sz w:val="21"/>
                      <w:highlight w:val="none"/>
                    </w:rPr>
                    <w:t>L</w:t>
                  </w:r>
                </w:p>
              </w:tc>
              <w:tc>
                <w:tcPr>
                  <w:tcW w:w="769" w:type="dxa"/>
                  <w:tcBorders>
                    <w:tl2br w:val="nil"/>
                    <w:tr2bl w:val="nil"/>
                  </w:tcBorders>
                  <w:vAlign w:val="center"/>
                </w:tcPr>
                <w:p w14:paraId="5042BB3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排放量t/a</w:t>
                  </w:r>
                </w:p>
              </w:tc>
              <w:tc>
                <w:tcPr>
                  <w:tcW w:w="392" w:type="dxa"/>
                  <w:vMerge w:val="continue"/>
                  <w:tcBorders>
                    <w:tl2br w:val="nil"/>
                    <w:tr2bl w:val="nil"/>
                  </w:tcBorders>
                  <w:vAlign w:val="center"/>
                </w:tcPr>
                <w:p w14:paraId="4E33FF5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4811B8F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vMerge w:val="continue"/>
                  <w:tcBorders>
                    <w:tl2br w:val="nil"/>
                    <w:tr2bl w:val="nil"/>
                  </w:tcBorders>
                  <w:vAlign w:val="center"/>
                </w:tcPr>
                <w:p w14:paraId="0A57210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r w14:paraId="20AC8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restart"/>
                  <w:tcBorders>
                    <w:tl2br w:val="nil"/>
                    <w:tr2bl w:val="nil"/>
                  </w:tcBorders>
                  <w:vAlign w:val="center"/>
                </w:tcPr>
                <w:p w14:paraId="032E674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生活污水</w:t>
                  </w:r>
                </w:p>
              </w:tc>
              <w:tc>
                <w:tcPr>
                  <w:tcW w:w="1182" w:type="dxa"/>
                  <w:tcBorders>
                    <w:tl2br w:val="nil"/>
                    <w:tr2bl w:val="nil"/>
                  </w:tcBorders>
                  <w:vAlign w:val="center"/>
                </w:tcPr>
                <w:p w14:paraId="4E89D9A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851" w:type="dxa"/>
                  <w:tcBorders>
                    <w:tl2br w:val="nil"/>
                    <w:tr2bl w:val="nil"/>
                  </w:tcBorders>
                  <w:vAlign w:val="center"/>
                </w:tcPr>
                <w:p w14:paraId="0BB5B8C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814" w:type="dxa"/>
                  <w:tcBorders>
                    <w:tl2br w:val="nil"/>
                    <w:tr2bl w:val="nil"/>
                  </w:tcBorders>
                  <w:vAlign w:val="center"/>
                </w:tcPr>
                <w:p w14:paraId="7A7413A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360</w:t>
                  </w:r>
                </w:p>
              </w:tc>
              <w:tc>
                <w:tcPr>
                  <w:tcW w:w="619" w:type="dxa"/>
                  <w:tcBorders>
                    <w:tl2br w:val="nil"/>
                    <w:tr2bl w:val="nil"/>
                  </w:tcBorders>
                  <w:shd w:val="clear" w:color="auto" w:fill="auto"/>
                  <w:vAlign w:val="center"/>
                </w:tcPr>
                <w:p w14:paraId="013BE01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837" w:type="dxa"/>
                  <w:tcBorders>
                    <w:tl2br w:val="nil"/>
                    <w:tr2bl w:val="nil"/>
                  </w:tcBorders>
                  <w:vAlign w:val="center"/>
                </w:tcPr>
                <w:p w14:paraId="0E5D37D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769" w:type="dxa"/>
                  <w:tcBorders>
                    <w:tl2br w:val="nil"/>
                    <w:tr2bl w:val="nil"/>
                  </w:tcBorders>
                  <w:vAlign w:val="center"/>
                </w:tcPr>
                <w:p w14:paraId="15C1C38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360</w:t>
                  </w:r>
                </w:p>
              </w:tc>
              <w:tc>
                <w:tcPr>
                  <w:tcW w:w="392" w:type="dxa"/>
                  <w:vMerge w:val="restart"/>
                  <w:tcBorders>
                    <w:tl2br w:val="nil"/>
                    <w:tr2bl w:val="nil"/>
                  </w:tcBorders>
                  <w:vAlign w:val="center"/>
                </w:tcPr>
                <w:p w14:paraId="3223CA4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间接排放</w:t>
                  </w:r>
                </w:p>
              </w:tc>
              <w:tc>
                <w:tcPr>
                  <w:tcW w:w="2157" w:type="dxa"/>
                  <w:vMerge w:val="restart"/>
                  <w:tcBorders>
                    <w:tl2br w:val="nil"/>
                    <w:tr2bl w:val="nil"/>
                  </w:tcBorders>
                  <w:vAlign w:val="center"/>
                </w:tcPr>
                <w:p w14:paraId="0F17E1D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经处理达标后通过厂区污水总排放口排入市政污水管网，送往福清市第二污水处理厂集中处理</w:t>
                  </w:r>
                </w:p>
              </w:tc>
              <w:tc>
                <w:tcPr>
                  <w:tcW w:w="759" w:type="dxa"/>
                  <w:tcBorders>
                    <w:tl2br w:val="nil"/>
                    <w:tr2bl w:val="nil"/>
                  </w:tcBorders>
                  <w:shd w:val="clear" w:color="auto" w:fill="auto"/>
                  <w:vAlign w:val="center"/>
                </w:tcPr>
                <w:p w14:paraId="3D4CFB8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r>
            <w:tr w14:paraId="4F08E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2" w:hRule="exact"/>
                <w:jc w:val="center"/>
              </w:trPr>
              <w:tc>
                <w:tcPr>
                  <w:tcW w:w="378" w:type="dxa"/>
                  <w:vMerge w:val="continue"/>
                  <w:tcBorders>
                    <w:tl2br w:val="nil"/>
                    <w:tr2bl w:val="nil"/>
                  </w:tcBorders>
                  <w:vAlign w:val="center"/>
                </w:tcPr>
                <w:p w14:paraId="34DBED6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009F7FE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s="Times New Roman"/>
                      <w:color w:val="auto"/>
                      <w:sz w:val="21"/>
                      <w:highlight w:val="none"/>
                    </w:rPr>
                    <w:t>无量纲</w:t>
                  </w:r>
                  <w:r>
                    <w:rPr>
                      <w:rFonts w:hint="eastAsia" w:ascii="Times New Roman" w:hAnsi="Times New Roman" w:cs="Times New Roman"/>
                      <w:color w:val="auto"/>
                      <w:sz w:val="21"/>
                      <w:highlight w:val="none"/>
                      <w:lang w:eastAsia="zh-CN"/>
                    </w:rPr>
                    <w:t>）</w:t>
                  </w:r>
                </w:p>
              </w:tc>
              <w:tc>
                <w:tcPr>
                  <w:tcW w:w="851" w:type="dxa"/>
                  <w:tcBorders>
                    <w:tl2br w:val="nil"/>
                    <w:tr2bl w:val="nil"/>
                  </w:tcBorders>
                  <w:vAlign w:val="center"/>
                </w:tcPr>
                <w:p w14:paraId="5CA8697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6~9</w:t>
                  </w:r>
                </w:p>
              </w:tc>
              <w:tc>
                <w:tcPr>
                  <w:tcW w:w="814" w:type="dxa"/>
                  <w:tcBorders>
                    <w:tl2br w:val="nil"/>
                    <w:tr2bl w:val="nil"/>
                  </w:tcBorders>
                  <w:vAlign w:val="center"/>
                </w:tcPr>
                <w:p w14:paraId="0D4C6B8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619" w:type="dxa"/>
                  <w:tcBorders>
                    <w:tl2br w:val="nil"/>
                    <w:tr2bl w:val="nil"/>
                  </w:tcBorders>
                  <w:shd w:val="clear" w:color="auto" w:fill="auto"/>
                  <w:vAlign w:val="center"/>
                </w:tcPr>
                <w:p w14:paraId="165639C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837" w:type="dxa"/>
                  <w:tcBorders>
                    <w:tl2br w:val="nil"/>
                    <w:tr2bl w:val="nil"/>
                  </w:tcBorders>
                  <w:vAlign w:val="center"/>
                </w:tcPr>
                <w:p w14:paraId="795B1C4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6~9</w:t>
                  </w:r>
                </w:p>
              </w:tc>
              <w:tc>
                <w:tcPr>
                  <w:tcW w:w="769" w:type="dxa"/>
                  <w:tcBorders>
                    <w:tl2br w:val="nil"/>
                    <w:tr2bl w:val="nil"/>
                  </w:tcBorders>
                  <w:vAlign w:val="center"/>
                </w:tcPr>
                <w:p w14:paraId="65E29E0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392" w:type="dxa"/>
                  <w:vMerge w:val="continue"/>
                  <w:tcBorders>
                    <w:tl2br w:val="nil"/>
                    <w:tr2bl w:val="nil"/>
                  </w:tcBorders>
                  <w:vAlign w:val="center"/>
                </w:tcPr>
                <w:p w14:paraId="2AAD74F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02F1F18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31EABAA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r>
            <w:tr w14:paraId="12C91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768B540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2E9F72F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CODcr</w:t>
                  </w:r>
                </w:p>
              </w:tc>
              <w:tc>
                <w:tcPr>
                  <w:tcW w:w="851" w:type="dxa"/>
                  <w:tcBorders>
                    <w:tl2br w:val="nil"/>
                    <w:tr2bl w:val="nil"/>
                  </w:tcBorders>
                  <w:vAlign w:val="center"/>
                </w:tcPr>
                <w:p w14:paraId="0A43ABC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300</w:t>
                  </w:r>
                </w:p>
              </w:tc>
              <w:tc>
                <w:tcPr>
                  <w:tcW w:w="814" w:type="dxa"/>
                  <w:tcBorders>
                    <w:tl2br w:val="nil"/>
                    <w:tr2bl w:val="nil"/>
                  </w:tcBorders>
                  <w:vAlign w:val="center"/>
                </w:tcPr>
                <w:p w14:paraId="52C5D1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0.108</w:t>
                  </w:r>
                </w:p>
              </w:tc>
              <w:tc>
                <w:tcPr>
                  <w:tcW w:w="619" w:type="dxa"/>
                  <w:tcBorders>
                    <w:tl2br w:val="nil"/>
                    <w:tr2bl w:val="nil"/>
                  </w:tcBorders>
                  <w:shd w:val="clear" w:color="auto" w:fill="auto"/>
                  <w:vAlign w:val="center"/>
                </w:tcPr>
                <w:p w14:paraId="38DD2F2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6.7%</w:t>
                  </w:r>
                </w:p>
              </w:tc>
              <w:tc>
                <w:tcPr>
                  <w:tcW w:w="837" w:type="dxa"/>
                  <w:tcBorders>
                    <w:tl2br w:val="nil"/>
                    <w:tr2bl w:val="nil"/>
                  </w:tcBorders>
                  <w:vAlign w:val="center"/>
                </w:tcPr>
                <w:p w14:paraId="163B76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280</w:t>
                  </w:r>
                </w:p>
              </w:tc>
              <w:tc>
                <w:tcPr>
                  <w:tcW w:w="769" w:type="dxa"/>
                  <w:tcBorders>
                    <w:tl2br w:val="nil"/>
                    <w:tr2bl w:val="nil"/>
                  </w:tcBorders>
                  <w:vAlign w:val="center"/>
                </w:tcPr>
                <w:p w14:paraId="6C6483F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0.1</w:t>
                  </w:r>
                  <w:r>
                    <w:rPr>
                      <w:rFonts w:hint="eastAsia" w:ascii="Times New Roman" w:hAnsi="Times New Roman" w:cs="Times New Roman"/>
                      <w:color w:val="auto"/>
                      <w:sz w:val="21"/>
                      <w:highlight w:val="none"/>
                      <w:lang w:val="en-US" w:eastAsia="zh-CN"/>
                    </w:rPr>
                    <w:t>008</w:t>
                  </w:r>
                </w:p>
              </w:tc>
              <w:tc>
                <w:tcPr>
                  <w:tcW w:w="392" w:type="dxa"/>
                  <w:vMerge w:val="continue"/>
                  <w:tcBorders>
                    <w:tl2br w:val="nil"/>
                    <w:tr2bl w:val="nil"/>
                  </w:tcBorders>
                  <w:vAlign w:val="center"/>
                </w:tcPr>
                <w:p w14:paraId="19B058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68DD66B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59A853E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500</w:t>
                  </w:r>
                </w:p>
              </w:tc>
            </w:tr>
            <w:tr w14:paraId="3081A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037D535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5B3985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851" w:type="dxa"/>
                  <w:tcBorders>
                    <w:tl2br w:val="nil"/>
                    <w:tr2bl w:val="nil"/>
                  </w:tcBorders>
                  <w:vAlign w:val="center"/>
                </w:tcPr>
                <w:p w14:paraId="713AA74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150</w:t>
                  </w:r>
                </w:p>
              </w:tc>
              <w:tc>
                <w:tcPr>
                  <w:tcW w:w="814" w:type="dxa"/>
                  <w:tcBorders>
                    <w:tl2br w:val="nil"/>
                    <w:tr2bl w:val="nil"/>
                  </w:tcBorders>
                  <w:vAlign w:val="center"/>
                </w:tcPr>
                <w:p w14:paraId="2170BF0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0.054</w:t>
                  </w:r>
                </w:p>
              </w:tc>
              <w:tc>
                <w:tcPr>
                  <w:tcW w:w="619" w:type="dxa"/>
                  <w:tcBorders>
                    <w:tl2br w:val="nil"/>
                    <w:tr2bl w:val="nil"/>
                  </w:tcBorders>
                  <w:shd w:val="clear" w:color="auto" w:fill="auto"/>
                  <w:vAlign w:val="center"/>
                </w:tcPr>
                <w:p w14:paraId="236F86A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6.7%</w:t>
                  </w:r>
                </w:p>
              </w:tc>
              <w:tc>
                <w:tcPr>
                  <w:tcW w:w="837" w:type="dxa"/>
                  <w:tcBorders>
                    <w:tl2br w:val="nil"/>
                    <w:tr2bl w:val="nil"/>
                  </w:tcBorders>
                  <w:vAlign w:val="center"/>
                </w:tcPr>
                <w:p w14:paraId="17A1A93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140</w:t>
                  </w:r>
                </w:p>
              </w:tc>
              <w:tc>
                <w:tcPr>
                  <w:tcW w:w="769" w:type="dxa"/>
                  <w:tcBorders>
                    <w:tl2br w:val="nil"/>
                    <w:tr2bl w:val="nil"/>
                  </w:tcBorders>
                  <w:vAlign w:val="center"/>
                </w:tcPr>
                <w:p w14:paraId="6A0A4C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0.0504</w:t>
                  </w:r>
                </w:p>
              </w:tc>
              <w:tc>
                <w:tcPr>
                  <w:tcW w:w="392" w:type="dxa"/>
                  <w:vMerge w:val="continue"/>
                  <w:tcBorders>
                    <w:tl2br w:val="nil"/>
                    <w:tr2bl w:val="nil"/>
                  </w:tcBorders>
                  <w:vAlign w:val="center"/>
                </w:tcPr>
                <w:p w14:paraId="7C77534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518EEF1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496B80F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300</w:t>
                  </w:r>
                </w:p>
              </w:tc>
            </w:tr>
            <w:tr w14:paraId="48A5D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37389C4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16CB0BB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851" w:type="dxa"/>
                  <w:tcBorders>
                    <w:tl2br w:val="nil"/>
                    <w:tr2bl w:val="nil"/>
                  </w:tcBorders>
                  <w:vAlign w:val="center"/>
                </w:tcPr>
                <w:p w14:paraId="6444A48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25</w:t>
                  </w:r>
                </w:p>
              </w:tc>
              <w:tc>
                <w:tcPr>
                  <w:tcW w:w="814" w:type="dxa"/>
                  <w:tcBorders>
                    <w:tl2br w:val="nil"/>
                    <w:tr2bl w:val="nil"/>
                  </w:tcBorders>
                  <w:vAlign w:val="center"/>
                </w:tcPr>
                <w:p w14:paraId="5DB9340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0.009</w:t>
                  </w:r>
                </w:p>
              </w:tc>
              <w:tc>
                <w:tcPr>
                  <w:tcW w:w="619" w:type="dxa"/>
                  <w:tcBorders>
                    <w:tl2br w:val="nil"/>
                    <w:tr2bl w:val="nil"/>
                  </w:tcBorders>
                  <w:shd w:val="clear" w:color="auto" w:fill="auto"/>
                  <w:vAlign w:val="center"/>
                </w:tcPr>
                <w:p w14:paraId="66C8355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w:t>
                  </w:r>
                </w:p>
              </w:tc>
              <w:tc>
                <w:tcPr>
                  <w:tcW w:w="837" w:type="dxa"/>
                  <w:tcBorders>
                    <w:tl2br w:val="nil"/>
                    <w:tr2bl w:val="nil"/>
                  </w:tcBorders>
                  <w:vAlign w:val="center"/>
                </w:tcPr>
                <w:p w14:paraId="2C6E54B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24</w:t>
                  </w:r>
                </w:p>
              </w:tc>
              <w:tc>
                <w:tcPr>
                  <w:tcW w:w="769" w:type="dxa"/>
                  <w:tcBorders>
                    <w:tl2br w:val="nil"/>
                    <w:tr2bl w:val="nil"/>
                  </w:tcBorders>
                  <w:vAlign w:val="center"/>
                </w:tcPr>
                <w:p w14:paraId="7F92A1D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0.00864</w:t>
                  </w:r>
                </w:p>
              </w:tc>
              <w:tc>
                <w:tcPr>
                  <w:tcW w:w="392" w:type="dxa"/>
                  <w:vMerge w:val="continue"/>
                  <w:tcBorders>
                    <w:tl2br w:val="nil"/>
                    <w:tr2bl w:val="nil"/>
                  </w:tcBorders>
                  <w:vAlign w:val="center"/>
                </w:tcPr>
                <w:p w14:paraId="18F891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546E7D8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4B2AA6D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45</w:t>
                  </w:r>
                </w:p>
              </w:tc>
            </w:tr>
            <w:tr w14:paraId="059D3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7F0974F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1FDA07C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851" w:type="dxa"/>
                  <w:tcBorders>
                    <w:tl2br w:val="nil"/>
                    <w:tr2bl w:val="nil"/>
                  </w:tcBorders>
                  <w:vAlign w:val="center"/>
                </w:tcPr>
                <w:p w14:paraId="6E2A55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200</w:t>
                  </w:r>
                </w:p>
              </w:tc>
              <w:tc>
                <w:tcPr>
                  <w:tcW w:w="814" w:type="dxa"/>
                  <w:tcBorders>
                    <w:tl2br w:val="nil"/>
                    <w:tr2bl w:val="nil"/>
                  </w:tcBorders>
                  <w:vAlign w:val="center"/>
                </w:tcPr>
                <w:p w14:paraId="60D69D9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0.072</w:t>
                  </w:r>
                </w:p>
              </w:tc>
              <w:tc>
                <w:tcPr>
                  <w:tcW w:w="619" w:type="dxa"/>
                  <w:tcBorders>
                    <w:tl2br w:val="nil"/>
                    <w:tr2bl w:val="nil"/>
                  </w:tcBorders>
                  <w:shd w:val="clear" w:color="auto" w:fill="auto"/>
                  <w:vAlign w:val="center"/>
                </w:tcPr>
                <w:p w14:paraId="78CB7F6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25%</w:t>
                  </w:r>
                </w:p>
              </w:tc>
              <w:tc>
                <w:tcPr>
                  <w:tcW w:w="837" w:type="dxa"/>
                  <w:tcBorders>
                    <w:tl2br w:val="nil"/>
                    <w:tr2bl w:val="nil"/>
                  </w:tcBorders>
                  <w:vAlign w:val="center"/>
                </w:tcPr>
                <w:p w14:paraId="1EEE4F6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150</w:t>
                  </w:r>
                </w:p>
              </w:tc>
              <w:tc>
                <w:tcPr>
                  <w:tcW w:w="769" w:type="dxa"/>
                  <w:tcBorders>
                    <w:tl2br w:val="nil"/>
                    <w:tr2bl w:val="nil"/>
                  </w:tcBorders>
                  <w:vAlign w:val="center"/>
                </w:tcPr>
                <w:p w14:paraId="435550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0.054</w:t>
                  </w:r>
                </w:p>
              </w:tc>
              <w:tc>
                <w:tcPr>
                  <w:tcW w:w="392" w:type="dxa"/>
                  <w:vMerge w:val="continue"/>
                  <w:tcBorders>
                    <w:tl2br w:val="nil"/>
                    <w:tr2bl w:val="nil"/>
                  </w:tcBorders>
                  <w:vAlign w:val="center"/>
                </w:tcPr>
                <w:p w14:paraId="3DA49AD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4B6EBD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4431696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400</w:t>
                  </w:r>
                </w:p>
              </w:tc>
            </w:tr>
            <w:tr w14:paraId="18ED7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0E3AFE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vAlign w:val="center"/>
                </w:tcPr>
                <w:p w14:paraId="10DB10F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TN</w:t>
                  </w:r>
                </w:p>
              </w:tc>
              <w:tc>
                <w:tcPr>
                  <w:tcW w:w="851" w:type="dxa"/>
                  <w:tcBorders>
                    <w:tl2br w:val="nil"/>
                    <w:tr2bl w:val="nil"/>
                  </w:tcBorders>
                  <w:shd w:val="clear" w:color="auto" w:fill="auto"/>
                  <w:vAlign w:val="center"/>
                </w:tcPr>
                <w:p w14:paraId="4336BF4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w:t>
                  </w:r>
                </w:p>
              </w:tc>
              <w:tc>
                <w:tcPr>
                  <w:tcW w:w="814" w:type="dxa"/>
                  <w:tcBorders>
                    <w:tl2br w:val="nil"/>
                    <w:tr2bl w:val="nil"/>
                  </w:tcBorders>
                  <w:shd w:val="clear" w:color="auto" w:fill="auto"/>
                  <w:vAlign w:val="center"/>
                </w:tcPr>
                <w:p w14:paraId="69BFB5B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0.0144</w:t>
                  </w:r>
                </w:p>
              </w:tc>
              <w:tc>
                <w:tcPr>
                  <w:tcW w:w="619" w:type="dxa"/>
                  <w:tcBorders>
                    <w:tl2br w:val="nil"/>
                    <w:tr2bl w:val="nil"/>
                  </w:tcBorders>
                  <w:shd w:val="clear" w:color="auto" w:fill="auto"/>
                  <w:vAlign w:val="center"/>
                </w:tcPr>
                <w:p w14:paraId="7948F68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12.5%</w:t>
                  </w:r>
                </w:p>
              </w:tc>
              <w:tc>
                <w:tcPr>
                  <w:tcW w:w="837" w:type="dxa"/>
                  <w:tcBorders>
                    <w:tl2br w:val="nil"/>
                    <w:tr2bl w:val="nil"/>
                  </w:tcBorders>
                  <w:shd w:val="clear" w:color="auto" w:fill="auto"/>
                  <w:vAlign w:val="center"/>
                </w:tcPr>
                <w:p w14:paraId="03D2A03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35</w:t>
                  </w:r>
                </w:p>
              </w:tc>
              <w:tc>
                <w:tcPr>
                  <w:tcW w:w="769" w:type="dxa"/>
                  <w:tcBorders>
                    <w:tl2br w:val="nil"/>
                    <w:tr2bl w:val="nil"/>
                  </w:tcBorders>
                  <w:shd w:val="clear" w:color="auto" w:fill="auto"/>
                  <w:vAlign w:val="center"/>
                </w:tcPr>
                <w:p w14:paraId="0B18C9A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0.0126</w:t>
                  </w:r>
                </w:p>
              </w:tc>
              <w:tc>
                <w:tcPr>
                  <w:tcW w:w="392" w:type="dxa"/>
                  <w:vMerge w:val="continue"/>
                  <w:tcBorders>
                    <w:tl2br w:val="nil"/>
                    <w:tr2bl w:val="nil"/>
                  </w:tcBorders>
                  <w:vAlign w:val="center"/>
                </w:tcPr>
                <w:p w14:paraId="6CAEC0E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2A14F4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325765E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40</w:t>
                  </w:r>
                </w:p>
              </w:tc>
            </w:tr>
            <w:tr w14:paraId="1B2D1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2" w:hRule="exact"/>
                <w:jc w:val="center"/>
              </w:trPr>
              <w:tc>
                <w:tcPr>
                  <w:tcW w:w="378" w:type="dxa"/>
                  <w:vMerge w:val="restart"/>
                  <w:tcBorders>
                    <w:tl2br w:val="nil"/>
                    <w:tr2bl w:val="nil"/>
                  </w:tcBorders>
                  <w:vAlign w:val="center"/>
                </w:tcPr>
                <w:p w14:paraId="369491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生产废水</w:t>
                  </w:r>
                </w:p>
              </w:tc>
              <w:tc>
                <w:tcPr>
                  <w:tcW w:w="1182" w:type="dxa"/>
                  <w:tcBorders>
                    <w:tl2br w:val="nil"/>
                    <w:tr2bl w:val="nil"/>
                  </w:tcBorders>
                  <w:shd w:val="clear" w:color="auto" w:fill="auto"/>
                  <w:vAlign w:val="center"/>
                </w:tcPr>
                <w:p w14:paraId="0B8FF4A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废水量</w:t>
                  </w:r>
                </w:p>
              </w:tc>
              <w:tc>
                <w:tcPr>
                  <w:tcW w:w="851" w:type="dxa"/>
                  <w:tcBorders>
                    <w:tl2br w:val="nil"/>
                    <w:tr2bl w:val="nil"/>
                  </w:tcBorders>
                  <w:shd w:val="clear" w:color="auto" w:fill="auto"/>
                  <w:vAlign w:val="center"/>
                </w:tcPr>
                <w:p w14:paraId="6483D8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814" w:type="dxa"/>
                  <w:tcBorders>
                    <w:tl2br w:val="nil"/>
                    <w:tr2bl w:val="nil"/>
                  </w:tcBorders>
                  <w:shd w:val="clear" w:color="auto" w:fill="auto"/>
                  <w:vAlign w:val="center"/>
                </w:tcPr>
                <w:p w14:paraId="6387340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780</w:t>
                  </w:r>
                </w:p>
              </w:tc>
              <w:tc>
                <w:tcPr>
                  <w:tcW w:w="619" w:type="dxa"/>
                  <w:tcBorders>
                    <w:tl2br w:val="nil"/>
                    <w:tr2bl w:val="nil"/>
                  </w:tcBorders>
                  <w:shd w:val="clear" w:color="auto" w:fill="auto"/>
                  <w:vAlign w:val="center"/>
                </w:tcPr>
                <w:p w14:paraId="2F94860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837" w:type="dxa"/>
                  <w:tcBorders>
                    <w:tl2br w:val="nil"/>
                    <w:tr2bl w:val="nil"/>
                  </w:tcBorders>
                  <w:shd w:val="clear" w:color="auto" w:fill="auto"/>
                  <w:vAlign w:val="center"/>
                </w:tcPr>
                <w:p w14:paraId="17E0229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769" w:type="dxa"/>
                  <w:tcBorders>
                    <w:tl2br w:val="nil"/>
                    <w:tr2bl w:val="nil"/>
                  </w:tcBorders>
                  <w:shd w:val="clear" w:color="auto" w:fill="auto"/>
                  <w:vAlign w:val="center"/>
                </w:tcPr>
                <w:p w14:paraId="1F1D642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780</w:t>
                  </w:r>
                </w:p>
              </w:tc>
              <w:tc>
                <w:tcPr>
                  <w:tcW w:w="392" w:type="dxa"/>
                  <w:vMerge w:val="continue"/>
                  <w:tcBorders>
                    <w:tl2br w:val="nil"/>
                    <w:tr2bl w:val="nil"/>
                  </w:tcBorders>
                  <w:vAlign w:val="center"/>
                </w:tcPr>
                <w:p w14:paraId="2DAE8A1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39BBCC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1107343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r>
            <w:tr w14:paraId="74D1E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11" w:hRule="exact"/>
                <w:jc w:val="center"/>
              </w:trPr>
              <w:tc>
                <w:tcPr>
                  <w:tcW w:w="378" w:type="dxa"/>
                  <w:vMerge w:val="continue"/>
                  <w:tcBorders>
                    <w:tl2br w:val="nil"/>
                    <w:tr2bl w:val="nil"/>
                  </w:tcBorders>
                  <w:vAlign w:val="center"/>
                </w:tcPr>
                <w:p w14:paraId="4925F04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561417C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s="Times New Roman"/>
                      <w:color w:val="auto"/>
                      <w:sz w:val="21"/>
                      <w:highlight w:val="none"/>
                    </w:rPr>
                    <w:t>无量纲</w:t>
                  </w:r>
                  <w:r>
                    <w:rPr>
                      <w:rFonts w:hint="eastAsia" w:ascii="Times New Roman" w:hAnsi="Times New Roman" w:cs="Times New Roman"/>
                      <w:color w:val="auto"/>
                      <w:sz w:val="21"/>
                      <w:highlight w:val="none"/>
                      <w:lang w:eastAsia="zh-CN"/>
                    </w:rPr>
                    <w:t>）</w:t>
                  </w:r>
                </w:p>
              </w:tc>
              <w:tc>
                <w:tcPr>
                  <w:tcW w:w="851" w:type="dxa"/>
                  <w:tcBorders>
                    <w:tl2br w:val="nil"/>
                    <w:tr2bl w:val="nil"/>
                  </w:tcBorders>
                  <w:shd w:val="clear" w:color="auto" w:fill="auto"/>
                  <w:vAlign w:val="center"/>
                </w:tcPr>
                <w:p w14:paraId="733B1D0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c>
                <w:tcPr>
                  <w:tcW w:w="814" w:type="dxa"/>
                  <w:tcBorders>
                    <w:tl2br w:val="nil"/>
                    <w:tr2bl w:val="nil"/>
                  </w:tcBorders>
                  <w:shd w:val="clear" w:color="auto" w:fill="auto"/>
                  <w:vAlign w:val="center"/>
                </w:tcPr>
                <w:p w14:paraId="20108A3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619" w:type="dxa"/>
                  <w:tcBorders>
                    <w:tl2br w:val="nil"/>
                    <w:tr2bl w:val="nil"/>
                  </w:tcBorders>
                  <w:shd w:val="clear" w:color="auto" w:fill="auto"/>
                  <w:vAlign w:val="center"/>
                </w:tcPr>
                <w:p w14:paraId="0770E48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837" w:type="dxa"/>
                  <w:tcBorders>
                    <w:tl2br w:val="nil"/>
                    <w:tr2bl w:val="nil"/>
                  </w:tcBorders>
                  <w:shd w:val="clear" w:color="auto" w:fill="auto"/>
                  <w:vAlign w:val="center"/>
                </w:tcPr>
                <w:p w14:paraId="0BED9A4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c>
                <w:tcPr>
                  <w:tcW w:w="769" w:type="dxa"/>
                  <w:tcBorders>
                    <w:tl2br w:val="nil"/>
                    <w:tr2bl w:val="nil"/>
                  </w:tcBorders>
                  <w:shd w:val="clear" w:color="auto" w:fill="auto"/>
                  <w:vAlign w:val="center"/>
                </w:tcPr>
                <w:p w14:paraId="6710A94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392" w:type="dxa"/>
                  <w:vMerge w:val="continue"/>
                  <w:tcBorders>
                    <w:tl2br w:val="nil"/>
                    <w:tr2bl w:val="nil"/>
                  </w:tcBorders>
                  <w:vAlign w:val="center"/>
                </w:tcPr>
                <w:p w14:paraId="76B587A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5AFFBC4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64F663B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r>
            <w:tr w14:paraId="4117E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0B1F528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7737003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CODcr</w:t>
                  </w:r>
                </w:p>
              </w:tc>
              <w:tc>
                <w:tcPr>
                  <w:tcW w:w="851" w:type="dxa"/>
                  <w:tcBorders>
                    <w:tl2br w:val="nil"/>
                    <w:tr2bl w:val="nil"/>
                  </w:tcBorders>
                  <w:shd w:val="clear" w:color="auto" w:fill="auto"/>
                  <w:vAlign w:val="center"/>
                </w:tcPr>
                <w:p w14:paraId="3ECF881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857.84</w:t>
                  </w:r>
                </w:p>
              </w:tc>
              <w:tc>
                <w:tcPr>
                  <w:tcW w:w="814" w:type="dxa"/>
                  <w:tcBorders>
                    <w:tl2br w:val="nil"/>
                    <w:tr2bl w:val="nil"/>
                  </w:tcBorders>
                  <w:shd w:val="clear" w:color="auto" w:fill="auto"/>
                  <w:vAlign w:val="center"/>
                </w:tcPr>
                <w:p w14:paraId="0E6F3D5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0.6691</w:t>
                  </w:r>
                </w:p>
              </w:tc>
              <w:tc>
                <w:tcPr>
                  <w:tcW w:w="619" w:type="dxa"/>
                  <w:tcBorders>
                    <w:tl2br w:val="nil"/>
                    <w:tr2bl w:val="nil"/>
                  </w:tcBorders>
                  <w:shd w:val="clear" w:color="auto" w:fill="auto"/>
                  <w:vAlign w:val="center"/>
                </w:tcPr>
                <w:p w14:paraId="0838362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65%</w:t>
                  </w:r>
                </w:p>
              </w:tc>
              <w:tc>
                <w:tcPr>
                  <w:tcW w:w="837" w:type="dxa"/>
                  <w:tcBorders>
                    <w:tl2br w:val="nil"/>
                    <w:tr2bl w:val="nil"/>
                  </w:tcBorders>
                  <w:shd w:val="clear" w:color="auto" w:fill="auto"/>
                  <w:vAlign w:val="center"/>
                </w:tcPr>
                <w:p w14:paraId="35B897F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300.2</w:t>
                  </w:r>
                </w:p>
              </w:tc>
              <w:tc>
                <w:tcPr>
                  <w:tcW w:w="769" w:type="dxa"/>
                  <w:tcBorders>
                    <w:tl2br w:val="nil"/>
                    <w:tr2bl w:val="nil"/>
                  </w:tcBorders>
                  <w:shd w:val="clear" w:color="auto" w:fill="auto"/>
                  <w:vAlign w:val="center"/>
                </w:tcPr>
                <w:p w14:paraId="665E46C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0.2342</w:t>
                  </w:r>
                </w:p>
              </w:tc>
              <w:tc>
                <w:tcPr>
                  <w:tcW w:w="392" w:type="dxa"/>
                  <w:vMerge w:val="continue"/>
                  <w:tcBorders>
                    <w:tl2br w:val="nil"/>
                    <w:tr2bl w:val="nil"/>
                  </w:tcBorders>
                  <w:vAlign w:val="center"/>
                </w:tcPr>
                <w:p w14:paraId="3762DB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14CB940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34C85FE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500</w:t>
                  </w:r>
                </w:p>
              </w:tc>
            </w:tr>
            <w:tr w14:paraId="7D7FB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3A09C3F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33B77E9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851" w:type="dxa"/>
                  <w:tcBorders>
                    <w:tl2br w:val="nil"/>
                    <w:tr2bl w:val="nil"/>
                  </w:tcBorders>
                  <w:shd w:val="clear" w:color="auto" w:fill="auto"/>
                  <w:vAlign w:val="center"/>
                </w:tcPr>
                <w:p w14:paraId="76368B3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334.11</w:t>
                  </w:r>
                </w:p>
              </w:tc>
              <w:tc>
                <w:tcPr>
                  <w:tcW w:w="814" w:type="dxa"/>
                  <w:tcBorders>
                    <w:tl2br w:val="nil"/>
                    <w:tr2bl w:val="nil"/>
                  </w:tcBorders>
                  <w:shd w:val="clear" w:color="auto" w:fill="auto"/>
                  <w:vAlign w:val="center"/>
                </w:tcPr>
                <w:p w14:paraId="2539DCC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0.2606</w:t>
                  </w:r>
                </w:p>
              </w:tc>
              <w:tc>
                <w:tcPr>
                  <w:tcW w:w="619" w:type="dxa"/>
                  <w:tcBorders>
                    <w:tl2br w:val="nil"/>
                    <w:tr2bl w:val="nil"/>
                  </w:tcBorders>
                  <w:shd w:val="clear" w:color="auto" w:fill="auto"/>
                  <w:vAlign w:val="center"/>
                </w:tcPr>
                <w:p w14:paraId="02244EF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65%</w:t>
                  </w:r>
                </w:p>
              </w:tc>
              <w:tc>
                <w:tcPr>
                  <w:tcW w:w="837" w:type="dxa"/>
                  <w:tcBorders>
                    <w:tl2br w:val="nil"/>
                    <w:tr2bl w:val="nil"/>
                  </w:tcBorders>
                  <w:shd w:val="clear" w:color="auto" w:fill="auto"/>
                  <w:vAlign w:val="center"/>
                </w:tcPr>
                <w:p w14:paraId="4025731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116.9</w:t>
                  </w:r>
                </w:p>
              </w:tc>
              <w:tc>
                <w:tcPr>
                  <w:tcW w:w="769" w:type="dxa"/>
                  <w:tcBorders>
                    <w:tl2br w:val="nil"/>
                    <w:tr2bl w:val="nil"/>
                  </w:tcBorders>
                  <w:shd w:val="clear" w:color="auto" w:fill="auto"/>
                  <w:vAlign w:val="center"/>
                </w:tcPr>
                <w:p w14:paraId="7976C62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0.0912</w:t>
                  </w:r>
                </w:p>
              </w:tc>
              <w:tc>
                <w:tcPr>
                  <w:tcW w:w="392" w:type="dxa"/>
                  <w:vMerge w:val="continue"/>
                  <w:tcBorders>
                    <w:tl2br w:val="nil"/>
                    <w:tr2bl w:val="nil"/>
                  </w:tcBorders>
                  <w:vAlign w:val="center"/>
                </w:tcPr>
                <w:p w14:paraId="5F916E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1E0CE67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179695C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300</w:t>
                  </w:r>
                </w:p>
              </w:tc>
            </w:tr>
            <w:tr w14:paraId="5F606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0E68B8E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17E5ED1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SS</w:t>
                  </w:r>
                </w:p>
              </w:tc>
              <w:tc>
                <w:tcPr>
                  <w:tcW w:w="851" w:type="dxa"/>
                  <w:tcBorders>
                    <w:tl2br w:val="nil"/>
                    <w:tr2bl w:val="nil"/>
                  </w:tcBorders>
                  <w:shd w:val="clear" w:color="auto" w:fill="auto"/>
                  <w:vAlign w:val="center"/>
                </w:tcPr>
                <w:p w14:paraId="0E39C40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509.41</w:t>
                  </w:r>
                </w:p>
              </w:tc>
              <w:tc>
                <w:tcPr>
                  <w:tcW w:w="814" w:type="dxa"/>
                  <w:tcBorders>
                    <w:tl2br w:val="nil"/>
                    <w:tr2bl w:val="nil"/>
                  </w:tcBorders>
                  <w:shd w:val="clear" w:color="auto" w:fill="auto"/>
                  <w:vAlign w:val="center"/>
                </w:tcPr>
                <w:p w14:paraId="52489EE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0.3973</w:t>
                  </w:r>
                </w:p>
              </w:tc>
              <w:tc>
                <w:tcPr>
                  <w:tcW w:w="619" w:type="dxa"/>
                  <w:tcBorders>
                    <w:tl2br w:val="nil"/>
                    <w:tr2bl w:val="nil"/>
                  </w:tcBorders>
                  <w:shd w:val="clear" w:color="auto" w:fill="auto"/>
                  <w:vAlign w:val="center"/>
                </w:tcPr>
                <w:p w14:paraId="6CF5BB7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60%</w:t>
                  </w:r>
                </w:p>
              </w:tc>
              <w:tc>
                <w:tcPr>
                  <w:tcW w:w="837" w:type="dxa"/>
                  <w:tcBorders>
                    <w:tl2br w:val="nil"/>
                    <w:tr2bl w:val="nil"/>
                  </w:tcBorders>
                  <w:shd w:val="clear" w:color="auto" w:fill="auto"/>
                  <w:vAlign w:val="center"/>
                </w:tcPr>
                <w:p w14:paraId="5C817C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203.7</w:t>
                  </w:r>
                </w:p>
              </w:tc>
              <w:tc>
                <w:tcPr>
                  <w:tcW w:w="769" w:type="dxa"/>
                  <w:tcBorders>
                    <w:tl2br w:val="nil"/>
                    <w:tr2bl w:val="nil"/>
                  </w:tcBorders>
                  <w:shd w:val="clear" w:color="auto" w:fill="auto"/>
                  <w:vAlign w:val="center"/>
                </w:tcPr>
                <w:p w14:paraId="592429D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0.1589</w:t>
                  </w:r>
                </w:p>
              </w:tc>
              <w:tc>
                <w:tcPr>
                  <w:tcW w:w="392" w:type="dxa"/>
                  <w:vMerge w:val="continue"/>
                  <w:tcBorders>
                    <w:tl2br w:val="nil"/>
                    <w:tr2bl w:val="nil"/>
                  </w:tcBorders>
                  <w:vAlign w:val="center"/>
                </w:tcPr>
                <w:p w14:paraId="1034C16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1530347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44B399C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400</w:t>
                  </w:r>
                </w:p>
              </w:tc>
            </w:tr>
            <w:tr w14:paraId="00777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46195D6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6BEDA33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石油类</w:t>
                  </w:r>
                </w:p>
              </w:tc>
              <w:tc>
                <w:tcPr>
                  <w:tcW w:w="851" w:type="dxa"/>
                  <w:tcBorders>
                    <w:tl2br w:val="nil"/>
                    <w:tr2bl w:val="nil"/>
                  </w:tcBorders>
                  <w:shd w:val="clear" w:color="auto" w:fill="auto"/>
                  <w:vAlign w:val="center"/>
                </w:tcPr>
                <w:p w14:paraId="6058281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75.29</w:t>
                  </w:r>
                </w:p>
              </w:tc>
              <w:tc>
                <w:tcPr>
                  <w:tcW w:w="814" w:type="dxa"/>
                  <w:tcBorders>
                    <w:tl2br w:val="nil"/>
                    <w:tr2bl w:val="nil"/>
                  </w:tcBorders>
                  <w:shd w:val="clear" w:color="auto" w:fill="auto"/>
                  <w:vAlign w:val="center"/>
                </w:tcPr>
                <w:p w14:paraId="05E6490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0.0587</w:t>
                  </w:r>
                </w:p>
              </w:tc>
              <w:tc>
                <w:tcPr>
                  <w:tcW w:w="619" w:type="dxa"/>
                  <w:tcBorders>
                    <w:tl2br w:val="nil"/>
                    <w:tr2bl w:val="nil"/>
                  </w:tcBorders>
                  <w:shd w:val="clear" w:color="auto" w:fill="auto"/>
                  <w:vAlign w:val="center"/>
                </w:tcPr>
                <w:p w14:paraId="081EAB3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90%</w:t>
                  </w:r>
                </w:p>
              </w:tc>
              <w:tc>
                <w:tcPr>
                  <w:tcW w:w="837" w:type="dxa"/>
                  <w:tcBorders>
                    <w:tl2br w:val="nil"/>
                    <w:tr2bl w:val="nil"/>
                  </w:tcBorders>
                  <w:shd w:val="clear" w:color="auto" w:fill="auto"/>
                  <w:vAlign w:val="center"/>
                </w:tcPr>
                <w:p w14:paraId="0833A22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17.5</w:t>
                  </w:r>
                </w:p>
              </w:tc>
              <w:tc>
                <w:tcPr>
                  <w:tcW w:w="769" w:type="dxa"/>
                  <w:tcBorders>
                    <w:tl2br w:val="nil"/>
                    <w:tr2bl w:val="nil"/>
                  </w:tcBorders>
                  <w:shd w:val="clear" w:color="auto" w:fill="auto"/>
                  <w:vAlign w:val="center"/>
                </w:tcPr>
                <w:p w14:paraId="27C305D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0.0136</w:t>
                  </w:r>
                </w:p>
              </w:tc>
              <w:tc>
                <w:tcPr>
                  <w:tcW w:w="392" w:type="dxa"/>
                  <w:vMerge w:val="continue"/>
                  <w:tcBorders>
                    <w:tl2br w:val="nil"/>
                    <w:tr2bl w:val="nil"/>
                  </w:tcBorders>
                  <w:vAlign w:val="center"/>
                </w:tcPr>
                <w:p w14:paraId="4148AF4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07FAF0C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740D36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w:t>
                  </w:r>
                </w:p>
              </w:tc>
            </w:tr>
            <w:tr w14:paraId="300A6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7A51A74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0E3B69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LAS</w:t>
                  </w:r>
                </w:p>
              </w:tc>
              <w:tc>
                <w:tcPr>
                  <w:tcW w:w="851" w:type="dxa"/>
                  <w:tcBorders>
                    <w:tl2br w:val="nil"/>
                    <w:tr2bl w:val="nil"/>
                  </w:tcBorders>
                  <w:shd w:val="clear" w:color="auto" w:fill="auto"/>
                  <w:vAlign w:val="center"/>
                </w:tcPr>
                <w:p w14:paraId="50D651B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4.92</w:t>
                  </w:r>
                </w:p>
              </w:tc>
              <w:tc>
                <w:tcPr>
                  <w:tcW w:w="814" w:type="dxa"/>
                  <w:tcBorders>
                    <w:tl2br w:val="nil"/>
                    <w:tr2bl w:val="nil"/>
                  </w:tcBorders>
                  <w:shd w:val="clear" w:color="auto" w:fill="auto"/>
                  <w:vAlign w:val="center"/>
                </w:tcPr>
                <w:p w14:paraId="536DB01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0.0038</w:t>
                  </w:r>
                </w:p>
              </w:tc>
              <w:tc>
                <w:tcPr>
                  <w:tcW w:w="619" w:type="dxa"/>
                  <w:tcBorders>
                    <w:tl2br w:val="nil"/>
                    <w:tr2bl w:val="nil"/>
                  </w:tcBorders>
                  <w:shd w:val="clear" w:color="auto" w:fill="auto"/>
                  <w:vAlign w:val="center"/>
                </w:tcPr>
                <w:p w14:paraId="12F99BE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50%</w:t>
                  </w:r>
                </w:p>
              </w:tc>
              <w:tc>
                <w:tcPr>
                  <w:tcW w:w="837" w:type="dxa"/>
                  <w:tcBorders>
                    <w:tl2br w:val="nil"/>
                    <w:tr2bl w:val="nil"/>
                  </w:tcBorders>
                  <w:shd w:val="clear" w:color="auto" w:fill="auto"/>
                  <w:vAlign w:val="center"/>
                </w:tcPr>
                <w:p w14:paraId="2ED91A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2.46</w:t>
                  </w:r>
                </w:p>
              </w:tc>
              <w:tc>
                <w:tcPr>
                  <w:tcW w:w="769" w:type="dxa"/>
                  <w:tcBorders>
                    <w:tl2br w:val="nil"/>
                    <w:tr2bl w:val="nil"/>
                  </w:tcBorders>
                  <w:shd w:val="clear" w:color="auto" w:fill="auto"/>
                  <w:vAlign w:val="center"/>
                </w:tcPr>
                <w:p w14:paraId="6DC3DE9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0.0019</w:t>
                  </w:r>
                </w:p>
              </w:tc>
              <w:tc>
                <w:tcPr>
                  <w:tcW w:w="392" w:type="dxa"/>
                  <w:vMerge w:val="continue"/>
                  <w:tcBorders>
                    <w:tl2br w:val="nil"/>
                    <w:tr2bl w:val="nil"/>
                  </w:tcBorders>
                  <w:vAlign w:val="center"/>
                </w:tcPr>
                <w:p w14:paraId="431CEF0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11D0251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1EC9B6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w:t>
                  </w:r>
                </w:p>
              </w:tc>
            </w:tr>
            <w:tr w14:paraId="2DAAA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34D2470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4CFA45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851" w:type="dxa"/>
                  <w:tcBorders>
                    <w:tl2br w:val="nil"/>
                    <w:tr2bl w:val="nil"/>
                  </w:tcBorders>
                  <w:shd w:val="clear" w:color="auto" w:fill="auto"/>
                  <w:vAlign w:val="center"/>
                </w:tcPr>
                <w:p w14:paraId="1501B34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10.06</w:t>
                  </w:r>
                </w:p>
              </w:tc>
              <w:tc>
                <w:tcPr>
                  <w:tcW w:w="814" w:type="dxa"/>
                  <w:tcBorders>
                    <w:tl2br w:val="nil"/>
                    <w:tr2bl w:val="nil"/>
                  </w:tcBorders>
                  <w:shd w:val="clear" w:color="auto" w:fill="auto"/>
                  <w:vAlign w:val="center"/>
                </w:tcPr>
                <w:p w14:paraId="659EB95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0.0078</w:t>
                  </w:r>
                </w:p>
              </w:tc>
              <w:tc>
                <w:tcPr>
                  <w:tcW w:w="619" w:type="dxa"/>
                  <w:tcBorders>
                    <w:tl2br w:val="nil"/>
                    <w:tr2bl w:val="nil"/>
                  </w:tcBorders>
                  <w:shd w:val="clear" w:color="auto" w:fill="auto"/>
                  <w:vAlign w:val="center"/>
                </w:tcPr>
                <w:p w14:paraId="4807429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40%</w:t>
                  </w:r>
                </w:p>
              </w:tc>
              <w:tc>
                <w:tcPr>
                  <w:tcW w:w="837" w:type="dxa"/>
                  <w:tcBorders>
                    <w:tl2br w:val="nil"/>
                    <w:tr2bl w:val="nil"/>
                  </w:tcBorders>
                  <w:shd w:val="clear" w:color="auto" w:fill="auto"/>
                  <w:vAlign w:val="center"/>
                </w:tcPr>
                <w:p w14:paraId="4D8921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6.03</w:t>
                  </w:r>
                </w:p>
              </w:tc>
              <w:tc>
                <w:tcPr>
                  <w:tcW w:w="769" w:type="dxa"/>
                  <w:tcBorders>
                    <w:tl2br w:val="nil"/>
                    <w:tr2bl w:val="nil"/>
                  </w:tcBorders>
                  <w:shd w:val="clear" w:color="auto" w:fill="auto"/>
                  <w:vAlign w:val="center"/>
                </w:tcPr>
                <w:p w14:paraId="715B0F3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0.0047</w:t>
                  </w:r>
                </w:p>
              </w:tc>
              <w:tc>
                <w:tcPr>
                  <w:tcW w:w="392" w:type="dxa"/>
                  <w:vMerge w:val="continue"/>
                  <w:tcBorders>
                    <w:tl2br w:val="nil"/>
                    <w:tr2bl w:val="nil"/>
                  </w:tcBorders>
                  <w:vAlign w:val="center"/>
                </w:tcPr>
                <w:p w14:paraId="454EB56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229D87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17214B7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45</w:t>
                  </w:r>
                </w:p>
              </w:tc>
            </w:tr>
            <w:tr w14:paraId="445A2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78" w:type="dxa"/>
                  <w:vMerge w:val="continue"/>
                  <w:tcBorders>
                    <w:tl2br w:val="nil"/>
                    <w:tr2bl w:val="nil"/>
                  </w:tcBorders>
                  <w:vAlign w:val="center"/>
                </w:tcPr>
                <w:p w14:paraId="7AEF387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182" w:type="dxa"/>
                  <w:tcBorders>
                    <w:tl2br w:val="nil"/>
                    <w:tr2bl w:val="nil"/>
                  </w:tcBorders>
                  <w:shd w:val="clear" w:color="auto" w:fill="auto"/>
                  <w:vAlign w:val="center"/>
                </w:tcPr>
                <w:p w14:paraId="28C19BC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TN</w:t>
                  </w:r>
                </w:p>
              </w:tc>
              <w:tc>
                <w:tcPr>
                  <w:tcW w:w="851" w:type="dxa"/>
                  <w:tcBorders>
                    <w:tl2br w:val="nil"/>
                    <w:tr2bl w:val="nil"/>
                  </w:tcBorders>
                  <w:shd w:val="clear" w:color="auto" w:fill="auto"/>
                  <w:vAlign w:val="center"/>
                </w:tcPr>
                <w:p w14:paraId="103DBFF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16.67</w:t>
                  </w:r>
                </w:p>
              </w:tc>
              <w:tc>
                <w:tcPr>
                  <w:tcW w:w="814" w:type="dxa"/>
                  <w:tcBorders>
                    <w:tl2br w:val="nil"/>
                    <w:tr2bl w:val="nil"/>
                  </w:tcBorders>
                  <w:shd w:val="clear" w:color="auto" w:fill="auto"/>
                  <w:vAlign w:val="center"/>
                </w:tcPr>
                <w:p w14:paraId="4D0A2C4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0.0130</w:t>
                  </w:r>
                </w:p>
              </w:tc>
              <w:tc>
                <w:tcPr>
                  <w:tcW w:w="619" w:type="dxa"/>
                  <w:tcBorders>
                    <w:tl2br w:val="nil"/>
                    <w:tr2bl w:val="nil"/>
                  </w:tcBorders>
                  <w:shd w:val="clear" w:color="auto" w:fill="auto"/>
                  <w:vAlign w:val="center"/>
                </w:tcPr>
                <w:p w14:paraId="252741D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40%</w:t>
                  </w:r>
                </w:p>
              </w:tc>
              <w:tc>
                <w:tcPr>
                  <w:tcW w:w="837" w:type="dxa"/>
                  <w:tcBorders>
                    <w:tl2br w:val="nil"/>
                    <w:tr2bl w:val="nil"/>
                  </w:tcBorders>
                  <w:shd w:val="clear" w:color="auto" w:fill="auto"/>
                  <w:vAlign w:val="center"/>
                </w:tcPr>
                <w:p w14:paraId="0C57C48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10.0</w:t>
                  </w:r>
                </w:p>
              </w:tc>
              <w:tc>
                <w:tcPr>
                  <w:tcW w:w="769" w:type="dxa"/>
                  <w:tcBorders>
                    <w:tl2br w:val="nil"/>
                    <w:tr2bl w:val="nil"/>
                  </w:tcBorders>
                  <w:shd w:val="clear" w:color="auto" w:fill="auto"/>
                  <w:vAlign w:val="center"/>
                </w:tcPr>
                <w:p w14:paraId="2FB27E0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0.0078</w:t>
                  </w:r>
                </w:p>
              </w:tc>
              <w:tc>
                <w:tcPr>
                  <w:tcW w:w="392" w:type="dxa"/>
                  <w:vMerge w:val="continue"/>
                  <w:tcBorders>
                    <w:tl2br w:val="nil"/>
                    <w:tr2bl w:val="nil"/>
                  </w:tcBorders>
                  <w:vAlign w:val="center"/>
                </w:tcPr>
                <w:p w14:paraId="266C2A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157" w:type="dxa"/>
                  <w:vMerge w:val="continue"/>
                  <w:tcBorders>
                    <w:tl2br w:val="nil"/>
                    <w:tr2bl w:val="nil"/>
                  </w:tcBorders>
                  <w:vAlign w:val="center"/>
                </w:tcPr>
                <w:p w14:paraId="7E3FDDE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759" w:type="dxa"/>
                  <w:tcBorders>
                    <w:tl2br w:val="nil"/>
                    <w:tr2bl w:val="nil"/>
                  </w:tcBorders>
                  <w:shd w:val="clear" w:color="auto" w:fill="auto"/>
                  <w:vAlign w:val="center"/>
                </w:tcPr>
                <w:p w14:paraId="11DCA48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40</w:t>
                  </w:r>
                </w:p>
              </w:tc>
            </w:tr>
            <w:tr w14:paraId="78D37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8758" w:type="dxa"/>
                  <w:gridSpan w:val="10"/>
                  <w:tcBorders>
                    <w:tl2br w:val="nil"/>
                    <w:tr2bl w:val="nil"/>
                  </w:tcBorders>
                  <w:vAlign w:val="center"/>
                </w:tcPr>
                <w:p w14:paraId="308EB636">
                  <w:pPr>
                    <w:keepNext w:val="0"/>
                    <w:keepLines w:val="0"/>
                    <w:pageBreakBefore w:val="0"/>
                    <w:kinsoku/>
                    <w:wordWrap/>
                    <w:overflowPunct/>
                    <w:topLinePunct w:val="0"/>
                    <w:autoSpaceDE/>
                    <w:autoSpaceDN/>
                    <w:bidi w:val="0"/>
                    <w:spacing w:line="240" w:lineRule="auto"/>
                    <w:ind w:left="0" w:leftChars="0" w:right="0" w:firstLine="0"/>
                    <w:jc w:val="both"/>
                    <w:rPr>
                      <w:rFonts w:ascii="Times New Roman" w:hAnsi="Times New Roman" w:eastAsia="宋体" w:cs="Times New Roman"/>
                      <w:color w:val="auto"/>
                      <w:spacing w:val="2"/>
                      <w:position w:val="1"/>
                      <w:sz w:val="21"/>
                      <w:szCs w:val="20"/>
                      <w:highlight w:val="none"/>
                    </w:rPr>
                  </w:pPr>
                  <w:r>
                    <w:rPr>
                      <w:rFonts w:ascii="Times New Roman" w:hAnsi="Times New Roman" w:eastAsia="宋体" w:cs="Times New Roman"/>
                      <w:color w:val="auto"/>
                      <w:spacing w:val="2"/>
                      <w:position w:val="1"/>
                      <w:sz w:val="21"/>
                      <w:szCs w:val="20"/>
                      <w:highlight w:val="none"/>
                    </w:rPr>
                    <w:t>注：废水净化效率取值依据为《污染源源强核算技术指南汽车制造》（HJ 1097-2020）、《废水污染控制技术手册》（化学工业出版社）。</w:t>
                  </w:r>
                </w:p>
              </w:tc>
            </w:tr>
          </w:tbl>
          <w:p w14:paraId="6B7A2C32">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生活污水</w:t>
            </w:r>
          </w:p>
          <w:p w14:paraId="4723047F">
            <w:pPr>
              <w:pStyle w:val="46"/>
              <w:ind w:firstLine="480"/>
              <w:rPr>
                <w:color w:val="auto"/>
                <w:highlight w:val="none"/>
              </w:rPr>
            </w:pPr>
            <w:r>
              <w:rPr>
                <w:color w:val="auto"/>
                <w:highlight w:val="none"/>
              </w:rPr>
              <w:t>本项目生活污水产生量为生活用水的80%，则生活污水产生量为</w:t>
            </w:r>
            <w:r>
              <w:rPr>
                <w:rFonts w:hint="eastAsia"/>
                <w:color w:val="auto"/>
                <w:highlight w:val="none"/>
                <w:lang w:val="en-US" w:eastAsia="zh-CN"/>
              </w:rPr>
              <w:t>360</w:t>
            </w:r>
            <w:r>
              <w:rPr>
                <w:color w:val="auto"/>
                <w:highlight w:val="none"/>
              </w:rPr>
              <w:t>t/a</w:t>
            </w:r>
            <w:r>
              <w:rPr>
                <w:rFonts w:hint="eastAsia"/>
                <w:color w:val="auto"/>
                <w:highlight w:val="none"/>
                <w:lang w:eastAsia="zh-CN"/>
              </w:rPr>
              <w:t>（</w:t>
            </w:r>
            <w:r>
              <w:rPr>
                <w:rFonts w:hint="eastAsia"/>
                <w:color w:val="auto"/>
                <w:highlight w:val="none"/>
                <w:lang w:val="en-US" w:eastAsia="zh-CN"/>
              </w:rPr>
              <w:t>1.2</w:t>
            </w:r>
            <w:r>
              <w:rPr>
                <w:color w:val="auto"/>
                <w:highlight w:val="none"/>
              </w:rPr>
              <w:t>t/d</w:t>
            </w:r>
            <w:r>
              <w:rPr>
                <w:rFonts w:hint="eastAsia"/>
                <w:color w:val="auto"/>
                <w:highlight w:val="none"/>
                <w:lang w:eastAsia="zh-CN"/>
              </w:rPr>
              <w:t>）</w:t>
            </w:r>
            <w:r>
              <w:rPr>
                <w:color w:val="auto"/>
                <w:highlight w:val="none"/>
              </w:rPr>
              <w:t>，</w:t>
            </w:r>
            <w:r>
              <w:rPr>
                <w:rFonts w:hint="eastAsia"/>
                <w:color w:val="auto"/>
                <w:highlight w:val="none"/>
              </w:rPr>
              <w:t>参考</w:t>
            </w:r>
            <w:r>
              <w:rPr>
                <w:color w:val="auto"/>
                <w:highlight w:val="none"/>
              </w:rPr>
              <w:t>根据《给排水设计手册》</w:t>
            </w:r>
            <w:r>
              <w:rPr>
                <w:rFonts w:hint="eastAsia"/>
                <w:color w:val="auto"/>
                <w:highlight w:val="none"/>
                <w:lang w:eastAsia="zh-CN"/>
              </w:rPr>
              <w:t>（</w:t>
            </w:r>
            <w:r>
              <w:rPr>
                <w:color w:val="auto"/>
                <w:highlight w:val="none"/>
              </w:rPr>
              <w:t>第五册城镇排水</w:t>
            </w:r>
            <w:r>
              <w:rPr>
                <w:rFonts w:hint="eastAsia"/>
                <w:color w:val="auto"/>
                <w:highlight w:val="none"/>
                <w:lang w:eastAsia="zh-CN"/>
              </w:rPr>
              <w:t>）</w:t>
            </w:r>
            <w:r>
              <w:rPr>
                <w:color w:val="auto"/>
                <w:highlight w:val="none"/>
              </w:rPr>
              <w:t>典型生活污水水质示例，本环评项目生活污水中主要污染指标浓度取值为COD400mg/L、BOD</w:t>
            </w:r>
            <w:r>
              <w:rPr>
                <w:color w:val="auto"/>
                <w:highlight w:val="none"/>
                <w:vertAlign w:val="subscript"/>
              </w:rPr>
              <w:t>5</w:t>
            </w:r>
            <w:r>
              <w:rPr>
                <w:color w:val="auto"/>
                <w:highlight w:val="none"/>
              </w:rPr>
              <w:t>200mg/L、SS</w:t>
            </w:r>
            <w:r>
              <w:rPr>
                <w:rFonts w:hint="eastAsia"/>
                <w:color w:val="auto"/>
                <w:highlight w:val="none"/>
                <w:lang w:eastAsia="zh-CN"/>
              </w:rPr>
              <w:t>200m</w:t>
            </w:r>
            <w:r>
              <w:rPr>
                <w:color w:val="auto"/>
                <w:highlight w:val="none"/>
              </w:rPr>
              <w:t>g/L、氨氮35mg/L，生活污水经化粪池处理</w:t>
            </w:r>
            <w:r>
              <w:rPr>
                <w:rFonts w:hint="eastAsia"/>
                <w:color w:val="auto"/>
                <w:highlight w:val="none"/>
                <w:lang w:eastAsia="zh-CN"/>
              </w:rPr>
              <w:t>达到</w:t>
            </w:r>
            <w:r>
              <w:rPr>
                <w:color w:val="auto"/>
                <w:highlight w:val="none"/>
              </w:rPr>
              <w:t>《污水综合排放标准》（GB8978-1996）表4中三级标准（其中氨氮执行《污水排入城镇下水道水质标准》（</w:t>
            </w:r>
            <w:r>
              <w:rPr>
                <w:rFonts w:hint="eastAsia"/>
                <w:color w:val="auto"/>
                <w:highlight w:val="none"/>
                <w:lang w:eastAsia="zh-CN"/>
              </w:rPr>
              <w:t>GB/T 31962-2015</w:t>
            </w:r>
            <w:r>
              <w:rPr>
                <w:color w:val="auto"/>
                <w:highlight w:val="none"/>
              </w:rPr>
              <w:t>）表1的B等级标准）后接入</w:t>
            </w:r>
            <w:r>
              <w:rPr>
                <w:rFonts w:hint="eastAsia"/>
                <w:color w:val="auto"/>
                <w:highlight w:val="none"/>
              </w:rPr>
              <w:t>市</w:t>
            </w:r>
            <w:r>
              <w:rPr>
                <w:color w:val="auto"/>
                <w:highlight w:val="none"/>
              </w:rPr>
              <w:t>政污水管网，排入福清市第二污水处理厂处理；废水净化效率取值依据为《污染源源强核算技术指南汽车制造》（HJ 1097-2020）、《废水污染控制技术手册》（化学工业出版社）</w:t>
            </w:r>
            <w:r>
              <w:rPr>
                <w:rFonts w:hint="eastAsia"/>
                <w:color w:val="auto"/>
                <w:highlight w:val="none"/>
                <w:lang w:eastAsia="zh-CN"/>
              </w:rPr>
              <w:t>，</w:t>
            </w:r>
            <w:r>
              <w:rPr>
                <w:color w:val="auto"/>
                <w:highlight w:val="none"/>
              </w:rPr>
              <w:t>则生活污水产生量及排放量见</w:t>
            </w:r>
            <w:r>
              <w:rPr>
                <w:rFonts w:hint="eastAsia"/>
                <w:color w:val="auto"/>
                <w:highlight w:val="none"/>
              </w:rPr>
              <w:t>表</w:t>
            </w:r>
            <w:r>
              <w:rPr>
                <w:rFonts w:hint="eastAsia"/>
                <w:color w:val="auto"/>
                <w:highlight w:val="none"/>
                <w:lang w:val="en-US" w:eastAsia="zh-CN"/>
              </w:rPr>
              <w:t>4.3-1、</w:t>
            </w:r>
            <w:r>
              <w:rPr>
                <w:rFonts w:hint="eastAsia"/>
                <w:color w:val="auto"/>
                <w:highlight w:val="none"/>
              </w:rPr>
              <w:t>表</w:t>
            </w:r>
            <w:r>
              <w:rPr>
                <w:rFonts w:hint="eastAsia"/>
                <w:color w:val="auto"/>
                <w:highlight w:val="none"/>
                <w:lang w:val="en-US" w:eastAsia="zh-CN"/>
              </w:rPr>
              <w:t>4.3-2</w:t>
            </w:r>
            <w:r>
              <w:rPr>
                <w:color w:val="auto"/>
                <w:highlight w:val="none"/>
              </w:rPr>
              <w:t>。</w:t>
            </w:r>
          </w:p>
          <w:p w14:paraId="68D7DAE4">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生产废水</w:t>
            </w:r>
          </w:p>
          <w:p w14:paraId="595F4451">
            <w:pPr>
              <w:pStyle w:val="46"/>
              <w:ind w:firstLine="480"/>
              <w:rPr>
                <w:rFonts w:hint="eastAsia"/>
                <w:color w:val="auto"/>
                <w:highlight w:val="none"/>
                <w:lang w:val="en-US" w:eastAsia="zh-CN"/>
              </w:rPr>
            </w:pPr>
            <w:r>
              <w:rPr>
                <w:color w:val="auto"/>
                <w:highlight w:val="none"/>
              </w:rPr>
              <w:t>项目废水主要为</w:t>
            </w:r>
            <w:r>
              <w:rPr>
                <w:rFonts w:hint="eastAsia"/>
                <w:color w:val="auto"/>
                <w:highlight w:val="none"/>
                <w:lang w:val="en-US" w:eastAsia="zh-CN"/>
              </w:rPr>
              <w:t>纯</w:t>
            </w:r>
            <w:r>
              <w:rPr>
                <w:rFonts w:hint="eastAsia"/>
                <w:color w:val="auto"/>
                <w:highlight w:val="none"/>
              </w:rPr>
              <w:t>水洗废水、脱脂废水、脱脂后水洗废水、硅烷后水洗废水、纯水制备尾水</w:t>
            </w:r>
            <w:r>
              <w:rPr>
                <w:rFonts w:hint="eastAsia"/>
                <w:color w:val="auto"/>
                <w:highlight w:val="none"/>
                <w:lang w:eastAsia="zh-CN"/>
              </w:rPr>
              <w:t>、</w:t>
            </w:r>
            <w:r>
              <w:rPr>
                <w:rFonts w:hint="eastAsia"/>
                <w:color w:val="auto"/>
                <w:highlight w:val="none"/>
                <w:lang w:val="en-US" w:eastAsia="zh-CN"/>
              </w:rPr>
              <w:t>水帘喷漆废水。</w:t>
            </w:r>
          </w:p>
          <w:p w14:paraId="0CF7A518">
            <w:pPr>
              <w:pStyle w:val="46"/>
              <w:ind w:firstLine="480"/>
              <w:rPr>
                <w:rFonts w:hint="eastAsia"/>
                <w:color w:val="auto"/>
                <w:highlight w:val="none"/>
                <w:lang w:val="en-US" w:eastAsia="zh-CN"/>
              </w:rPr>
            </w:pPr>
            <w:r>
              <w:rPr>
                <w:rFonts w:hint="eastAsia"/>
                <w:color w:val="auto"/>
                <w:highlight w:val="none"/>
                <w:lang w:val="en-US" w:eastAsia="zh-CN"/>
              </w:rPr>
              <w:t>（1）源强核算</w:t>
            </w:r>
          </w:p>
          <w:p w14:paraId="0EEC3609">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①脱脂废水W</w:t>
            </w:r>
            <w:r>
              <w:rPr>
                <w:rFonts w:hint="eastAsia"/>
                <w:color w:val="auto"/>
                <w:highlight w:val="none"/>
                <w:lang w:val="en-US" w:eastAsia="zh-CN"/>
              </w:rPr>
              <w:t>1</w:t>
            </w:r>
          </w:p>
          <w:p w14:paraId="4400C37F">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项目脱脂槽液循环使用，定期更换（约6个月更换一次（33.9m</w:t>
            </w:r>
            <w:r>
              <w:rPr>
                <w:rFonts w:hint="eastAsia"/>
                <w:color w:val="auto"/>
                <w:highlight w:val="none"/>
                <w:vertAlign w:val="superscript"/>
              </w:rPr>
              <w:t>3</w:t>
            </w:r>
            <w:r>
              <w:rPr>
                <w:rFonts w:hint="eastAsia"/>
                <w:color w:val="auto"/>
                <w:highlight w:val="none"/>
              </w:rPr>
              <w:t>/次）），产生脱脂废水W</w:t>
            </w:r>
            <w:r>
              <w:rPr>
                <w:rFonts w:hint="eastAsia"/>
                <w:color w:val="auto"/>
                <w:highlight w:val="none"/>
                <w:lang w:val="en-US" w:eastAsia="zh-CN"/>
              </w:rPr>
              <w:t>1</w:t>
            </w:r>
            <w:r>
              <w:rPr>
                <w:rFonts w:hint="eastAsia"/>
                <w:color w:val="auto"/>
                <w:highlight w:val="none"/>
              </w:rPr>
              <w:t>，产生量为57m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、SS、石油类、LAS。</w:t>
            </w:r>
          </w:p>
          <w:p w14:paraId="5B10BBAD">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②脱脂后水洗废水W</w:t>
            </w:r>
            <w:r>
              <w:rPr>
                <w:rFonts w:hint="eastAsia"/>
                <w:color w:val="auto"/>
                <w:highlight w:val="none"/>
                <w:lang w:val="en-US" w:eastAsia="zh-CN"/>
              </w:rPr>
              <w:t>2</w:t>
            </w:r>
            <w:r>
              <w:rPr>
                <w:rFonts w:hint="eastAsia"/>
                <w:color w:val="auto"/>
                <w:highlight w:val="none"/>
              </w:rPr>
              <w:t>、W</w:t>
            </w:r>
            <w:r>
              <w:rPr>
                <w:rFonts w:hint="eastAsia"/>
                <w:color w:val="auto"/>
                <w:highlight w:val="none"/>
                <w:lang w:val="en-US" w:eastAsia="zh-CN"/>
              </w:rPr>
              <w:t>3</w:t>
            </w:r>
          </w:p>
          <w:p w14:paraId="7FB93507">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项目脱脂后需要进行水洗，包括2道水洗，每个水洗槽每周需要排水一次（2m</w:t>
            </w:r>
            <w:r>
              <w:rPr>
                <w:rFonts w:hint="eastAsia"/>
                <w:color w:val="auto"/>
                <w:highlight w:val="none"/>
                <w:vertAlign w:val="superscript"/>
              </w:rPr>
              <w:t>3</w:t>
            </w:r>
            <w:r>
              <w:rPr>
                <w:rFonts w:hint="eastAsia"/>
                <w:color w:val="auto"/>
                <w:highlight w:val="none"/>
              </w:rPr>
              <w:t>/次）。经核算，脱脂后水洗废水产生量为171m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、SS、石油类、LAS。</w:t>
            </w:r>
          </w:p>
          <w:p w14:paraId="5A57C57C">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③硅烷后水洗废水W</w:t>
            </w:r>
            <w:r>
              <w:rPr>
                <w:rFonts w:hint="eastAsia"/>
                <w:color w:val="auto"/>
                <w:highlight w:val="none"/>
                <w:lang w:val="en-US" w:eastAsia="zh-CN"/>
              </w:rPr>
              <w:t>4</w:t>
            </w:r>
            <w:r>
              <w:rPr>
                <w:rFonts w:hint="eastAsia"/>
                <w:color w:val="auto"/>
                <w:highlight w:val="none"/>
              </w:rPr>
              <w:t>、W</w:t>
            </w:r>
            <w:r>
              <w:rPr>
                <w:rFonts w:hint="eastAsia"/>
                <w:color w:val="auto"/>
                <w:highlight w:val="none"/>
                <w:lang w:val="en-US" w:eastAsia="zh-CN"/>
              </w:rPr>
              <w:t>5</w:t>
            </w:r>
          </w:p>
          <w:p w14:paraId="2D76BCD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项目硅烷后需要进行水洗，包括1道水洗，1道纯水洗，每个水洗槽每周需要排水一次（2m</w:t>
            </w:r>
            <w:r>
              <w:rPr>
                <w:rFonts w:hint="eastAsia"/>
                <w:color w:val="auto"/>
                <w:highlight w:val="none"/>
                <w:vertAlign w:val="superscript"/>
              </w:rPr>
              <w:t>3</w:t>
            </w:r>
            <w:r>
              <w:rPr>
                <w:rFonts w:hint="eastAsia"/>
                <w:color w:val="auto"/>
                <w:highlight w:val="none"/>
              </w:rPr>
              <w:t>/次）。经核算，硅烷后水洗废水产生量为171m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-N、SS、TN。</w:t>
            </w:r>
          </w:p>
          <w:p w14:paraId="00E533CD">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④</w:t>
            </w:r>
            <w:r>
              <w:rPr>
                <w:rFonts w:hint="eastAsia"/>
                <w:color w:val="auto"/>
                <w:highlight w:val="none"/>
                <w:lang w:val="en-US" w:eastAsia="zh-CN"/>
              </w:rPr>
              <w:t>纯水洗2</w:t>
            </w:r>
            <w:r>
              <w:rPr>
                <w:rFonts w:hint="eastAsia"/>
                <w:color w:val="auto"/>
                <w:highlight w:val="none"/>
              </w:rPr>
              <w:t>废水W</w:t>
            </w:r>
            <w:r>
              <w:rPr>
                <w:rFonts w:hint="eastAsia"/>
                <w:color w:val="auto"/>
                <w:highlight w:val="none"/>
                <w:lang w:val="en-US" w:eastAsia="zh-CN"/>
              </w:rPr>
              <w:t>6</w:t>
            </w:r>
          </w:p>
          <w:p w14:paraId="399F44FB">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项目水洗槽清洗水循环使用，定期更换（约1周更换一次（2.565m</w:t>
            </w:r>
            <w:r>
              <w:rPr>
                <w:rFonts w:hint="eastAsia"/>
                <w:color w:val="auto"/>
                <w:highlight w:val="none"/>
                <w:vertAlign w:val="superscript"/>
              </w:rPr>
              <w:t>3</w:t>
            </w:r>
            <w:r>
              <w:rPr>
                <w:rFonts w:hint="eastAsia"/>
                <w:color w:val="auto"/>
                <w:highlight w:val="none"/>
              </w:rPr>
              <w:t>/次）），产生</w:t>
            </w:r>
            <w:r>
              <w:rPr>
                <w:rFonts w:hint="eastAsia"/>
                <w:color w:val="auto"/>
                <w:highlight w:val="none"/>
                <w:lang w:val="en-US" w:eastAsia="zh-CN"/>
              </w:rPr>
              <w:t>纯</w:t>
            </w:r>
            <w:r>
              <w:rPr>
                <w:rFonts w:hint="eastAsia"/>
                <w:color w:val="auto"/>
                <w:highlight w:val="none"/>
              </w:rPr>
              <w:t>水洗废水W</w:t>
            </w:r>
            <w:r>
              <w:rPr>
                <w:rFonts w:hint="eastAsia"/>
                <w:color w:val="auto"/>
                <w:highlight w:val="none"/>
                <w:lang w:val="en-US" w:eastAsia="zh-CN"/>
              </w:rPr>
              <w:t>6</w:t>
            </w:r>
            <w:r>
              <w:rPr>
                <w:rFonts w:hint="eastAsia"/>
                <w:color w:val="auto"/>
                <w:highlight w:val="none"/>
              </w:rPr>
              <w:t>，产生量为111m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w:t>
            </w:r>
          </w:p>
          <w:p w14:paraId="132AB2A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⑤纯水制备尾水W7</w:t>
            </w:r>
          </w:p>
          <w:p w14:paraId="7E164D8C">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本项目纯水制备过程会有纯水制备尾水产生。根据项目设计方案，项目纯水用量为30m</w:t>
            </w:r>
            <w:r>
              <w:rPr>
                <w:rFonts w:hint="eastAsia"/>
                <w:color w:val="auto"/>
                <w:highlight w:val="none"/>
                <w:vertAlign w:val="superscript"/>
              </w:rPr>
              <w:t>3</w:t>
            </w:r>
            <w:r>
              <w:rPr>
                <w:rFonts w:hint="eastAsia"/>
                <w:color w:val="auto"/>
                <w:highlight w:val="none"/>
              </w:rPr>
              <w:t>/a，纯水制备率约40%，则纯水制备尾水的产生量为18m</w:t>
            </w:r>
            <w:r>
              <w:rPr>
                <w:rFonts w:hint="eastAsia"/>
                <w:color w:val="auto"/>
                <w:highlight w:val="none"/>
                <w:vertAlign w:val="superscript"/>
              </w:rPr>
              <w:t>3</w:t>
            </w:r>
            <w:r>
              <w:rPr>
                <w:rFonts w:hint="eastAsia"/>
                <w:color w:val="auto"/>
                <w:highlight w:val="none"/>
              </w:rPr>
              <w:t>/a，主要污染物为pH、CODcr、SS。纯水制备尾水回用于硅烷后水洗3工序。</w:t>
            </w:r>
          </w:p>
          <w:p w14:paraId="6447C91C">
            <w:pPr>
              <w:pStyle w:val="46"/>
              <w:ind w:firstLine="480"/>
              <w:rPr>
                <w:rFonts w:hint="default" w:ascii="Times New Roman" w:hAnsi="Times New Roman" w:eastAsia="宋体" w:cs="宋体"/>
                <w:color w:val="auto"/>
                <w:highlight w:val="none"/>
                <w:lang w:val="en-US" w:eastAsia="zh-CN"/>
              </w:rPr>
            </w:pPr>
            <w:r>
              <w:rPr>
                <w:rFonts w:hint="eastAsia" w:ascii="微软雅黑" w:hAnsi="微软雅黑" w:eastAsia="微软雅黑" w:cs="微软雅黑"/>
                <w:color w:val="auto"/>
                <w:highlight w:val="none"/>
              </w:rPr>
              <w:t>⑥</w:t>
            </w:r>
            <w:r>
              <w:rPr>
                <w:rFonts w:hint="eastAsia" w:ascii="Times New Roman" w:hAnsi="Times New Roman" w:eastAsia="宋体" w:cs="宋体"/>
                <w:color w:val="auto"/>
                <w:highlight w:val="none"/>
                <w:lang w:val="en-US" w:eastAsia="zh-CN"/>
              </w:rPr>
              <w:t>水帘喷漆废水</w:t>
            </w:r>
            <w:r>
              <w:rPr>
                <w:rFonts w:hint="eastAsia"/>
                <w:color w:val="auto"/>
                <w:highlight w:val="none"/>
              </w:rPr>
              <w:t>W</w:t>
            </w:r>
            <w:r>
              <w:rPr>
                <w:rFonts w:hint="eastAsia"/>
                <w:color w:val="auto"/>
                <w:highlight w:val="none"/>
                <w:lang w:val="en-US" w:eastAsia="zh-CN"/>
              </w:rPr>
              <w:t>9</w:t>
            </w:r>
          </w:p>
          <w:p w14:paraId="5059D83B">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由于水帘喷漆台用水对水质要求不高，项目水帘喷漆台用水循环使用10天后排入自建废水处理系统后排放</w:t>
            </w:r>
            <w:r>
              <w:rPr>
                <w:rFonts w:hint="eastAsia"/>
                <w:color w:val="000000" w:themeColor="text1"/>
                <w:highlight w:val="none"/>
                <w:lang w:val="en-US" w:eastAsia="zh-CN"/>
                <w14:textFill>
                  <w14:solidFill>
                    <w14:schemeClr w14:val="tx1"/>
                  </w14:solidFill>
                </w14:textFill>
              </w:rPr>
              <w:t>至厂区污水管网，废水纳入福清市第二污水处理厂处理</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则</w:t>
            </w:r>
            <w:r>
              <w:rPr>
                <w:rFonts w:hint="eastAsia"/>
                <w:color w:val="000000" w:themeColor="text1"/>
                <w:highlight w:val="none"/>
                <w14:textFill>
                  <w14:solidFill>
                    <w14:schemeClr w14:val="tx1"/>
                  </w14:solidFill>
                </w14:textFill>
              </w:rPr>
              <w:t>废水</w:t>
            </w:r>
            <w:r>
              <w:rPr>
                <w:rFonts w:hint="eastAsia"/>
                <w:color w:val="000000" w:themeColor="text1"/>
                <w:highlight w:val="none"/>
                <w:lang w:val="en-US" w:eastAsia="zh-CN"/>
                <w14:textFill>
                  <w14:solidFill>
                    <w14:schemeClr w14:val="tx1"/>
                  </w14:solidFill>
                </w14:textFill>
              </w:rPr>
              <w:t>排放次数为</w:t>
            </w:r>
            <w:r>
              <w:rPr>
                <w:rFonts w:hint="eastAsia"/>
                <w:color w:val="000000" w:themeColor="text1"/>
                <w:highlight w:val="none"/>
                <w14:textFill>
                  <w14:solidFill>
                    <w14:schemeClr w14:val="tx1"/>
                  </w14:solidFill>
                </w14:textFill>
              </w:rPr>
              <w:t>30次/a，则</w:t>
            </w:r>
            <w:r>
              <w:rPr>
                <w:rFonts w:hint="eastAsia"/>
                <w:color w:val="000000" w:themeColor="text1"/>
                <w:highlight w:val="none"/>
                <w:lang w:val="en-US" w:eastAsia="zh-CN"/>
                <w14:textFill>
                  <w14:solidFill>
                    <w14:schemeClr w14:val="tx1"/>
                  </w14:solidFill>
                </w14:textFill>
              </w:rPr>
              <w:t>排放</w:t>
            </w:r>
            <w:r>
              <w:rPr>
                <w:rFonts w:hint="eastAsia"/>
                <w:color w:val="000000" w:themeColor="text1"/>
                <w:highlight w:val="none"/>
                <w14:textFill>
                  <w14:solidFill>
                    <w14:schemeClr w14:val="tx1"/>
                  </w14:solidFill>
                </w14:textFill>
              </w:rPr>
              <w:t>水量为</w:t>
            </w:r>
            <w:r>
              <w:rPr>
                <w:rFonts w:hint="eastAsia"/>
                <w:color w:val="000000" w:themeColor="text1"/>
                <w:highlight w:val="none"/>
                <w:lang w:val="en-US" w:eastAsia="zh-CN"/>
                <w14:textFill>
                  <w14:solidFill>
                    <w14:schemeClr w14:val="tx1"/>
                  </w14:solidFill>
                </w14:textFill>
              </w:rPr>
              <w:t>270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（0.9t/d）</w:t>
            </w:r>
            <w:r>
              <w:rPr>
                <w:rFonts w:hint="eastAsia"/>
                <w:color w:val="000000" w:themeColor="text1"/>
                <w:highlight w:val="none"/>
                <w14:textFill>
                  <w14:solidFill>
                    <w14:schemeClr w14:val="tx1"/>
                  </w14:solidFill>
                </w14:textFill>
              </w:rPr>
              <w:t>。</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w:t>
            </w:r>
          </w:p>
          <w:p w14:paraId="3400830A">
            <w:pPr>
              <w:pStyle w:val="46"/>
              <w:ind w:firstLine="480"/>
              <w:rPr>
                <w:rFonts w:hint="eastAsia"/>
                <w:color w:val="auto"/>
                <w:highlight w:val="none"/>
                <w:lang w:val="en-US" w:eastAsia="zh-CN"/>
              </w:rPr>
            </w:pPr>
            <w:r>
              <w:rPr>
                <w:rFonts w:hint="eastAsia" w:ascii="微软雅黑" w:hAnsi="微软雅黑" w:eastAsia="微软雅黑" w:cs="微软雅黑"/>
                <w:color w:val="auto"/>
                <w:highlight w:val="none"/>
                <w:lang w:val="en-US" w:eastAsia="zh-CN"/>
              </w:rPr>
              <w:t>⑦</w:t>
            </w:r>
            <w:r>
              <w:rPr>
                <w:rFonts w:hint="eastAsia"/>
                <w:color w:val="auto"/>
                <w:highlight w:val="none"/>
                <w:lang w:val="en-US" w:eastAsia="zh-CN"/>
              </w:rPr>
              <w:t>生活污水W8：项目劳动定员30人，年生产300天，采用单班工作制。根据《建筑给水排水设计标准》（GB50015-2019），办公用水定额为日均25～40L/人•班，办公用水量取30L/人•班，由此得出项目员工生活用水总量为1.5m</w:t>
            </w:r>
            <w:r>
              <w:rPr>
                <w:rFonts w:hint="eastAsia"/>
                <w:color w:val="auto"/>
                <w:highlight w:val="none"/>
                <w:vertAlign w:val="superscript"/>
                <w:lang w:val="en-US" w:eastAsia="zh-CN"/>
              </w:rPr>
              <w:t>3</w:t>
            </w:r>
            <w:r>
              <w:rPr>
                <w:rFonts w:hint="eastAsia"/>
                <w:color w:val="auto"/>
                <w:highlight w:val="none"/>
                <w:lang w:val="en-US" w:eastAsia="zh-CN"/>
              </w:rPr>
              <w:t>/d（450m</w:t>
            </w:r>
            <w:r>
              <w:rPr>
                <w:rFonts w:hint="eastAsia"/>
                <w:color w:val="auto"/>
                <w:highlight w:val="none"/>
                <w:vertAlign w:val="superscript"/>
                <w:lang w:val="en-US" w:eastAsia="zh-CN"/>
              </w:rPr>
              <w:t>3</w:t>
            </w:r>
            <w:r>
              <w:rPr>
                <w:rFonts w:hint="eastAsia"/>
                <w:color w:val="auto"/>
                <w:highlight w:val="none"/>
                <w:lang w:val="en-US" w:eastAsia="zh-CN"/>
              </w:rPr>
              <w:t>/a）。生活污水产生量按照用水量的80%计算，则生活污水产生量为1.2m</w:t>
            </w:r>
            <w:r>
              <w:rPr>
                <w:rFonts w:hint="eastAsia"/>
                <w:color w:val="auto"/>
                <w:highlight w:val="none"/>
                <w:vertAlign w:val="superscript"/>
                <w:lang w:val="en-US" w:eastAsia="zh-CN"/>
              </w:rPr>
              <w:t>3</w:t>
            </w:r>
            <w:r>
              <w:rPr>
                <w:rFonts w:hint="eastAsia"/>
                <w:color w:val="auto"/>
                <w:highlight w:val="none"/>
                <w:lang w:val="en-US" w:eastAsia="zh-CN"/>
              </w:rPr>
              <w:t>/d，即360m</w:t>
            </w:r>
            <w:r>
              <w:rPr>
                <w:rFonts w:hint="eastAsia"/>
                <w:color w:val="auto"/>
                <w:highlight w:val="none"/>
                <w:vertAlign w:val="superscript"/>
                <w:lang w:val="en-US" w:eastAsia="zh-CN"/>
              </w:rPr>
              <w:t>3</w:t>
            </w:r>
            <w:r>
              <w:rPr>
                <w:rFonts w:hint="eastAsia"/>
                <w:color w:val="auto"/>
                <w:highlight w:val="none"/>
                <w:lang w:val="en-US" w:eastAsia="zh-CN"/>
              </w:rPr>
              <w:t>/a。主要污染物为CODcr、BOD</w:t>
            </w:r>
            <w:r>
              <w:rPr>
                <w:rFonts w:hint="eastAsia"/>
                <w:color w:val="auto"/>
                <w:highlight w:val="none"/>
                <w:vertAlign w:val="subscript"/>
                <w:lang w:val="en-US" w:eastAsia="zh-CN"/>
              </w:rPr>
              <w:t>5</w:t>
            </w:r>
            <w:r>
              <w:rPr>
                <w:rFonts w:hint="eastAsia"/>
                <w:color w:val="auto"/>
                <w:highlight w:val="none"/>
                <w:lang w:val="en-US" w:eastAsia="zh-CN"/>
              </w:rPr>
              <w:t>、SS、NH</w:t>
            </w:r>
            <w:r>
              <w:rPr>
                <w:rFonts w:hint="eastAsia"/>
                <w:color w:val="auto"/>
                <w:highlight w:val="none"/>
                <w:vertAlign w:val="subscript"/>
                <w:lang w:val="en-US" w:eastAsia="zh-CN"/>
              </w:rPr>
              <w:t>3</w:t>
            </w:r>
            <w:r>
              <w:rPr>
                <w:rFonts w:hint="eastAsia"/>
                <w:color w:val="auto"/>
                <w:highlight w:val="none"/>
                <w:lang w:val="en-US" w:eastAsia="zh-CN"/>
              </w:rPr>
              <w:t>-N、TN等。</w:t>
            </w:r>
          </w:p>
          <w:p w14:paraId="3F4A5957">
            <w:pPr>
              <w:pStyle w:val="46"/>
              <w:ind w:firstLine="480"/>
              <w:rPr>
                <w:rFonts w:hint="eastAsia"/>
                <w:color w:val="auto"/>
                <w:highlight w:val="none"/>
                <w:lang w:val="en-US" w:eastAsia="zh-CN"/>
              </w:rPr>
            </w:pPr>
            <w:r>
              <w:rPr>
                <w:rFonts w:hint="eastAsia"/>
                <w:color w:val="auto"/>
                <w:highlight w:val="none"/>
                <w:lang w:val="en-US" w:eastAsia="zh-CN"/>
              </w:rPr>
              <w:t>本项目废水源强类比同类企业（延锋安道拓座椅有限公司，该企业主要从事汽车零部件制造，生产工艺与本项目类似，具有较好的可类比性）。</w:t>
            </w:r>
          </w:p>
          <w:p w14:paraId="2AA291A0">
            <w:pPr>
              <w:pStyle w:val="46"/>
              <w:ind w:firstLine="480"/>
              <w:rPr>
                <w:rFonts w:hint="eastAsia"/>
                <w:color w:val="auto"/>
                <w:highlight w:val="none"/>
                <w:lang w:val="en-US" w:eastAsia="zh-CN"/>
              </w:rPr>
            </w:pPr>
            <w:r>
              <w:rPr>
                <w:rFonts w:hint="eastAsia"/>
                <w:color w:val="auto"/>
                <w:highlight w:val="none"/>
                <w:lang w:val="en-US" w:eastAsia="zh-CN"/>
              </w:rPr>
              <w:t>本项目废水产生情况见下表。</w:t>
            </w:r>
          </w:p>
          <w:p w14:paraId="6B885684">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本项目主要水污染物产生情况一览表</w:t>
            </w:r>
          </w:p>
          <w:tbl>
            <w:tblPr>
              <w:tblStyle w:val="35"/>
              <w:tblW w:w="87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453"/>
              <w:gridCol w:w="1453"/>
              <w:gridCol w:w="1470"/>
              <w:gridCol w:w="1457"/>
              <w:gridCol w:w="1456"/>
            </w:tblGrid>
            <w:tr w14:paraId="136C0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4B738E71">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b/>
                      <w:bCs/>
                      <w:color w:val="auto"/>
                      <w:spacing w:val="4"/>
                      <w:sz w:val="21"/>
                      <w:highlight w:val="none"/>
                    </w:rPr>
                    <w:t>代号</w:t>
                  </w:r>
                </w:p>
              </w:tc>
              <w:tc>
                <w:tcPr>
                  <w:tcW w:w="1453" w:type="dxa"/>
                  <w:vMerge w:val="restart"/>
                  <w:tcBorders>
                    <w:tl2br w:val="nil"/>
                    <w:tr2bl w:val="nil"/>
                  </w:tcBorders>
                  <w:shd w:val="clear" w:color="auto" w:fill="auto"/>
                  <w:vAlign w:val="center"/>
                </w:tcPr>
                <w:p w14:paraId="6D397C50">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b/>
                      <w:bCs/>
                      <w:color w:val="auto"/>
                      <w:spacing w:val="4"/>
                      <w:sz w:val="21"/>
                      <w:highlight w:val="none"/>
                    </w:rPr>
                    <w:t>源名</w:t>
                  </w:r>
                </w:p>
              </w:tc>
              <w:tc>
                <w:tcPr>
                  <w:tcW w:w="1453" w:type="dxa"/>
                  <w:vMerge w:val="restart"/>
                  <w:tcBorders>
                    <w:tl2br w:val="nil"/>
                    <w:tr2bl w:val="nil"/>
                  </w:tcBorders>
                  <w:shd w:val="clear" w:color="auto" w:fill="auto"/>
                  <w:vAlign w:val="center"/>
                </w:tcPr>
                <w:p w14:paraId="4858705F">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废水量</w:t>
                  </w:r>
                </w:p>
                <w:p w14:paraId="7FC2CAF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b/>
                      <w:bCs/>
                      <w:color w:val="auto"/>
                      <w:spacing w:val="2"/>
                      <w:sz w:val="21"/>
                      <w:szCs w:val="20"/>
                      <w:highlight w:val="none"/>
                    </w:rPr>
                    <w:t>(m</w:t>
                  </w:r>
                  <w:r>
                    <w:rPr>
                      <w:rFonts w:ascii="Times New Roman" w:hAnsi="Times New Roman" w:eastAsia="宋体" w:cs="Times New Roman"/>
                      <w:b/>
                      <w:bCs/>
                      <w:color w:val="auto"/>
                      <w:spacing w:val="2"/>
                      <w:position w:val="6"/>
                      <w:sz w:val="21"/>
                      <w:szCs w:val="13"/>
                      <w:highlight w:val="none"/>
                    </w:rPr>
                    <w:t>3</w:t>
                  </w:r>
                  <w:r>
                    <w:rPr>
                      <w:rFonts w:ascii="Times New Roman" w:hAnsi="Times New Roman" w:eastAsia="宋体" w:cs="Times New Roman"/>
                      <w:b/>
                      <w:bCs/>
                      <w:color w:val="auto"/>
                      <w:spacing w:val="2"/>
                      <w:sz w:val="21"/>
                      <w:szCs w:val="20"/>
                      <w:highlight w:val="none"/>
                    </w:rPr>
                    <w:t>/a)</w:t>
                  </w:r>
                </w:p>
              </w:tc>
              <w:tc>
                <w:tcPr>
                  <w:tcW w:w="4383" w:type="dxa"/>
                  <w:gridSpan w:val="3"/>
                  <w:tcBorders>
                    <w:tl2br w:val="nil"/>
                    <w:tr2bl w:val="nil"/>
                  </w:tcBorders>
                  <w:shd w:val="clear" w:color="auto" w:fill="auto"/>
                  <w:vAlign w:val="center"/>
                </w:tcPr>
                <w:p w14:paraId="57D87566">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b/>
                      <w:bCs/>
                      <w:color w:val="auto"/>
                      <w:spacing w:val="6"/>
                      <w:sz w:val="21"/>
                      <w:highlight w:val="none"/>
                    </w:rPr>
                    <w:t>产生情况</w:t>
                  </w:r>
                </w:p>
              </w:tc>
            </w:tr>
            <w:tr w14:paraId="7DFD2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66A6998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D8E544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6A5BF6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E0843BF">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b/>
                      <w:bCs/>
                      <w:color w:val="auto"/>
                      <w:spacing w:val="5"/>
                      <w:sz w:val="21"/>
                      <w:highlight w:val="none"/>
                    </w:rPr>
                    <w:t>污染物</w:t>
                  </w:r>
                </w:p>
              </w:tc>
              <w:tc>
                <w:tcPr>
                  <w:tcW w:w="1457" w:type="dxa"/>
                  <w:tcBorders>
                    <w:tl2br w:val="nil"/>
                    <w:tr2bl w:val="nil"/>
                  </w:tcBorders>
                  <w:shd w:val="clear" w:color="auto" w:fill="auto"/>
                  <w:vAlign w:val="center"/>
                </w:tcPr>
                <w:p w14:paraId="1E33AB79">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产生浓度</w:t>
                  </w:r>
                </w:p>
                <w:p w14:paraId="3A33C10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b/>
                      <w:bCs/>
                      <w:color w:val="auto"/>
                      <w:spacing w:val="4"/>
                      <w:sz w:val="21"/>
                      <w:szCs w:val="20"/>
                      <w:highlight w:val="none"/>
                    </w:rPr>
                    <w:t>(</w:t>
                  </w:r>
                  <w:r>
                    <w:rPr>
                      <w:rFonts w:ascii="Times New Roman" w:hAnsi="Times New Roman" w:eastAsia="宋体" w:cs="Times New Roman"/>
                      <w:b/>
                      <w:bCs/>
                      <w:color w:val="auto"/>
                      <w:sz w:val="21"/>
                      <w:szCs w:val="20"/>
                      <w:highlight w:val="none"/>
                    </w:rPr>
                    <w:t>mg</w:t>
                  </w:r>
                  <w:r>
                    <w:rPr>
                      <w:rFonts w:ascii="Times New Roman" w:hAnsi="Times New Roman" w:eastAsia="宋体" w:cs="Times New Roman"/>
                      <w:b/>
                      <w:bCs/>
                      <w:color w:val="auto"/>
                      <w:spacing w:val="4"/>
                      <w:sz w:val="21"/>
                      <w:szCs w:val="20"/>
                      <w:highlight w:val="none"/>
                    </w:rPr>
                    <w:t>/L)</w:t>
                  </w:r>
                </w:p>
              </w:tc>
              <w:tc>
                <w:tcPr>
                  <w:tcW w:w="1456" w:type="dxa"/>
                  <w:tcBorders>
                    <w:tl2br w:val="nil"/>
                    <w:tr2bl w:val="nil"/>
                  </w:tcBorders>
                  <w:shd w:val="clear" w:color="auto" w:fill="auto"/>
                  <w:vAlign w:val="center"/>
                </w:tcPr>
                <w:p w14:paraId="4B9EB7B7">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产生量</w:t>
                  </w:r>
                </w:p>
                <w:p w14:paraId="0C50650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b/>
                      <w:bCs/>
                      <w:color w:val="auto"/>
                      <w:spacing w:val="1"/>
                      <w:sz w:val="21"/>
                      <w:szCs w:val="20"/>
                      <w:highlight w:val="none"/>
                    </w:rPr>
                    <w:t>(t/a)</w:t>
                  </w:r>
                </w:p>
              </w:tc>
            </w:tr>
            <w:tr w14:paraId="0F587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6E2A40D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4"/>
                      <w:position w:val="2"/>
                      <w:sz w:val="21"/>
                      <w:szCs w:val="20"/>
                      <w:highlight w:val="none"/>
                    </w:rPr>
                    <w:t>W</w:t>
                  </w:r>
                  <w:r>
                    <w:rPr>
                      <w:rFonts w:hint="eastAsia" w:ascii="Times New Roman" w:hAnsi="Times New Roman" w:eastAsia="宋体" w:cs="Times New Roman"/>
                      <w:color w:val="auto"/>
                      <w:spacing w:val="4"/>
                      <w:position w:val="2"/>
                      <w:sz w:val="21"/>
                      <w:szCs w:val="20"/>
                      <w:highlight w:val="none"/>
                      <w:lang w:val="en-US" w:eastAsia="zh-CN"/>
                    </w:rPr>
                    <w:t>1</w:t>
                  </w:r>
                </w:p>
              </w:tc>
              <w:tc>
                <w:tcPr>
                  <w:tcW w:w="1453" w:type="dxa"/>
                  <w:vMerge w:val="restart"/>
                  <w:tcBorders>
                    <w:tl2br w:val="nil"/>
                    <w:tr2bl w:val="nil"/>
                  </w:tcBorders>
                  <w:shd w:val="clear" w:color="auto" w:fill="auto"/>
                  <w:vAlign w:val="center"/>
                </w:tcPr>
                <w:p w14:paraId="68740D85">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7"/>
                      <w:sz w:val="21"/>
                      <w:highlight w:val="none"/>
                    </w:rPr>
                    <w:t>脱脂废水</w:t>
                  </w:r>
                </w:p>
              </w:tc>
              <w:tc>
                <w:tcPr>
                  <w:tcW w:w="1453" w:type="dxa"/>
                  <w:vMerge w:val="restart"/>
                  <w:tcBorders>
                    <w:tl2br w:val="nil"/>
                    <w:tr2bl w:val="nil"/>
                  </w:tcBorders>
                  <w:shd w:val="clear" w:color="auto" w:fill="auto"/>
                  <w:vAlign w:val="center"/>
                </w:tcPr>
                <w:p w14:paraId="5E30112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57</w:t>
                  </w:r>
                </w:p>
              </w:tc>
              <w:tc>
                <w:tcPr>
                  <w:tcW w:w="1470" w:type="dxa"/>
                  <w:tcBorders>
                    <w:tl2br w:val="nil"/>
                    <w:tr2bl w:val="nil"/>
                  </w:tcBorders>
                  <w:shd w:val="clear" w:color="auto" w:fill="auto"/>
                  <w:vAlign w:val="center"/>
                </w:tcPr>
                <w:p w14:paraId="02D0770C">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38DF687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5"/>
                      <w:position w:val="1"/>
                      <w:sz w:val="21"/>
                      <w:szCs w:val="20"/>
                      <w:highlight w:val="none"/>
                    </w:rPr>
                    <w:t>8~10</w:t>
                  </w:r>
                </w:p>
              </w:tc>
              <w:tc>
                <w:tcPr>
                  <w:tcW w:w="1456" w:type="dxa"/>
                  <w:tcBorders>
                    <w:tl2br w:val="nil"/>
                    <w:tr2bl w:val="nil"/>
                  </w:tcBorders>
                  <w:shd w:val="clear" w:color="auto" w:fill="auto"/>
                  <w:vAlign w:val="center"/>
                </w:tcPr>
                <w:p w14:paraId="51814CA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1DE03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27F9694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09F139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799EE4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9B6F47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65C82A7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2000</w:t>
                  </w:r>
                </w:p>
              </w:tc>
              <w:tc>
                <w:tcPr>
                  <w:tcW w:w="1456" w:type="dxa"/>
                  <w:tcBorders>
                    <w:tl2br w:val="nil"/>
                    <w:tr2bl w:val="nil"/>
                  </w:tcBorders>
                  <w:shd w:val="clear" w:color="auto" w:fill="auto"/>
                  <w:vAlign w:val="center"/>
                </w:tcPr>
                <w:p w14:paraId="5A3BC21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0.114</w:t>
                  </w:r>
                </w:p>
              </w:tc>
            </w:tr>
            <w:tr w14:paraId="59083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BD620C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62421E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D7FDA9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ADBBEA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60B5F9F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4C9AEE6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0.0456</w:t>
                  </w:r>
                </w:p>
              </w:tc>
            </w:tr>
            <w:tr w14:paraId="1A072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BF8AA2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E23374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9DCA00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2C469D9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6E76A44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600</w:t>
                  </w:r>
                </w:p>
              </w:tc>
              <w:tc>
                <w:tcPr>
                  <w:tcW w:w="1456" w:type="dxa"/>
                  <w:tcBorders>
                    <w:tl2br w:val="nil"/>
                    <w:tr2bl w:val="nil"/>
                  </w:tcBorders>
                  <w:shd w:val="clear" w:color="auto" w:fill="auto"/>
                  <w:vAlign w:val="center"/>
                </w:tcPr>
                <w:p w14:paraId="73D51EB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0.0342</w:t>
                  </w:r>
                </w:p>
              </w:tc>
            </w:tr>
            <w:tr w14:paraId="35F2E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18C8A9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F71AAF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2E2E9E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9632407">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47E187E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4CBF2BB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0.0456</w:t>
                  </w:r>
                </w:p>
              </w:tc>
            </w:tr>
            <w:tr w14:paraId="21EFC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3793F0A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6986FA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005301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8D876C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LAS</w:t>
                  </w:r>
                </w:p>
              </w:tc>
              <w:tc>
                <w:tcPr>
                  <w:tcW w:w="1457" w:type="dxa"/>
                  <w:tcBorders>
                    <w:tl2br w:val="nil"/>
                    <w:tr2bl w:val="nil"/>
                  </w:tcBorders>
                  <w:shd w:val="clear" w:color="auto" w:fill="auto"/>
                  <w:vAlign w:val="center"/>
                </w:tcPr>
                <w:p w14:paraId="3FC4C6C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30</w:t>
                  </w:r>
                </w:p>
              </w:tc>
              <w:tc>
                <w:tcPr>
                  <w:tcW w:w="1456" w:type="dxa"/>
                  <w:tcBorders>
                    <w:tl2br w:val="nil"/>
                    <w:tr2bl w:val="nil"/>
                  </w:tcBorders>
                  <w:shd w:val="clear" w:color="auto" w:fill="auto"/>
                  <w:vAlign w:val="center"/>
                </w:tcPr>
                <w:p w14:paraId="471741B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0.00171</w:t>
                  </w:r>
                </w:p>
              </w:tc>
            </w:tr>
            <w:tr w14:paraId="65462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08DE82AD">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2</w:t>
                  </w:r>
                  <w:r>
                    <w:rPr>
                      <w:rFonts w:ascii="Times New Roman" w:hAnsi="Times New Roman" w:eastAsia="宋体"/>
                      <w:color w:val="auto"/>
                      <w:spacing w:val="-7"/>
                      <w:position w:val="2"/>
                      <w:sz w:val="21"/>
                      <w:highlight w:val="none"/>
                    </w:rPr>
                    <w:t>、</w:t>
                  </w: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3</w:t>
                  </w:r>
                </w:p>
              </w:tc>
              <w:tc>
                <w:tcPr>
                  <w:tcW w:w="1453" w:type="dxa"/>
                  <w:vMerge w:val="restart"/>
                  <w:tcBorders>
                    <w:tl2br w:val="nil"/>
                    <w:tr2bl w:val="nil"/>
                  </w:tcBorders>
                  <w:shd w:val="clear" w:color="auto" w:fill="auto"/>
                  <w:vAlign w:val="center"/>
                </w:tcPr>
                <w:p w14:paraId="1B219278">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8"/>
                      <w:sz w:val="21"/>
                      <w:highlight w:val="none"/>
                    </w:rPr>
                    <w:t>脱脂后水洗废</w:t>
                  </w:r>
                  <w:r>
                    <w:rPr>
                      <w:rFonts w:ascii="Times New Roman" w:hAnsi="Times New Roman" w:eastAsia="宋体"/>
                      <w:color w:val="auto"/>
                      <w:sz w:val="21"/>
                      <w:highlight w:val="none"/>
                    </w:rPr>
                    <w:t>水</w:t>
                  </w:r>
                </w:p>
              </w:tc>
              <w:tc>
                <w:tcPr>
                  <w:tcW w:w="1453" w:type="dxa"/>
                  <w:vMerge w:val="restart"/>
                  <w:tcBorders>
                    <w:tl2br w:val="nil"/>
                    <w:tr2bl w:val="nil"/>
                  </w:tcBorders>
                  <w:shd w:val="clear" w:color="auto" w:fill="auto"/>
                  <w:vAlign w:val="center"/>
                </w:tcPr>
                <w:p w14:paraId="08BE409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2"/>
                      <w:sz w:val="21"/>
                      <w:szCs w:val="20"/>
                      <w:highlight w:val="none"/>
                    </w:rPr>
                    <w:t>171</w:t>
                  </w:r>
                </w:p>
              </w:tc>
              <w:tc>
                <w:tcPr>
                  <w:tcW w:w="1470" w:type="dxa"/>
                  <w:tcBorders>
                    <w:tl2br w:val="nil"/>
                    <w:tr2bl w:val="nil"/>
                  </w:tcBorders>
                  <w:shd w:val="clear" w:color="auto" w:fill="auto"/>
                  <w:vAlign w:val="center"/>
                </w:tcPr>
                <w:p w14:paraId="03AEBC35">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4BCBCA9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7~9</w:t>
                  </w:r>
                </w:p>
              </w:tc>
              <w:tc>
                <w:tcPr>
                  <w:tcW w:w="1456" w:type="dxa"/>
                  <w:tcBorders>
                    <w:tl2br w:val="nil"/>
                    <w:tr2bl w:val="nil"/>
                  </w:tcBorders>
                  <w:shd w:val="clear" w:color="auto" w:fill="auto"/>
                  <w:vAlign w:val="center"/>
                </w:tcPr>
                <w:p w14:paraId="15DB341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34612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4A4E87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313BA9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FE4900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8D9B21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15B34F8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800</w:t>
                  </w:r>
                </w:p>
              </w:tc>
              <w:tc>
                <w:tcPr>
                  <w:tcW w:w="1456" w:type="dxa"/>
                  <w:tcBorders>
                    <w:tl2br w:val="nil"/>
                    <w:tr2bl w:val="nil"/>
                  </w:tcBorders>
                  <w:shd w:val="clear" w:color="auto" w:fill="auto"/>
                  <w:vAlign w:val="center"/>
                </w:tcPr>
                <w:p w14:paraId="6541A4D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0.1368</w:t>
                  </w:r>
                </w:p>
              </w:tc>
            </w:tr>
            <w:tr w14:paraId="4FD60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6133A1A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08B423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F0665C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A40D12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4B51D9C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300</w:t>
                  </w:r>
                </w:p>
              </w:tc>
              <w:tc>
                <w:tcPr>
                  <w:tcW w:w="1456" w:type="dxa"/>
                  <w:tcBorders>
                    <w:tl2br w:val="nil"/>
                    <w:tr2bl w:val="nil"/>
                  </w:tcBorders>
                  <w:shd w:val="clear" w:color="auto" w:fill="auto"/>
                  <w:vAlign w:val="center"/>
                </w:tcPr>
                <w:p w14:paraId="677372D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0.0513</w:t>
                  </w:r>
                </w:p>
              </w:tc>
            </w:tr>
            <w:tr w14:paraId="0D082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2BB8F4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2B5785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7A1FD9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A91D47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6171578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position w:val="1"/>
                      <w:sz w:val="21"/>
                      <w:szCs w:val="20"/>
                      <w:highlight w:val="none"/>
                    </w:rPr>
                    <w:t>400</w:t>
                  </w:r>
                </w:p>
              </w:tc>
              <w:tc>
                <w:tcPr>
                  <w:tcW w:w="1456" w:type="dxa"/>
                  <w:tcBorders>
                    <w:tl2br w:val="nil"/>
                    <w:tr2bl w:val="nil"/>
                  </w:tcBorders>
                  <w:shd w:val="clear" w:color="auto" w:fill="auto"/>
                  <w:vAlign w:val="center"/>
                </w:tcPr>
                <w:p w14:paraId="02537B1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0.0684</w:t>
                  </w:r>
                </w:p>
              </w:tc>
            </w:tr>
            <w:tr w14:paraId="18333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3D82BF8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6417B3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9A6289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F34A033">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6D2D22B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140</w:t>
                  </w:r>
                </w:p>
              </w:tc>
              <w:tc>
                <w:tcPr>
                  <w:tcW w:w="1456" w:type="dxa"/>
                  <w:tcBorders>
                    <w:tl2br w:val="nil"/>
                    <w:tr2bl w:val="nil"/>
                  </w:tcBorders>
                  <w:shd w:val="clear" w:color="auto" w:fill="auto"/>
                  <w:vAlign w:val="center"/>
                </w:tcPr>
                <w:p w14:paraId="14B343A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0.0239</w:t>
                  </w:r>
                </w:p>
              </w:tc>
            </w:tr>
            <w:tr w14:paraId="32274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EDC3BC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0BF554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000B9D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E4DB02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LAS</w:t>
                  </w:r>
                </w:p>
              </w:tc>
              <w:tc>
                <w:tcPr>
                  <w:tcW w:w="1457" w:type="dxa"/>
                  <w:tcBorders>
                    <w:tl2br w:val="nil"/>
                    <w:tr2bl w:val="nil"/>
                  </w:tcBorders>
                  <w:shd w:val="clear" w:color="auto" w:fill="auto"/>
                  <w:vAlign w:val="center"/>
                </w:tcPr>
                <w:p w14:paraId="1783F6C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w:t>
                  </w:r>
                </w:p>
              </w:tc>
              <w:tc>
                <w:tcPr>
                  <w:tcW w:w="1456" w:type="dxa"/>
                  <w:tcBorders>
                    <w:tl2br w:val="nil"/>
                    <w:tr2bl w:val="nil"/>
                  </w:tcBorders>
                  <w:shd w:val="clear" w:color="auto" w:fill="auto"/>
                  <w:vAlign w:val="center"/>
                </w:tcPr>
                <w:p w14:paraId="39FDA42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0.0008</w:t>
                  </w:r>
                </w:p>
              </w:tc>
            </w:tr>
            <w:tr w14:paraId="58ADE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5A5C1145">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4</w:t>
                  </w:r>
                  <w:r>
                    <w:rPr>
                      <w:rFonts w:ascii="Times New Roman" w:hAnsi="Times New Roman" w:eastAsia="宋体"/>
                      <w:color w:val="auto"/>
                      <w:spacing w:val="-7"/>
                      <w:position w:val="2"/>
                      <w:sz w:val="21"/>
                      <w:highlight w:val="none"/>
                    </w:rPr>
                    <w:t>、</w:t>
                  </w: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5</w:t>
                  </w:r>
                </w:p>
              </w:tc>
              <w:tc>
                <w:tcPr>
                  <w:tcW w:w="1453" w:type="dxa"/>
                  <w:vMerge w:val="restart"/>
                  <w:tcBorders>
                    <w:tl2br w:val="nil"/>
                    <w:tr2bl w:val="nil"/>
                  </w:tcBorders>
                  <w:shd w:val="clear" w:color="auto" w:fill="auto"/>
                  <w:vAlign w:val="center"/>
                </w:tcPr>
                <w:p w14:paraId="5752B049">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8"/>
                      <w:sz w:val="21"/>
                      <w:highlight w:val="none"/>
                    </w:rPr>
                    <w:t>硅烷后水洗废</w:t>
                  </w:r>
                  <w:r>
                    <w:rPr>
                      <w:rFonts w:ascii="Times New Roman" w:hAnsi="Times New Roman" w:eastAsia="宋体"/>
                      <w:color w:val="auto"/>
                      <w:sz w:val="21"/>
                      <w:highlight w:val="none"/>
                    </w:rPr>
                    <w:t>水</w:t>
                  </w:r>
                </w:p>
              </w:tc>
              <w:tc>
                <w:tcPr>
                  <w:tcW w:w="1453" w:type="dxa"/>
                  <w:vMerge w:val="restart"/>
                  <w:tcBorders>
                    <w:tl2br w:val="nil"/>
                    <w:tr2bl w:val="nil"/>
                  </w:tcBorders>
                  <w:shd w:val="clear" w:color="auto" w:fill="auto"/>
                  <w:vAlign w:val="center"/>
                </w:tcPr>
                <w:p w14:paraId="6E132B6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2"/>
                      <w:sz w:val="21"/>
                      <w:szCs w:val="20"/>
                      <w:highlight w:val="none"/>
                    </w:rPr>
                    <w:t>171</w:t>
                  </w:r>
                </w:p>
              </w:tc>
              <w:tc>
                <w:tcPr>
                  <w:tcW w:w="1470" w:type="dxa"/>
                  <w:tcBorders>
                    <w:tl2br w:val="nil"/>
                    <w:tr2bl w:val="nil"/>
                  </w:tcBorders>
                  <w:shd w:val="clear" w:color="auto" w:fill="auto"/>
                  <w:vAlign w:val="center"/>
                </w:tcPr>
                <w:p w14:paraId="6794BC27">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4DCBFB6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6~7</w:t>
                  </w:r>
                </w:p>
              </w:tc>
              <w:tc>
                <w:tcPr>
                  <w:tcW w:w="1456" w:type="dxa"/>
                  <w:tcBorders>
                    <w:tl2br w:val="nil"/>
                    <w:tr2bl w:val="nil"/>
                  </w:tcBorders>
                  <w:shd w:val="clear" w:color="auto" w:fill="auto"/>
                  <w:vAlign w:val="center"/>
                </w:tcPr>
                <w:p w14:paraId="41F73A4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27B20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89538E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2D48D5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170574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14096F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32A6CC6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800</w:t>
                  </w:r>
                </w:p>
              </w:tc>
              <w:tc>
                <w:tcPr>
                  <w:tcW w:w="1456" w:type="dxa"/>
                  <w:tcBorders>
                    <w:tl2br w:val="nil"/>
                    <w:tr2bl w:val="nil"/>
                  </w:tcBorders>
                  <w:shd w:val="clear" w:color="auto" w:fill="auto"/>
                  <w:vAlign w:val="center"/>
                </w:tcPr>
                <w:p w14:paraId="024C040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0.1368</w:t>
                  </w:r>
                </w:p>
              </w:tc>
            </w:tr>
            <w:tr w14:paraId="14683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4726B7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E6EF42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B72FAE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DD9940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7B45DD8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300</w:t>
                  </w:r>
                </w:p>
              </w:tc>
              <w:tc>
                <w:tcPr>
                  <w:tcW w:w="1456" w:type="dxa"/>
                  <w:tcBorders>
                    <w:tl2br w:val="nil"/>
                    <w:tr2bl w:val="nil"/>
                  </w:tcBorders>
                  <w:shd w:val="clear" w:color="auto" w:fill="auto"/>
                  <w:vAlign w:val="center"/>
                </w:tcPr>
                <w:p w14:paraId="51CAEC2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0.0513</w:t>
                  </w:r>
                </w:p>
              </w:tc>
            </w:tr>
            <w:tr w14:paraId="52DAF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A02702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1E18EF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FCF683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3487BC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042F020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30</w:t>
                  </w:r>
                </w:p>
              </w:tc>
              <w:tc>
                <w:tcPr>
                  <w:tcW w:w="1456" w:type="dxa"/>
                  <w:tcBorders>
                    <w:tl2br w:val="nil"/>
                    <w:tr2bl w:val="nil"/>
                  </w:tcBorders>
                  <w:shd w:val="clear" w:color="auto" w:fill="auto"/>
                  <w:vAlign w:val="center"/>
                </w:tcPr>
                <w:p w14:paraId="1AF475C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0.00513</w:t>
                  </w:r>
                </w:p>
              </w:tc>
            </w:tr>
            <w:tr w14:paraId="1B906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DA6C02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F82369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1ED2F8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97CF32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37E45FF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400</w:t>
                  </w:r>
                </w:p>
              </w:tc>
              <w:tc>
                <w:tcPr>
                  <w:tcW w:w="1456" w:type="dxa"/>
                  <w:tcBorders>
                    <w:tl2br w:val="nil"/>
                    <w:tr2bl w:val="nil"/>
                  </w:tcBorders>
                  <w:shd w:val="clear" w:color="auto" w:fill="auto"/>
                  <w:vAlign w:val="center"/>
                </w:tcPr>
                <w:p w14:paraId="36FFF9C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0.0684</w:t>
                  </w:r>
                </w:p>
              </w:tc>
            </w:tr>
            <w:tr w14:paraId="613AA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894075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622833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E05CD9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26805B0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TN</w:t>
                  </w:r>
                </w:p>
              </w:tc>
              <w:tc>
                <w:tcPr>
                  <w:tcW w:w="1457" w:type="dxa"/>
                  <w:tcBorders>
                    <w:tl2br w:val="nil"/>
                    <w:tr2bl w:val="nil"/>
                  </w:tcBorders>
                  <w:shd w:val="clear" w:color="auto" w:fill="auto"/>
                  <w:vAlign w:val="center"/>
                </w:tcPr>
                <w:p w14:paraId="3BD90B2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50</w:t>
                  </w:r>
                </w:p>
              </w:tc>
              <w:tc>
                <w:tcPr>
                  <w:tcW w:w="1456" w:type="dxa"/>
                  <w:tcBorders>
                    <w:tl2br w:val="nil"/>
                    <w:tr2bl w:val="nil"/>
                  </w:tcBorders>
                  <w:shd w:val="clear" w:color="auto" w:fill="auto"/>
                  <w:vAlign w:val="center"/>
                </w:tcPr>
                <w:p w14:paraId="1D99546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0.0085</w:t>
                  </w:r>
                </w:p>
              </w:tc>
            </w:tr>
            <w:tr w14:paraId="6E1D5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vAlign w:val="center"/>
                </w:tcPr>
                <w:p w14:paraId="417A0D8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14"/>
                      <w:position w:val="2"/>
                      <w:sz w:val="21"/>
                      <w:szCs w:val="20"/>
                      <w:highlight w:val="none"/>
                    </w:rPr>
                    <w:t>W</w:t>
                  </w:r>
                  <w:r>
                    <w:rPr>
                      <w:rFonts w:hint="eastAsia" w:ascii="Times New Roman" w:hAnsi="Times New Roman" w:eastAsia="宋体" w:cs="Times New Roman"/>
                      <w:color w:val="auto"/>
                      <w:spacing w:val="14"/>
                      <w:position w:val="2"/>
                      <w:sz w:val="21"/>
                      <w:szCs w:val="20"/>
                      <w:highlight w:val="none"/>
                      <w:lang w:val="en-US" w:eastAsia="zh-CN"/>
                    </w:rPr>
                    <w:t>6</w:t>
                  </w:r>
                </w:p>
              </w:tc>
              <w:tc>
                <w:tcPr>
                  <w:tcW w:w="1453" w:type="dxa"/>
                  <w:vMerge w:val="restart"/>
                  <w:tcBorders>
                    <w:tl2br w:val="nil"/>
                    <w:tr2bl w:val="nil"/>
                  </w:tcBorders>
                  <w:vAlign w:val="center"/>
                </w:tcPr>
                <w:p w14:paraId="485395CA">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hint="eastAsia" w:ascii="Times New Roman" w:hAnsi="Times New Roman" w:eastAsia="宋体"/>
                      <w:color w:val="auto"/>
                      <w:spacing w:val="6"/>
                      <w:sz w:val="21"/>
                      <w:highlight w:val="none"/>
                      <w:lang w:val="en-US" w:eastAsia="zh-CN"/>
                    </w:rPr>
                    <w:t>纯</w:t>
                  </w:r>
                  <w:r>
                    <w:rPr>
                      <w:rFonts w:ascii="Times New Roman" w:hAnsi="Times New Roman" w:eastAsia="宋体"/>
                      <w:color w:val="auto"/>
                      <w:spacing w:val="6"/>
                      <w:sz w:val="21"/>
                      <w:highlight w:val="none"/>
                    </w:rPr>
                    <w:t>水洗</w:t>
                  </w:r>
                  <w:r>
                    <w:rPr>
                      <w:rFonts w:hint="eastAsia" w:ascii="Times New Roman" w:hAnsi="Times New Roman"/>
                      <w:color w:val="auto"/>
                      <w:spacing w:val="6"/>
                      <w:sz w:val="21"/>
                      <w:highlight w:val="none"/>
                      <w:lang w:val="en-US" w:eastAsia="zh-CN"/>
                    </w:rPr>
                    <w:t>2</w:t>
                  </w:r>
                  <w:r>
                    <w:rPr>
                      <w:rFonts w:ascii="Times New Roman" w:hAnsi="Times New Roman" w:eastAsia="宋体"/>
                      <w:color w:val="auto"/>
                      <w:spacing w:val="6"/>
                      <w:sz w:val="21"/>
                      <w:highlight w:val="none"/>
                    </w:rPr>
                    <w:t>废水</w:t>
                  </w:r>
                </w:p>
              </w:tc>
              <w:tc>
                <w:tcPr>
                  <w:tcW w:w="1453" w:type="dxa"/>
                  <w:vMerge w:val="restart"/>
                  <w:tcBorders>
                    <w:tl2br w:val="nil"/>
                    <w:tr2bl w:val="nil"/>
                  </w:tcBorders>
                  <w:vAlign w:val="center"/>
                </w:tcPr>
                <w:p w14:paraId="62EFA84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1"/>
                      <w:sz w:val="21"/>
                      <w:szCs w:val="20"/>
                      <w:highlight w:val="none"/>
                    </w:rPr>
                    <w:t>111</w:t>
                  </w:r>
                </w:p>
              </w:tc>
              <w:tc>
                <w:tcPr>
                  <w:tcW w:w="1470" w:type="dxa"/>
                  <w:tcBorders>
                    <w:tl2br w:val="nil"/>
                    <w:tr2bl w:val="nil"/>
                  </w:tcBorders>
                  <w:shd w:val="clear" w:color="auto" w:fill="auto"/>
                  <w:vAlign w:val="center"/>
                </w:tcPr>
                <w:p w14:paraId="14AB3AC1">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79DF796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041F061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1"/>
                      <w:position w:val="-2"/>
                      <w:sz w:val="21"/>
                      <w:szCs w:val="20"/>
                      <w:highlight w:val="none"/>
                    </w:rPr>
                    <w:t>-----</w:t>
                  </w:r>
                </w:p>
              </w:tc>
            </w:tr>
            <w:tr w14:paraId="00D2E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28B4EDE">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4C3730F">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4D56A19">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A16044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77E9687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4"/>
                      <w:sz w:val="21"/>
                      <w:szCs w:val="20"/>
                      <w:highlight w:val="none"/>
                    </w:rPr>
                    <w:t>450</w:t>
                  </w:r>
                </w:p>
              </w:tc>
              <w:tc>
                <w:tcPr>
                  <w:tcW w:w="1456" w:type="dxa"/>
                  <w:tcBorders>
                    <w:tl2br w:val="nil"/>
                    <w:tr2bl w:val="nil"/>
                  </w:tcBorders>
                  <w:shd w:val="clear" w:color="auto" w:fill="auto"/>
                  <w:vAlign w:val="center"/>
                </w:tcPr>
                <w:p w14:paraId="4D4C50A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sz w:val="21"/>
                      <w:szCs w:val="20"/>
                      <w:highlight w:val="none"/>
                    </w:rPr>
                    <w:t>0.0499</w:t>
                  </w:r>
                </w:p>
              </w:tc>
            </w:tr>
            <w:tr w14:paraId="49BE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5C7F2BF">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3D8140A">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BCD0055">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2F1DF24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023EA6B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2"/>
                      <w:sz w:val="21"/>
                      <w:szCs w:val="20"/>
                      <w:highlight w:val="none"/>
                    </w:rPr>
                    <w:t>200</w:t>
                  </w:r>
                </w:p>
              </w:tc>
              <w:tc>
                <w:tcPr>
                  <w:tcW w:w="1456" w:type="dxa"/>
                  <w:tcBorders>
                    <w:tl2br w:val="nil"/>
                    <w:tr2bl w:val="nil"/>
                  </w:tcBorders>
                  <w:shd w:val="clear" w:color="auto" w:fill="auto"/>
                  <w:vAlign w:val="center"/>
                </w:tcPr>
                <w:p w14:paraId="53B4A6E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sz w:val="21"/>
                      <w:szCs w:val="20"/>
                      <w:highlight w:val="none"/>
                    </w:rPr>
                    <w:t>0.0222</w:t>
                  </w:r>
                </w:p>
              </w:tc>
            </w:tr>
            <w:tr w14:paraId="11D00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36CB3A31">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4B79388">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EA80310">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E56EF0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398BA3A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4AE8177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0.0888</w:t>
                  </w:r>
                </w:p>
              </w:tc>
            </w:tr>
            <w:tr w14:paraId="71D80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6FC34F7C">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C1F797D">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7A9D5A4">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4CA1FDB">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3A4374C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180</w:t>
                  </w:r>
                </w:p>
              </w:tc>
              <w:tc>
                <w:tcPr>
                  <w:tcW w:w="1456" w:type="dxa"/>
                  <w:tcBorders>
                    <w:tl2br w:val="nil"/>
                    <w:tr2bl w:val="nil"/>
                  </w:tcBorders>
                  <w:shd w:val="clear" w:color="auto" w:fill="auto"/>
                  <w:vAlign w:val="center"/>
                </w:tcPr>
                <w:p w14:paraId="1910CFB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0.0199</w:t>
                  </w:r>
                </w:p>
              </w:tc>
            </w:tr>
            <w:tr w14:paraId="38EF9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3F6B4CC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6"/>
                      <w:sz w:val="21"/>
                      <w:szCs w:val="20"/>
                      <w:highlight w:val="none"/>
                    </w:rPr>
                    <w:t>W7</w:t>
                  </w:r>
                </w:p>
              </w:tc>
              <w:tc>
                <w:tcPr>
                  <w:tcW w:w="1453" w:type="dxa"/>
                  <w:vMerge w:val="restart"/>
                  <w:tcBorders>
                    <w:tl2br w:val="nil"/>
                    <w:tr2bl w:val="nil"/>
                  </w:tcBorders>
                  <w:shd w:val="clear" w:color="auto" w:fill="auto"/>
                  <w:vAlign w:val="center"/>
                </w:tcPr>
                <w:p w14:paraId="6ECA1C6D">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7"/>
                      <w:sz w:val="21"/>
                      <w:highlight w:val="none"/>
                    </w:rPr>
                    <w:t>纯水制备尾水</w:t>
                  </w:r>
                </w:p>
              </w:tc>
              <w:tc>
                <w:tcPr>
                  <w:tcW w:w="1453" w:type="dxa"/>
                  <w:vMerge w:val="restart"/>
                  <w:tcBorders>
                    <w:tl2br w:val="nil"/>
                    <w:tr2bl w:val="nil"/>
                  </w:tcBorders>
                  <w:shd w:val="clear" w:color="auto" w:fill="auto"/>
                  <w:vAlign w:val="center"/>
                </w:tcPr>
                <w:p w14:paraId="1D59FB9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8"/>
                      <w:position w:val="2"/>
                      <w:sz w:val="21"/>
                      <w:szCs w:val="20"/>
                      <w:highlight w:val="none"/>
                    </w:rPr>
                    <w:t>18</w:t>
                  </w:r>
                </w:p>
              </w:tc>
              <w:tc>
                <w:tcPr>
                  <w:tcW w:w="1470" w:type="dxa"/>
                  <w:tcBorders>
                    <w:tl2br w:val="nil"/>
                    <w:tr2bl w:val="nil"/>
                  </w:tcBorders>
                  <w:shd w:val="clear" w:color="auto" w:fill="auto"/>
                  <w:vAlign w:val="center"/>
                </w:tcPr>
                <w:p w14:paraId="1012BF09">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790DE17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75DCDCE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724D2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9ADF6B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F45D3C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09D1BD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F59961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3CA4094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150</w:t>
                  </w:r>
                </w:p>
              </w:tc>
              <w:tc>
                <w:tcPr>
                  <w:tcW w:w="1456" w:type="dxa"/>
                  <w:tcBorders>
                    <w:tl2br w:val="nil"/>
                    <w:tr2bl w:val="nil"/>
                  </w:tcBorders>
                  <w:shd w:val="clear" w:color="auto" w:fill="auto"/>
                  <w:vAlign w:val="center"/>
                </w:tcPr>
                <w:p w14:paraId="4B45643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0.0027</w:t>
                  </w:r>
                </w:p>
              </w:tc>
            </w:tr>
            <w:tr w14:paraId="01F5D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E602DE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AC4311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0F91E4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EB1239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1364628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100</w:t>
                  </w:r>
                </w:p>
              </w:tc>
              <w:tc>
                <w:tcPr>
                  <w:tcW w:w="1456" w:type="dxa"/>
                  <w:tcBorders>
                    <w:tl2br w:val="nil"/>
                    <w:tr2bl w:val="nil"/>
                  </w:tcBorders>
                  <w:shd w:val="clear" w:color="auto" w:fill="auto"/>
                  <w:vAlign w:val="center"/>
                </w:tcPr>
                <w:p w14:paraId="58A331A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0.0018</w:t>
                  </w:r>
                </w:p>
              </w:tc>
            </w:tr>
            <w:tr w14:paraId="3F453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5777B73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4"/>
                      <w:position w:val="2"/>
                      <w:sz w:val="21"/>
                      <w:szCs w:val="20"/>
                      <w:highlight w:val="none"/>
                    </w:rPr>
                    <w:t>W8</w:t>
                  </w:r>
                </w:p>
              </w:tc>
              <w:tc>
                <w:tcPr>
                  <w:tcW w:w="1453" w:type="dxa"/>
                  <w:vMerge w:val="restart"/>
                  <w:tcBorders>
                    <w:tl2br w:val="nil"/>
                    <w:tr2bl w:val="nil"/>
                  </w:tcBorders>
                  <w:shd w:val="clear" w:color="auto" w:fill="auto"/>
                  <w:vAlign w:val="center"/>
                </w:tcPr>
                <w:p w14:paraId="23777FF3">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6"/>
                      <w:sz w:val="21"/>
                      <w:highlight w:val="none"/>
                    </w:rPr>
                    <w:t>生活污水</w:t>
                  </w:r>
                </w:p>
              </w:tc>
              <w:tc>
                <w:tcPr>
                  <w:tcW w:w="1453" w:type="dxa"/>
                  <w:vMerge w:val="restart"/>
                  <w:tcBorders>
                    <w:tl2br w:val="nil"/>
                    <w:tr2bl w:val="nil"/>
                  </w:tcBorders>
                  <w:shd w:val="clear" w:color="auto" w:fill="auto"/>
                  <w:vAlign w:val="center"/>
                </w:tcPr>
                <w:p w14:paraId="7901A1C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olor w:val="auto"/>
                      <w:sz w:val="21"/>
                      <w:highlight w:val="none"/>
                      <w:vertAlign w:val="baseline"/>
                      <w:lang w:val="en-US" w:eastAsia="zh-CN"/>
                    </w:rPr>
                  </w:pPr>
                  <w:r>
                    <w:rPr>
                      <w:rFonts w:hint="eastAsia" w:ascii="Times New Roman" w:hAnsi="Times New Roman" w:eastAsia="宋体" w:cs="Times New Roman"/>
                      <w:color w:val="auto"/>
                      <w:spacing w:val="1"/>
                      <w:position w:val="2"/>
                      <w:sz w:val="21"/>
                      <w:szCs w:val="20"/>
                      <w:highlight w:val="none"/>
                      <w:lang w:val="en-US" w:eastAsia="zh-CN"/>
                    </w:rPr>
                    <w:t>360</w:t>
                  </w:r>
                </w:p>
              </w:tc>
              <w:tc>
                <w:tcPr>
                  <w:tcW w:w="1470" w:type="dxa"/>
                  <w:tcBorders>
                    <w:tl2br w:val="nil"/>
                    <w:tr2bl w:val="nil"/>
                  </w:tcBorders>
                  <w:shd w:val="clear" w:color="auto" w:fill="auto"/>
                  <w:vAlign w:val="center"/>
                </w:tcPr>
                <w:p w14:paraId="36EDE501">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67F0FE2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62B2CF2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highlight w:val="none"/>
                    </w:rPr>
                    <w:t>-----</w:t>
                  </w:r>
                </w:p>
              </w:tc>
            </w:tr>
            <w:tr w14:paraId="3CFCC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7BBB79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35F363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5A6D35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8AFE36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CODcr</w:t>
                  </w:r>
                </w:p>
              </w:tc>
              <w:tc>
                <w:tcPr>
                  <w:tcW w:w="1457" w:type="dxa"/>
                  <w:tcBorders>
                    <w:tl2br w:val="nil"/>
                    <w:tr2bl w:val="nil"/>
                  </w:tcBorders>
                  <w:shd w:val="clear" w:color="auto" w:fill="auto"/>
                  <w:vAlign w:val="center"/>
                </w:tcPr>
                <w:p w14:paraId="633CB47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2"/>
                      <w:sz w:val="21"/>
                      <w:szCs w:val="20"/>
                      <w:highlight w:val="none"/>
                    </w:rPr>
                    <w:t>300</w:t>
                  </w:r>
                </w:p>
              </w:tc>
              <w:tc>
                <w:tcPr>
                  <w:tcW w:w="1456" w:type="dxa"/>
                  <w:tcBorders>
                    <w:tl2br w:val="nil"/>
                    <w:tr2bl w:val="nil"/>
                  </w:tcBorders>
                  <w:shd w:val="clear" w:color="auto" w:fill="auto"/>
                  <w:vAlign w:val="center"/>
                </w:tcPr>
                <w:p w14:paraId="5BD19F3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0.108</w:t>
                  </w:r>
                </w:p>
              </w:tc>
            </w:tr>
            <w:tr w14:paraId="1E0AF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7A876A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853B14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DCA8CB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12707EF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6FD6408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position w:val="1"/>
                      <w:sz w:val="21"/>
                      <w:szCs w:val="20"/>
                      <w:highlight w:val="none"/>
                    </w:rPr>
                    <w:t>150</w:t>
                  </w:r>
                </w:p>
              </w:tc>
              <w:tc>
                <w:tcPr>
                  <w:tcW w:w="1456" w:type="dxa"/>
                  <w:tcBorders>
                    <w:tl2br w:val="nil"/>
                    <w:tr2bl w:val="nil"/>
                  </w:tcBorders>
                  <w:shd w:val="clear" w:color="auto" w:fill="auto"/>
                  <w:vAlign w:val="center"/>
                </w:tcPr>
                <w:p w14:paraId="0E9C34E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0.054</w:t>
                  </w:r>
                </w:p>
              </w:tc>
            </w:tr>
            <w:tr w14:paraId="506BD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61B629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114099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D9BB85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6FC4F7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614DC0F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25</w:t>
                  </w:r>
                </w:p>
              </w:tc>
              <w:tc>
                <w:tcPr>
                  <w:tcW w:w="1456" w:type="dxa"/>
                  <w:tcBorders>
                    <w:tl2br w:val="nil"/>
                    <w:tr2bl w:val="nil"/>
                  </w:tcBorders>
                  <w:shd w:val="clear" w:color="auto" w:fill="auto"/>
                  <w:vAlign w:val="center"/>
                </w:tcPr>
                <w:p w14:paraId="3407AF3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0.009</w:t>
                  </w:r>
                </w:p>
              </w:tc>
            </w:tr>
            <w:tr w14:paraId="3BD0D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99FBB2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FF9C4B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EC80BB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D539AE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0498619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200</w:t>
                  </w:r>
                </w:p>
              </w:tc>
              <w:tc>
                <w:tcPr>
                  <w:tcW w:w="1456" w:type="dxa"/>
                  <w:tcBorders>
                    <w:tl2br w:val="nil"/>
                    <w:tr2bl w:val="nil"/>
                  </w:tcBorders>
                  <w:shd w:val="clear" w:color="auto" w:fill="auto"/>
                  <w:vAlign w:val="center"/>
                </w:tcPr>
                <w:p w14:paraId="1554A3A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0.072</w:t>
                  </w:r>
                </w:p>
              </w:tc>
            </w:tr>
            <w:tr w14:paraId="43F6E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5FCCBB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68343E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EC6CEAD">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49C703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TN</w:t>
                  </w:r>
                </w:p>
              </w:tc>
              <w:tc>
                <w:tcPr>
                  <w:tcW w:w="1457" w:type="dxa"/>
                  <w:tcBorders>
                    <w:tl2br w:val="nil"/>
                    <w:tr2bl w:val="nil"/>
                  </w:tcBorders>
                  <w:shd w:val="clear" w:color="auto" w:fill="auto"/>
                  <w:vAlign w:val="center"/>
                </w:tcPr>
                <w:p w14:paraId="6879B46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40</w:t>
                  </w:r>
                </w:p>
              </w:tc>
              <w:tc>
                <w:tcPr>
                  <w:tcW w:w="1456" w:type="dxa"/>
                  <w:tcBorders>
                    <w:tl2br w:val="nil"/>
                    <w:tr2bl w:val="nil"/>
                  </w:tcBorders>
                  <w:shd w:val="clear" w:color="auto" w:fill="auto"/>
                  <w:vAlign w:val="center"/>
                </w:tcPr>
                <w:p w14:paraId="1467342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1"/>
                      <w:sz w:val="21"/>
                      <w:szCs w:val="20"/>
                      <w:highlight w:val="none"/>
                      <w:lang w:val="en-US" w:eastAsia="zh-CN"/>
                    </w:rPr>
                    <w:t>0.0144</w:t>
                  </w:r>
                </w:p>
              </w:tc>
            </w:tr>
            <w:tr w14:paraId="1A3C7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vAlign w:val="center"/>
                </w:tcPr>
                <w:p w14:paraId="410FE3C3">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6"/>
                      <w:sz w:val="21"/>
                      <w:highlight w:val="none"/>
                      <w:lang w:val="en-US" w:eastAsia="zh-CN"/>
                    </w:rPr>
                  </w:pPr>
                  <w:r>
                    <w:rPr>
                      <w:rFonts w:hint="eastAsia" w:ascii="Times New Roman" w:hAnsi="Times New Roman" w:eastAsia="宋体"/>
                      <w:color w:val="auto"/>
                      <w:spacing w:val="6"/>
                      <w:sz w:val="21"/>
                      <w:highlight w:val="none"/>
                      <w:lang w:val="en-US" w:eastAsia="zh-CN"/>
                    </w:rPr>
                    <w:t>W9</w:t>
                  </w:r>
                </w:p>
              </w:tc>
              <w:tc>
                <w:tcPr>
                  <w:tcW w:w="1453" w:type="dxa"/>
                  <w:vMerge w:val="restart"/>
                  <w:tcBorders>
                    <w:tl2br w:val="nil"/>
                    <w:tr2bl w:val="nil"/>
                  </w:tcBorders>
                  <w:vAlign w:val="center"/>
                </w:tcPr>
                <w:p w14:paraId="554CC2F5">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pacing w:val="6"/>
                      <w:sz w:val="21"/>
                      <w:highlight w:val="none"/>
                      <w:lang w:val="en-US" w:eastAsia="zh-CN"/>
                    </w:rPr>
                  </w:pPr>
                  <w:r>
                    <w:rPr>
                      <w:rFonts w:hint="eastAsia" w:ascii="Times New Roman" w:hAnsi="Times New Roman" w:eastAsia="宋体"/>
                      <w:color w:val="auto"/>
                      <w:spacing w:val="6"/>
                      <w:sz w:val="21"/>
                      <w:highlight w:val="none"/>
                      <w:lang w:val="en-US" w:eastAsia="zh-CN"/>
                    </w:rPr>
                    <w:t>水帘喷漆废水</w:t>
                  </w:r>
                </w:p>
              </w:tc>
              <w:tc>
                <w:tcPr>
                  <w:tcW w:w="1453" w:type="dxa"/>
                  <w:vMerge w:val="restart"/>
                  <w:tcBorders>
                    <w:tl2br w:val="nil"/>
                    <w:tr2bl w:val="nil"/>
                  </w:tcBorders>
                  <w:vAlign w:val="center"/>
                </w:tcPr>
                <w:p w14:paraId="7E2EF0A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default" w:ascii="Times New Roman" w:hAnsi="Times New Roman" w:eastAsia="宋体"/>
                      <w:color w:val="auto"/>
                      <w:sz w:val="21"/>
                      <w:highlight w:val="none"/>
                      <w:vertAlign w:val="baseline"/>
                      <w:lang w:val="en-US" w:eastAsia="zh-CN"/>
                    </w:rPr>
                  </w:pPr>
                  <w:r>
                    <w:rPr>
                      <w:rFonts w:hint="eastAsia"/>
                      <w:color w:val="auto"/>
                      <w:sz w:val="21"/>
                      <w:highlight w:val="none"/>
                      <w:vertAlign w:val="baseline"/>
                      <w:lang w:val="en-US" w:eastAsia="zh-CN"/>
                    </w:rPr>
                    <w:t>270</w:t>
                  </w:r>
                </w:p>
              </w:tc>
              <w:tc>
                <w:tcPr>
                  <w:tcW w:w="1470" w:type="dxa"/>
                  <w:tcBorders>
                    <w:tl2br w:val="nil"/>
                    <w:tr2bl w:val="nil"/>
                  </w:tcBorders>
                  <w:shd w:val="clear" w:color="auto" w:fill="auto"/>
                  <w:vAlign w:val="center"/>
                </w:tcPr>
                <w:p w14:paraId="349FF140">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7D06E11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2"/>
                      <w:position w:val="1"/>
                      <w:sz w:val="21"/>
                      <w:szCs w:val="20"/>
                      <w:highlight w:val="none"/>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7B1368E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3"/>
                      <w:position w:val="1"/>
                      <w:sz w:val="21"/>
                      <w:szCs w:val="20"/>
                      <w:highlight w:val="none"/>
                      <w:lang w:val="en-US" w:eastAsia="zh-CN"/>
                    </w:rPr>
                  </w:pPr>
                  <w:r>
                    <w:rPr>
                      <w:rFonts w:ascii="Times New Roman" w:hAnsi="Times New Roman" w:eastAsia="宋体" w:cs="Times New Roman"/>
                      <w:color w:val="auto"/>
                      <w:spacing w:val="1"/>
                      <w:position w:val="-2"/>
                      <w:sz w:val="21"/>
                      <w:szCs w:val="20"/>
                      <w:highlight w:val="none"/>
                    </w:rPr>
                    <w:t>-----</w:t>
                  </w:r>
                </w:p>
              </w:tc>
            </w:tr>
            <w:tr w14:paraId="7A5D8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C265CA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27D9920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6B6959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C18DA3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CODcr</w:t>
                  </w:r>
                </w:p>
              </w:tc>
              <w:tc>
                <w:tcPr>
                  <w:tcW w:w="1457" w:type="dxa"/>
                  <w:tcBorders>
                    <w:tl2br w:val="nil"/>
                    <w:tr2bl w:val="nil"/>
                  </w:tcBorders>
                  <w:shd w:val="clear" w:color="auto" w:fill="auto"/>
                  <w:vAlign w:val="center"/>
                </w:tcPr>
                <w:p w14:paraId="7A98753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850</w:t>
                  </w:r>
                </w:p>
              </w:tc>
              <w:tc>
                <w:tcPr>
                  <w:tcW w:w="1456" w:type="dxa"/>
                  <w:tcBorders>
                    <w:tl2br w:val="nil"/>
                    <w:tr2bl w:val="nil"/>
                  </w:tcBorders>
                  <w:shd w:val="clear" w:color="auto" w:fill="auto"/>
                  <w:vAlign w:val="center"/>
                </w:tcPr>
                <w:p w14:paraId="547B32C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0.2316</w:t>
                  </w:r>
                </w:p>
              </w:tc>
            </w:tr>
            <w:tr w14:paraId="158C7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201DCEE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0C1903D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125C36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E5FA8E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4E9616F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350</w:t>
                  </w:r>
                </w:p>
              </w:tc>
              <w:tc>
                <w:tcPr>
                  <w:tcW w:w="1456" w:type="dxa"/>
                  <w:tcBorders>
                    <w:tl2br w:val="nil"/>
                    <w:tr2bl w:val="nil"/>
                  </w:tcBorders>
                  <w:shd w:val="clear" w:color="auto" w:fill="auto"/>
                  <w:vAlign w:val="center"/>
                </w:tcPr>
                <w:p w14:paraId="50473BA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0.0902</w:t>
                  </w:r>
                </w:p>
              </w:tc>
            </w:tr>
            <w:tr w14:paraId="5B841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78A93F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2667BFC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CECA69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1D3295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28244E1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10</w:t>
                  </w:r>
                </w:p>
              </w:tc>
              <w:tc>
                <w:tcPr>
                  <w:tcW w:w="1456" w:type="dxa"/>
                  <w:tcBorders>
                    <w:tl2br w:val="nil"/>
                    <w:tr2bl w:val="nil"/>
                  </w:tcBorders>
                  <w:shd w:val="clear" w:color="auto" w:fill="auto"/>
                  <w:vAlign w:val="center"/>
                </w:tcPr>
                <w:p w14:paraId="1B8C925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0.0027</w:t>
                  </w:r>
                </w:p>
              </w:tc>
            </w:tr>
            <w:tr w14:paraId="142A0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17FE95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0DC6595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08CDD6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A90238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38146D1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500</w:t>
                  </w:r>
                </w:p>
              </w:tc>
              <w:tc>
                <w:tcPr>
                  <w:tcW w:w="1456" w:type="dxa"/>
                  <w:tcBorders>
                    <w:tl2br w:val="nil"/>
                    <w:tr2bl w:val="nil"/>
                  </w:tcBorders>
                  <w:shd w:val="clear" w:color="auto" w:fill="auto"/>
                  <w:vAlign w:val="center"/>
                </w:tcPr>
                <w:p w14:paraId="23EE810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0.1375</w:t>
                  </w:r>
                </w:p>
              </w:tc>
            </w:tr>
          </w:tbl>
          <w:p w14:paraId="618256B4">
            <w:pPr>
              <w:pStyle w:val="46"/>
              <w:ind w:firstLine="480"/>
              <w:rPr>
                <w:rFonts w:hint="eastAsia"/>
                <w:color w:val="auto"/>
                <w:highlight w:val="none"/>
                <w:lang w:val="en-US" w:eastAsia="zh-CN"/>
              </w:rPr>
            </w:pPr>
          </w:p>
          <w:p w14:paraId="7D83EF8D">
            <w:pPr>
              <w:pStyle w:val="46"/>
              <w:numPr>
                <w:ilvl w:val="0"/>
                <w:numId w:val="16"/>
              </w:numPr>
              <w:ind w:firstLine="480"/>
              <w:rPr>
                <w:rFonts w:hint="eastAsia"/>
                <w:color w:val="auto"/>
                <w:highlight w:val="none"/>
                <w:lang w:val="en-US" w:eastAsia="zh-CN"/>
              </w:rPr>
            </w:pPr>
            <w:r>
              <w:rPr>
                <w:rFonts w:hint="eastAsia"/>
                <w:color w:val="auto"/>
                <w:highlight w:val="none"/>
                <w:lang w:val="en-US" w:eastAsia="zh-CN"/>
              </w:rPr>
              <w:t>防治措施</w:t>
            </w:r>
          </w:p>
          <w:p w14:paraId="06B9572B">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本项目将配套建设1座污水处理设施处理工艺为“</w:t>
            </w:r>
            <w:r>
              <w:rPr>
                <w:rFonts w:hint="eastAsia" w:cs="宋体"/>
                <w:color w:val="auto"/>
                <w:highlight w:val="none"/>
                <w:lang w:val="en-US" w:eastAsia="zh-CN"/>
              </w:rPr>
              <w:t>物化+A/O+沉淀</w:t>
            </w:r>
            <w:r>
              <w:rPr>
                <w:rFonts w:hint="eastAsia" w:ascii="Times New Roman" w:hAnsi="Times New Roman" w:eastAsia="宋体" w:cs="宋体"/>
                <w:color w:val="auto"/>
                <w:highlight w:val="none"/>
                <w:lang w:val="en-US" w:eastAsia="zh-CN"/>
              </w:rPr>
              <w:t>”，设计处理能力为2m</w:t>
            </w:r>
            <w:r>
              <w:rPr>
                <w:rFonts w:hint="eastAsia" w:ascii="Times New Roman" w:hAnsi="Times New Roman" w:eastAsia="宋体" w:cs="宋体"/>
                <w:color w:val="auto"/>
                <w:highlight w:val="none"/>
                <w:vertAlign w:val="superscript"/>
                <w:lang w:val="en-US" w:eastAsia="zh-CN"/>
              </w:rPr>
              <w:t>3</w:t>
            </w:r>
            <w:r>
              <w:rPr>
                <w:rFonts w:hint="eastAsia" w:ascii="Times New Roman" w:hAnsi="Times New Roman" w:eastAsia="宋体" w:cs="宋体"/>
                <w:color w:val="auto"/>
                <w:highlight w:val="none"/>
                <w:lang w:val="en-US" w:eastAsia="zh-CN"/>
              </w:rPr>
              <w:t>/d）。</w:t>
            </w:r>
          </w:p>
          <w:p w14:paraId="0DFFECF6">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本项目脱脂废水、脱脂后水洗废水、硅烷后水洗废水</w:t>
            </w:r>
            <w:r>
              <w:rPr>
                <w:rFonts w:hint="eastAsia" w:cs="宋体"/>
                <w:color w:val="auto"/>
                <w:highlight w:val="none"/>
                <w:lang w:val="en-US" w:eastAsia="zh-CN"/>
              </w:rPr>
              <w:t>纯</w:t>
            </w:r>
            <w:r>
              <w:rPr>
                <w:rFonts w:hint="eastAsia" w:ascii="Times New Roman" w:hAnsi="Times New Roman" w:eastAsia="宋体" w:cs="宋体"/>
                <w:color w:val="auto"/>
                <w:highlight w:val="none"/>
                <w:lang w:val="en-US" w:eastAsia="zh-CN"/>
              </w:rPr>
              <w:t>水洗</w:t>
            </w:r>
            <w:r>
              <w:rPr>
                <w:rFonts w:hint="eastAsia" w:cs="宋体"/>
                <w:color w:val="auto"/>
                <w:highlight w:val="none"/>
                <w:lang w:val="en-US" w:eastAsia="zh-CN"/>
              </w:rPr>
              <w:t>2</w:t>
            </w:r>
            <w:r>
              <w:rPr>
                <w:rFonts w:hint="eastAsia" w:ascii="Times New Roman" w:hAnsi="Times New Roman" w:eastAsia="宋体" w:cs="宋体"/>
                <w:color w:val="auto"/>
                <w:highlight w:val="none"/>
                <w:lang w:val="en-US" w:eastAsia="zh-CN"/>
              </w:rPr>
              <w:t>废水</w:t>
            </w:r>
            <w:r>
              <w:rPr>
                <w:rFonts w:hint="eastAsia" w:cs="宋体"/>
                <w:color w:val="auto"/>
                <w:highlight w:val="none"/>
                <w:lang w:val="en-US" w:eastAsia="zh-CN"/>
              </w:rPr>
              <w:t>等生产废水</w:t>
            </w:r>
            <w:r>
              <w:rPr>
                <w:rFonts w:hint="eastAsia" w:ascii="Times New Roman" w:hAnsi="Times New Roman" w:eastAsia="宋体" w:cs="宋体"/>
                <w:color w:val="auto"/>
                <w:highlight w:val="none"/>
                <w:lang w:val="en-US" w:eastAsia="zh-CN"/>
              </w:rPr>
              <w:t>经收集后进入污水处理设施净化处理后，出水进入厂区污水管道；生活污水单独进入厂区污水管道；项目废水最终纳入市政污水管网，进入</w:t>
            </w:r>
            <w:r>
              <w:rPr>
                <w:rFonts w:hint="eastAsia" w:cs="宋体"/>
                <w:color w:val="auto"/>
                <w:highlight w:val="none"/>
                <w:lang w:val="en-US" w:eastAsia="zh-CN"/>
              </w:rPr>
              <w:t>福清市第二污水处理厂</w:t>
            </w:r>
            <w:r>
              <w:rPr>
                <w:rFonts w:hint="eastAsia" w:ascii="Times New Roman" w:hAnsi="Times New Roman" w:eastAsia="宋体" w:cs="宋体"/>
                <w:color w:val="auto"/>
                <w:highlight w:val="none"/>
                <w:lang w:val="en-US" w:eastAsia="zh-CN"/>
              </w:rPr>
              <w:t>集中处理。</w:t>
            </w:r>
          </w:p>
          <w:p w14:paraId="0BCF1B88">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废水处理工艺如下：</w:t>
            </w:r>
          </w:p>
          <w:p w14:paraId="7DC4B04D">
            <w:pPr>
              <w:pStyle w:val="46"/>
              <w:numPr>
                <w:ilvl w:val="0"/>
                <w:numId w:val="0"/>
              </w:numPr>
              <w:jc w:val="center"/>
              <w:rPr>
                <w:rFonts w:hint="eastAsia"/>
                <w:color w:val="auto"/>
                <w:highlight w:val="none"/>
                <w:lang w:val="en-US" w:eastAsia="zh-CN"/>
              </w:rPr>
            </w:pPr>
            <w:r>
              <w:drawing>
                <wp:inline distT="0" distB="0" distL="114300" distR="114300">
                  <wp:extent cx="5665470" cy="4288155"/>
                  <wp:effectExtent l="0" t="0" r="11430" b="17145"/>
                  <wp:docPr id="2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
                          <pic:cNvPicPr>
                            <a:picLocks noChangeAspect="1"/>
                          </pic:cNvPicPr>
                        </pic:nvPicPr>
                        <pic:blipFill>
                          <a:blip r:embed="rId21"/>
                          <a:stretch>
                            <a:fillRect/>
                          </a:stretch>
                        </pic:blipFill>
                        <pic:spPr>
                          <a:xfrm>
                            <a:off x="0" y="0"/>
                            <a:ext cx="5665470" cy="4288155"/>
                          </a:xfrm>
                          <a:prstGeom prst="rect">
                            <a:avLst/>
                          </a:prstGeom>
                          <a:noFill/>
                          <a:ln>
                            <a:noFill/>
                          </a:ln>
                        </pic:spPr>
                      </pic:pic>
                    </a:graphicData>
                  </a:graphic>
                </wp:inline>
              </w:drawing>
            </w:r>
          </w:p>
          <w:p w14:paraId="5BC35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图4.3-1废水处理站废水处理工艺流程图</w:t>
            </w:r>
          </w:p>
          <w:p w14:paraId="1899FA09">
            <w:pPr>
              <w:pStyle w:val="46"/>
              <w:ind w:left="0" w:leftChars="0" w:firstLine="0" w:firstLineChars="0"/>
              <w:rPr>
                <w:rFonts w:hint="eastAsia"/>
                <w:color w:val="auto"/>
                <w:highlight w:val="none"/>
              </w:rPr>
            </w:pPr>
            <w:r>
              <w:rPr>
                <w:rFonts w:hint="eastAsia"/>
                <w:color w:val="auto"/>
                <w:highlight w:val="none"/>
                <w:lang w:val="en-US" w:eastAsia="zh-CN"/>
              </w:rPr>
              <w:t>生产</w:t>
            </w:r>
            <w:r>
              <w:rPr>
                <w:rFonts w:hint="eastAsia"/>
                <w:color w:val="auto"/>
                <w:highlight w:val="none"/>
              </w:rPr>
              <w:t>废水处理工艺说明：</w:t>
            </w:r>
          </w:p>
          <w:p w14:paraId="2A60E1D1">
            <w:pPr>
              <w:pStyle w:val="46"/>
              <w:ind w:firstLine="480"/>
              <w:rPr>
                <w:rFonts w:hint="eastAsia" w:ascii="Times New Roman" w:hAnsi="Times New Roman" w:eastAsia="宋体" w:cs="宋体"/>
                <w:color w:val="auto"/>
                <w:szCs w:val="20"/>
                <w:highlight w:val="none"/>
                <w:lang w:val="en-US" w:eastAsia="en-US" w:bidi="ar"/>
              </w:rPr>
            </w:pPr>
            <w:r>
              <w:rPr>
                <w:rFonts w:hint="eastAsia" w:ascii="Times New Roman" w:hAnsi="Times New Roman" w:eastAsia="宋体" w:cs="宋体"/>
                <w:color w:val="auto"/>
                <w:szCs w:val="20"/>
                <w:highlight w:val="none"/>
                <w:lang w:val="en-US" w:eastAsia="en-US" w:bidi="ar"/>
              </w:rPr>
              <w:t>本项目产生的脱脂废水、脱脂后水洗废水、硅烷后水洗废水等生产废水，收集后进入暂存池，随后泵入调节池，在调节池中进行均质均量，调节水质水量，以确保后续处理系统稳定运行。调节池出水通过泵提升至物化混凝反应沉淀池，在此投加PAC（聚合氯化铝）和PAM（聚丙烯酰胺）等药剂，通过混合反应使废水中部分COD、BOD、油类及悬浮物形成絮体，经混凝沉淀作用实现固液分离，从而有效去除水中油类及胶体污染物，降低废水中有机负荷，减轻后续生化系统处理压力。物化系统出水进入中间水池，暂存后由泵提升至A/O+二沉池一体化设备，其中厌氧池（A池）利用兼性厌氧菌将废水中难降解的大分子有机物分解为小分子有机物，提高废水可生化性；好氧池（O池）在充分曝气条件下，活性污泥中的好氧微生物进一步降解有机物，并将氨氮转化为硝态氮；二沉池实现泥水分离，沉淀污泥部分回流至好氧池维持污泥浓度，剩余污泥排入污泥浓缩池</w:t>
            </w:r>
            <w:r>
              <w:rPr>
                <w:rFonts w:hint="eastAsia" w:cs="宋体"/>
                <w:color w:val="auto"/>
                <w:szCs w:val="20"/>
                <w:highlight w:val="none"/>
                <w:lang w:val="en-US" w:eastAsia="zh-CN" w:bidi="ar"/>
              </w:rPr>
              <w:t>，污泥浓缩池上清液流入调节池重新处理</w:t>
            </w:r>
            <w:r>
              <w:rPr>
                <w:rFonts w:hint="eastAsia" w:ascii="Times New Roman" w:hAnsi="Times New Roman" w:eastAsia="宋体" w:cs="宋体"/>
                <w:color w:val="auto"/>
                <w:szCs w:val="20"/>
                <w:highlight w:val="none"/>
                <w:lang w:val="en-US" w:eastAsia="en-US" w:bidi="ar"/>
              </w:rPr>
              <w:t>。最终，二沉池出水经排放口达标排入市政污水管网。</w:t>
            </w:r>
          </w:p>
          <w:p w14:paraId="044C3AD6">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依托污水处理厂的可行性分析</w:t>
            </w:r>
          </w:p>
          <w:p w14:paraId="727C6BC4">
            <w:pPr>
              <w:pStyle w:val="46"/>
              <w:ind w:firstLine="480"/>
              <w:rPr>
                <w:rFonts w:hint="eastAsia" w:ascii="Times New Roman" w:hAnsi="Times New Roman" w:eastAsia="宋体" w:cs="宋体"/>
                <w:color w:val="auto"/>
                <w:szCs w:val="20"/>
                <w:highlight w:val="none"/>
                <w:lang w:val="en-US" w:eastAsia="en-US" w:bidi="ar"/>
              </w:rPr>
            </w:pPr>
            <w:r>
              <w:rPr>
                <w:rFonts w:hint="eastAsia" w:ascii="Times New Roman" w:hAnsi="Times New Roman" w:eastAsia="宋体" w:cs="宋体"/>
                <w:color w:val="auto"/>
                <w:szCs w:val="20"/>
                <w:highlight w:val="none"/>
                <w:lang w:val="en-US" w:eastAsia="en-US" w:bidi="ar"/>
              </w:rPr>
              <w:t>项目生活污水经处理达标后汇合通过厂区污水总排放口排入市政污水管网，送往福清市第二污水处理厂集中处理，属于间接排放，根据《建设项目环境影响报告表编制技术指南</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污染影响类</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试行</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环办环评〔2020〕33号</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要求，废水间接排放的建设项目应从处理能力、处理工艺、设计进出水水质等方面，分析依托集中污水处理厂的可行性。</w:t>
            </w:r>
          </w:p>
          <w:p w14:paraId="7ED244AF">
            <w:pPr>
              <w:pStyle w:val="46"/>
              <w:ind w:firstLine="480"/>
              <w:rPr>
                <w:rFonts w:hint="eastAsia"/>
                <w:color w:val="auto"/>
                <w:highlight w:val="none"/>
              </w:rPr>
            </w:pPr>
            <w:bookmarkStart w:id="49" w:name="_Ref12541"/>
            <w:r>
              <w:rPr>
                <w:rFonts w:hint="eastAsia"/>
                <w:color w:val="auto"/>
                <w:highlight w:val="none"/>
                <w:lang w:eastAsia="zh-CN"/>
              </w:rPr>
              <w:t>（1）</w:t>
            </w:r>
            <w:r>
              <w:rPr>
                <w:rFonts w:hint="eastAsia"/>
                <w:color w:val="auto"/>
                <w:highlight w:val="none"/>
              </w:rPr>
              <w:t>福清市第二污水处理厂基本情况</w:t>
            </w:r>
          </w:p>
          <w:p w14:paraId="5CFAF73B">
            <w:pPr>
              <w:pStyle w:val="46"/>
              <w:ind w:firstLine="480"/>
              <w:rPr>
                <w:rFonts w:hint="eastAsia"/>
                <w:color w:val="auto"/>
                <w:highlight w:val="none"/>
              </w:rPr>
            </w:pPr>
            <w:r>
              <w:rPr>
                <w:rFonts w:hint="eastAsia"/>
                <w:color w:val="auto"/>
                <w:highlight w:val="none"/>
              </w:rPr>
              <w:t>福清市第二污水处理厂现由福建省融海环境科技有限公司运营，福清市第二污水处理厂是一座具有现代化水准的花园式地下污水处理厂，位于福清市宏路街道大浦村和溪下村境内，为福建省首家</w:t>
            </w:r>
            <w:bookmarkStart w:id="89" w:name="_GoBack"/>
            <w:bookmarkEnd w:id="89"/>
            <w:r>
              <w:rPr>
                <w:rFonts w:hint="eastAsia"/>
                <w:color w:val="auto"/>
                <w:highlight w:val="none"/>
              </w:rPr>
              <w:t>一级A排放标准的地下污水处理厂。</w:t>
            </w:r>
            <w:r>
              <w:rPr>
                <w:rFonts w:hint="eastAsia"/>
                <w:color w:val="auto"/>
                <w:highlight w:val="none"/>
                <w:lang w:eastAsia="zh-CN"/>
              </w:rPr>
              <w:t>污水处理厂</w:t>
            </w:r>
            <w:r>
              <w:rPr>
                <w:rFonts w:hint="eastAsia"/>
                <w:color w:val="auto"/>
                <w:highlight w:val="none"/>
              </w:rPr>
              <w:t>采用“曝气沉砂池+水解酸化AO+高效沉淀池+转盘滤池”工艺，并建设地面休闲公园，规划绿化率高达70%。</w:t>
            </w:r>
          </w:p>
          <w:p w14:paraId="48B153A7">
            <w:pPr>
              <w:pStyle w:val="46"/>
              <w:ind w:firstLine="480"/>
              <w:rPr>
                <w:rFonts w:hint="eastAsia"/>
                <w:color w:val="auto"/>
                <w:highlight w:val="none"/>
              </w:rPr>
            </w:pPr>
            <w:r>
              <w:rPr>
                <w:rFonts w:hint="eastAsia"/>
                <w:color w:val="auto"/>
                <w:highlight w:val="none"/>
              </w:rPr>
              <w:t>设计处理污水规模近期为6万m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rPr>
              <w:t>远期为12万m³/d</w:t>
            </w:r>
            <w:r>
              <w:rPr>
                <w:rFonts w:hint="eastAsia"/>
                <w:color w:val="auto"/>
                <w:highlight w:val="none"/>
                <w:lang w:eastAsia="zh-CN"/>
              </w:rPr>
              <w:t>，</w:t>
            </w:r>
            <w:r>
              <w:rPr>
                <w:rFonts w:hint="eastAsia"/>
                <w:color w:val="auto"/>
                <w:highlight w:val="none"/>
              </w:rPr>
              <w:t>占地面积为80278平方米。</w:t>
            </w:r>
            <w:r>
              <w:rPr>
                <w:rFonts w:hint="eastAsia"/>
                <w:color w:val="auto"/>
                <w:highlight w:val="none"/>
                <w:lang w:eastAsia="zh-CN"/>
              </w:rPr>
              <w:t>污水处理厂</w:t>
            </w:r>
            <w:r>
              <w:rPr>
                <w:rFonts w:hint="eastAsia"/>
                <w:color w:val="auto"/>
                <w:highlight w:val="none"/>
              </w:rPr>
              <w:t>一期6万m³/d于2015年7月开工建设，于2015年12月局部通水试运行，2016年9月进行污泥培养，2016年12月6日正式投产。</w:t>
            </w:r>
          </w:p>
          <w:p w14:paraId="24FEB4DC">
            <w:pPr>
              <w:pStyle w:val="46"/>
              <w:ind w:firstLine="480"/>
              <w:rPr>
                <w:rFonts w:hint="eastAsia"/>
                <w:color w:val="auto"/>
                <w:highlight w:val="none"/>
              </w:rPr>
            </w:pPr>
            <w:r>
              <w:rPr>
                <w:rFonts w:hint="eastAsia"/>
                <w:color w:val="auto"/>
                <w:highlight w:val="none"/>
              </w:rPr>
              <w:t>该污水处理厂承担融侨西片区、南片区以及东张镇、镜洋镇的工业废水和生活污水处理任务，服务面积19.47km²</w:t>
            </w:r>
            <w:r>
              <w:rPr>
                <w:rFonts w:hint="eastAsia"/>
                <w:color w:val="auto"/>
                <w:highlight w:val="none"/>
                <w:lang w:eastAsia="zh-CN"/>
              </w:rPr>
              <w:t>，</w:t>
            </w:r>
            <w:r>
              <w:rPr>
                <w:rFonts w:hint="eastAsia"/>
                <w:color w:val="auto"/>
                <w:highlight w:val="none"/>
              </w:rPr>
              <w:t>服务人口</w:t>
            </w:r>
            <w:r>
              <w:rPr>
                <w:rFonts w:hint="eastAsia"/>
                <w:color w:val="auto"/>
                <w:highlight w:val="none"/>
                <w:lang w:eastAsia="zh-CN"/>
              </w:rPr>
              <w:t>约</w:t>
            </w:r>
            <w:r>
              <w:rPr>
                <w:rFonts w:hint="eastAsia"/>
                <w:color w:val="auto"/>
                <w:highlight w:val="none"/>
              </w:rPr>
              <w:t>20万人。处理后的尾水执行《城镇污水处理厂污染物排放标准》</w:t>
            </w:r>
            <w:r>
              <w:rPr>
                <w:rFonts w:hint="eastAsia"/>
                <w:color w:val="auto"/>
                <w:highlight w:val="none"/>
                <w:lang w:eastAsia="zh-CN"/>
              </w:rPr>
              <w:t>（</w:t>
            </w:r>
            <w:r>
              <w:rPr>
                <w:rFonts w:hint="eastAsia"/>
                <w:color w:val="auto"/>
                <w:highlight w:val="none"/>
              </w:rPr>
              <w:t>GB18918-2002</w:t>
            </w:r>
            <w:r>
              <w:rPr>
                <w:rFonts w:hint="eastAsia"/>
                <w:color w:val="auto"/>
                <w:highlight w:val="none"/>
                <w:lang w:eastAsia="zh-CN"/>
              </w:rPr>
              <w:t>）</w:t>
            </w:r>
            <w:r>
              <w:rPr>
                <w:rFonts w:hint="eastAsia"/>
                <w:color w:val="auto"/>
                <w:highlight w:val="none"/>
              </w:rPr>
              <w:t>及其修改单中的一级A标准，尾水排放龙江。</w:t>
            </w:r>
          </w:p>
          <w:p w14:paraId="4CA6230B">
            <w:pPr>
              <w:pStyle w:val="46"/>
              <w:ind w:firstLine="48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lang w:val="zh-CN" w:eastAsia="zh-CN"/>
              </w:rPr>
              <w:t>①设计进出水水质</w:t>
            </w:r>
          </w:p>
          <w:p w14:paraId="0C890BEA">
            <w:pPr>
              <w:pStyle w:val="46"/>
              <w:ind w:firstLine="48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lang w:val="zh-CN" w:eastAsia="zh-CN"/>
              </w:rPr>
              <w:t>根据《福清桑德水务有限公司福清市第二污水处理厂工程</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一期</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环境影响报告书</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报批本</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》可知，福清市第二污水处理厂进出水水质见表4.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zh-CN" w:eastAsia="zh-CN"/>
              </w:rPr>
              <w:t>-</w:t>
            </w:r>
            <w:r>
              <w:rPr>
                <w:rFonts w:hint="eastAsia" w:ascii="Times New Roman" w:hAnsi="Times New Roman" w:eastAsia="宋体" w:cs="宋体"/>
                <w:color w:val="auto"/>
                <w:highlight w:val="none"/>
                <w:lang w:val="en-US" w:eastAsia="zh-CN"/>
              </w:rPr>
              <w:t>5</w:t>
            </w:r>
            <w:r>
              <w:rPr>
                <w:rFonts w:hint="eastAsia" w:ascii="Times New Roman" w:hAnsi="Times New Roman" w:eastAsia="宋体" w:cs="宋体"/>
                <w:color w:val="auto"/>
                <w:highlight w:val="none"/>
                <w:lang w:val="zh-CN" w:eastAsia="zh-CN"/>
              </w:rPr>
              <w:t>。</w:t>
            </w:r>
          </w:p>
          <w:p w14:paraId="73031E4E">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污水处理厂</w:t>
            </w:r>
            <w:r>
              <w:rPr>
                <w:rFonts w:hint="eastAsia" w:ascii="Times New Roman" w:hAnsi="Times New Roman" w:eastAsia="宋体" w:cs="Times New Roman"/>
                <w:color w:val="auto"/>
                <w:highlight w:val="none"/>
                <w:lang w:val="en-US" w:eastAsia="zh-CN"/>
              </w:rPr>
              <w:t>进出水水质标准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mg/L pH除外</w:t>
            </w:r>
            <w:r>
              <w:rPr>
                <w:rFonts w:hint="eastAsia" w:cs="Times New Roman"/>
                <w:color w:val="auto"/>
                <w:highlight w:val="none"/>
                <w:lang w:val="en-US" w:eastAsia="zh-CN"/>
              </w:rPr>
              <w:t>）</w:t>
            </w:r>
          </w:p>
          <w:tbl>
            <w:tblPr>
              <w:tblStyle w:val="35"/>
              <w:tblW w:w="892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920"/>
              <w:gridCol w:w="1036"/>
              <w:gridCol w:w="1140"/>
              <w:gridCol w:w="986"/>
              <w:gridCol w:w="1267"/>
              <w:gridCol w:w="825"/>
            </w:tblGrid>
            <w:tr w14:paraId="0108F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1" w:type="dxa"/>
                  <w:tcBorders>
                    <w:bottom w:val="single" w:color="auto" w:sz="12" w:space="0"/>
                  </w:tcBorders>
                  <w:shd w:val="clear" w:color="auto" w:fill="auto"/>
                  <w:vAlign w:val="center"/>
                </w:tcPr>
                <w:p w14:paraId="06F856D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水质指标</w:t>
                  </w:r>
                </w:p>
              </w:tc>
              <w:tc>
                <w:tcPr>
                  <w:tcW w:w="1920" w:type="dxa"/>
                  <w:tcBorders>
                    <w:bottom w:val="single" w:color="auto" w:sz="12" w:space="0"/>
                  </w:tcBorders>
                  <w:shd w:val="clear" w:color="auto" w:fill="auto"/>
                  <w:vAlign w:val="center"/>
                </w:tcPr>
                <w:p w14:paraId="4FF188D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pH</w:t>
                  </w:r>
                </w:p>
              </w:tc>
              <w:tc>
                <w:tcPr>
                  <w:tcW w:w="1036" w:type="dxa"/>
                  <w:tcBorders>
                    <w:bottom w:val="single" w:color="auto" w:sz="12" w:space="0"/>
                  </w:tcBorders>
                  <w:shd w:val="clear" w:color="auto" w:fill="auto"/>
                  <w:vAlign w:val="center"/>
                </w:tcPr>
                <w:p w14:paraId="3C7394A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COD</w:t>
                  </w:r>
                </w:p>
              </w:tc>
              <w:tc>
                <w:tcPr>
                  <w:tcW w:w="1140" w:type="dxa"/>
                  <w:tcBorders>
                    <w:bottom w:val="single" w:color="auto" w:sz="12" w:space="0"/>
                  </w:tcBorders>
                  <w:shd w:val="clear" w:color="auto" w:fill="auto"/>
                  <w:vAlign w:val="center"/>
                </w:tcPr>
                <w:p w14:paraId="205C65E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Calibri"/>
                      <w:color w:val="auto"/>
                      <w:kern w:val="2"/>
                      <w:sz w:val="21"/>
                      <w:szCs w:val="24"/>
                      <w:highlight w:val="none"/>
                      <w:lang w:val="zh-CN" w:eastAsia="zh-CN" w:bidi="ar-SA"/>
                    </w:rPr>
                  </w:pPr>
                  <w:r>
                    <w:rPr>
                      <w:rFonts w:ascii="Times New Roman" w:hAnsi="Times New Roman" w:eastAsia="宋体"/>
                      <w:color w:val="auto"/>
                      <w:spacing w:val="-1"/>
                      <w:sz w:val="21"/>
                      <w:szCs w:val="24"/>
                      <w:highlight w:val="none"/>
                    </w:rPr>
                    <w:t>BOD</w:t>
                  </w:r>
                  <w:r>
                    <w:rPr>
                      <w:rFonts w:ascii="Times New Roman" w:hAnsi="Times New Roman" w:eastAsia="宋体" w:cs="Calibri"/>
                      <w:color w:val="auto"/>
                      <w:spacing w:val="-1"/>
                      <w:sz w:val="21"/>
                      <w:szCs w:val="24"/>
                      <w:highlight w:val="none"/>
                    </w:rPr>
                    <w:t>₃</w:t>
                  </w:r>
                </w:p>
              </w:tc>
              <w:tc>
                <w:tcPr>
                  <w:tcW w:w="986" w:type="dxa"/>
                  <w:tcBorders>
                    <w:bottom w:val="single" w:color="auto" w:sz="12" w:space="0"/>
                  </w:tcBorders>
                  <w:shd w:val="clear" w:color="auto" w:fill="auto"/>
                  <w:vAlign w:val="center"/>
                </w:tcPr>
                <w:p w14:paraId="1462AD6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3"/>
                      <w:sz w:val="21"/>
                      <w:szCs w:val="24"/>
                      <w:highlight w:val="none"/>
                    </w:rPr>
                    <w:t>SS</w:t>
                  </w:r>
                </w:p>
              </w:tc>
              <w:tc>
                <w:tcPr>
                  <w:tcW w:w="1267" w:type="dxa"/>
                  <w:tcBorders>
                    <w:bottom w:val="single" w:color="auto" w:sz="12" w:space="0"/>
                  </w:tcBorders>
                  <w:shd w:val="clear" w:color="auto" w:fill="auto"/>
                  <w:vAlign w:val="center"/>
                </w:tcPr>
                <w:p w14:paraId="508F8CF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1"/>
                      <w:sz w:val="21"/>
                      <w:szCs w:val="24"/>
                      <w:highlight w:val="none"/>
                    </w:rPr>
                    <w:t>NH</w:t>
                  </w:r>
                  <w:r>
                    <w:rPr>
                      <w:rFonts w:ascii="Times New Roman" w:hAnsi="Times New Roman" w:eastAsia="宋体" w:cs="Calibri"/>
                      <w:color w:val="auto"/>
                      <w:spacing w:val="-1"/>
                      <w:sz w:val="21"/>
                      <w:szCs w:val="24"/>
                      <w:highlight w:val="none"/>
                    </w:rPr>
                    <w:t>₃</w:t>
                  </w:r>
                  <w:r>
                    <w:rPr>
                      <w:rFonts w:ascii="Times New Roman" w:hAnsi="Times New Roman" w:eastAsia="宋体"/>
                      <w:color w:val="auto"/>
                      <w:spacing w:val="-1"/>
                      <w:sz w:val="21"/>
                      <w:szCs w:val="24"/>
                      <w:highlight w:val="none"/>
                    </w:rPr>
                    <w:t>-N</w:t>
                  </w:r>
                </w:p>
              </w:tc>
              <w:tc>
                <w:tcPr>
                  <w:tcW w:w="825" w:type="dxa"/>
                  <w:tcBorders>
                    <w:bottom w:val="single" w:color="auto" w:sz="12" w:space="0"/>
                  </w:tcBorders>
                  <w:shd w:val="clear" w:color="auto" w:fill="auto"/>
                  <w:vAlign w:val="center"/>
                </w:tcPr>
                <w:p w14:paraId="26F9C8E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TN</w:t>
                  </w:r>
                </w:p>
              </w:tc>
            </w:tr>
            <w:tr w14:paraId="24EF1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1" w:type="dxa"/>
                  <w:tcBorders>
                    <w:top w:val="single" w:color="auto" w:sz="12" w:space="0"/>
                    <w:tl2br w:val="nil"/>
                    <w:tr2bl w:val="nil"/>
                  </w:tcBorders>
                  <w:shd w:val="clear" w:color="auto" w:fill="auto"/>
                  <w:vAlign w:val="center"/>
                </w:tcPr>
                <w:p w14:paraId="0C01BCB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进水水质</w:t>
                  </w:r>
                </w:p>
              </w:tc>
              <w:tc>
                <w:tcPr>
                  <w:tcW w:w="1920" w:type="dxa"/>
                  <w:tcBorders>
                    <w:top w:val="single" w:color="auto" w:sz="12" w:space="0"/>
                    <w:tl2br w:val="nil"/>
                    <w:tr2bl w:val="nil"/>
                  </w:tcBorders>
                  <w:shd w:val="clear" w:color="auto" w:fill="auto"/>
                  <w:vAlign w:val="center"/>
                </w:tcPr>
                <w:p w14:paraId="280FFCB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6~9</w:t>
                  </w:r>
                  <w:r>
                    <w:rPr>
                      <w:rFonts w:hint="eastAsia" w:ascii="Times New Roman" w:hAnsi="Times New Roman"/>
                      <w:color w:val="auto"/>
                      <w:spacing w:val="-9"/>
                      <w:sz w:val="21"/>
                      <w:szCs w:val="24"/>
                      <w:highlight w:val="none"/>
                      <w:lang w:eastAsia="zh-CN"/>
                    </w:rPr>
                    <w:t>（</w:t>
                  </w:r>
                  <w:r>
                    <w:rPr>
                      <w:rFonts w:ascii="Times New Roman" w:hAnsi="Times New Roman" w:eastAsia="宋体"/>
                      <w:color w:val="auto"/>
                      <w:spacing w:val="-9"/>
                      <w:sz w:val="21"/>
                      <w:szCs w:val="24"/>
                      <w:highlight w:val="none"/>
                    </w:rPr>
                    <w:t>无量纲</w:t>
                  </w:r>
                  <w:r>
                    <w:rPr>
                      <w:rFonts w:hint="eastAsia" w:ascii="Times New Roman" w:hAnsi="Times New Roman"/>
                      <w:color w:val="auto"/>
                      <w:spacing w:val="-9"/>
                      <w:sz w:val="21"/>
                      <w:szCs w:val="24"/>
                      <w:highlight w:val="none"/>
                      <w:lang w:eastAsia="zh-CN"/>
                    </w:rPr>
                    <w:t>）</w:t>
                  </w:r>
                </w:p>
              </w:tc>
              <w:tc>
                <w:tcPr>
                  <w:tcW w:w="1036" w:type="dxa"/>
                  <w:tcBorders>
                    <w:top w:val="single" w:color="auto" w:sz="12" w:space="0"/>
                    <w:tl2br w:val="nil"/>
                    <w:tr2bl w:val="nil"/>
                  </w:tcBorders>
                  <w:shd w:val="clear" w:color="auto" w:fill="auto"/>
                  <w:vAlign w:val="center"/>
                </w:tcPr>
                <w:p w14:paraId="0BFDDE2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≤400</w:t>
                  </w:r>
                </w:p>
              </w:tc>
              <w:tc>
                <w:tcPr>
                  <w:tcW w:w="1140" w:type="dxa"/>
                  <w:tcBorders>
                    <w:top w:val="single" w:color="auto" w:sz="12" w:space="0"/>
                    <w:tl2br w:val="nil"/>
                    <w:tr2bl w:val="nil"/>
                  </w:tcBorders>
                  <w:shd w:val="clear" w:color="auto" w:fill="auto"/>
                  <w:vAlign w:val="center"/>
                </w:tcPr>
                <w:p w14:paraId="518621F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w:t>
                  </w:r>
                  <w:r>
                    <w:rPr>
                      <w:rFonts w:hint="eastAsia" w:ascii="Times New Roman" w:hAnsi="Times New Roman"/>
                      <w:color w:val="auto"/>
                      <w:spacing w:val="-7"/>
                      <w:sz w:val="21"/>
                      <w:szCs w:val="24"/>
                      <w:highlight w:val="none"/>
                      <w:lang w:val="en-US" w:eastAsia="zh-CN"/>
                    </w:rPr>
                    <w:t>2</w:t>
                  </w:r>
                  <w:r>
                    <w:rPr>
                      <w:rFonts w:ascii="Times New Roman" w:hAnsi="Times New Roman" w:eastAsia="宋体"/>
                      <w:color w:val="auto"/>
                      <w:spacing w:val="-7"/>
                      <w:sz w:val="21"/>
                      <w:szCs w:val="24"/>
                      <w:highlight w:val="none"/>
                    </w:rPr>
                    <w:t>20</w:t>
                  </w:r>
                </w:p>
              </w:tc>
              <w:tc>
                <w:tcPr>
                  <w:tcW w:w="986" w:type="dxa"/>
                  <w:tcBorders>
                    <w:top w:val="single" w:color="auto" w:sz="12" w:space="0"/>
                    <w:tl2br w:val="nil"/>
                    <w:tr2bl w:val="nil"/>
                  </w:tcBorders>
                  <w:shd w:val="clear" w:color="auto" w:fill="auto"/>
                  <w:vAlign w:val="center"/>
                </w:tcPr>
                <w:p w14:paraId="7D22364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≤280</w:t>
                  </w:r>
                </w:p>
              </w:tc>
              <w:tc>
                <w:tcPr>
                  <w:tcW w:w="1267" w:type="dxa"/>
                  <w:tcBorders>
                    <w:top w:val="single" w:color="auto" w:sz="12" w:space="0"/>
                    <w:tl2br w:val="nil"/>
                    <w:tr2bl w:val="nil"/>
                  </w:tcBorders>
                  <w:shd w:val="clear" w:color="auto" w:fill="auto"/>
                  <w:vAlign w:val="center"/>
                </w:tcPr>
                <w:p w14:paraId="30E40E9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w:t>
                  </w:r>
                  <w:r>
                    <w:rPr>
                      <w:rFonts w:ascii="Times New Roman" w:hAnsi="Times New Roman" w:eastAsia="宋体"/>
                      <w:color w:val="auto"/>
                      <w:spacing w:val="-4"/>
                      <w:sz w:val="21"/>
                      <w:szCs w:val="24"/>
                      <w:highlight w:val="none"/>
                    </w:rPr>
                    <w:t>37</w:t>
                  </w:r>
                </w:p>
              </w:tc>
              <w:tc>
                <w:tcPr>
                  <w:tcW w:w="825" w:type="dxa"/>
                  <w:tcBorders>
                    <w:top w:val="single" w:color="auto" w:sz="12" w:space="0"/>
                    <w:tl2br w:val="nil"/>
                    <w:tr2bl w:val="nil"/>
                  </w:tcBorders>
                  <w:shd w:val="clear" w:color="auto" w:fill="auto"/>
                  <w:vAlign w:val="center"/>
                </w:tcPr>
                <w:p w14:paraId="31EBEC1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≤4</w:t>
                  </w:r>
                </w:p>
              </w:tc>
            </w:tr>
            <w:tr w14:paraId="30D54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1" w:type="dxa"/>
                  <w:tcBorders>
                    <w:tl2br w:val="nil"/>
                    <w:tr2bl w:val="nil"/>
                  </w:tcBorders>
                  <w:shd w:val="clear" w:color="auto" w:fill="auto"/>
                  <w:vAlign w:val="center"/>
                </w:tcPr>
                <w:p w14:paraId="210910B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出水标准</w:t>
                  </w:r>
                </w:p>
              </w:tc>
              <w:tc>
                <w:tcPr>
                  <w:tcW w:w="1920" w:type="dxa"/>
                  <w:tcBorders>
                    <w:tl2br w:val="nil"/>
                    <w:tr2bl w:val="nil"/>
                  </w:tcBorders>
                  <w:shd w:val="clear" w:color="auto" w:fill="auto"/>
                  <w:vAlign w:val="center"/>
                </w:tcPr>
                <w:p w14:paraId="74EAFD5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6~9</w:t>
                  </w:r>
                  <w:r>
                    <w:rPr>
                      <w:rFonts w:hint="eastAsia" w:ascii="Times New Roman" w:hAnsi="Times New Roman"/>
                      <w:color w:val="auto"/>
                      <w:spacing w:val="-9"/>
                      <w:sz w:val="21"/>
                      <w:szCs w:val="24"/>
                      <w:highlight w:val="none"/>
                      <w:lang w:eastAsia="zh-CN"/>
                    </w:rPr>
                    <w:t>（</w:t>
                  </w:r>
                  <w:r>
                    <w:rPr>
                      <w:rFonts w:ascii="Times New Roman" w:hAnsi="Times New Roman" w:eastAsia="宋体"/>
                      <w:color w:val="auto"/>
                      <w:spacing w:val="-9"/>
                      <w:sz w:val="21"/>
                      <w:szCs w:val="24"/>
                      <w:highlight w:val="none"/>
                    </w:rPr>
                    <w:t>无量纲</w:t>
                  </w:r>
                  <w:r>
                    <w:rPr>
                      <w:rFonts w:hint="eastAsia" w:ascii="Times New Roman" w:hAnsi="Times New Roman"/>
                      <w:color w:val="auto"/>
                      <w:spacing w:val="-9"/>
                      <w:sz w:val="21"/>
                      <w:szCs w:val="24"/>
                      <w:highlight w:val="none"/>
                      <w:lang w:eastAsia="zh-CN"/>
                    </w:rPr>
                    <w:t>）</w:t>
                  </w:r>
                </w:p>
              </w:tc>
              <w:tc>
                <w:tcPr>
                  <w:tcW w:w="1036" w:type="dxa"/>
                  <w:tcBorders>
                    <w:tl2br w:val="nil"/>
                    <w:tr2bl w:val="nil"/>
                  </w:tcBorders>
                  <w:shd w:val="clear" w:color="auto" w:fill="auto"/>
                  <w:vAlign w:val="center"/>
                </w:tcPr>
                <w:p w14:paraId="3B15320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≤50</w:t>
                  </w:r>
                </w:p>
              </w:tc>
              <w:tc>
                <w:tcPr>
                  <w:tcW w:w="1140" w:type="dxa"/>
                  <w:tcBorders>
                    <w:tl2br w:val="nil"/>
                    <w:tr2bl w:val="nil"/>
                  </w:tcBorders>
                  <w:shd w:val="clear" w:color="auto" w:fill="auto"/>
                  <w:vAlign w:val="center"/>
                </w:tcPr>
                <w:p w14:paraId="0282AF7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≤10</w:t>
                  </w:r>
                </w:p>
              </w:tc>
              <w:tc>
                <w:tcPr>
                  <w:tcW w:w="986" w:type="dxa"/>
                  <w:tcBorders>
                    <w:tl2br w:val="nil"/>
                    <w:tr2bl w:val="nil"/>
                  </w:tcBorders>
                  <w:shd w:val="clear" w:color="auto" w:fill="auto"/>
                  <w:vAlign w:val="center"/>
                </w:tcPr>
                <w:p w14:paraId="50514EB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≤10</w:t>
                  </w:r>
                </w:p>
              </w:tc>
              <w:tc>
                <w:tcPr>
                  <w:tcW w:w="1267" w:type="dxa"/>
                  <w:tcBorders>
                    <w:tl2br w:val="nil"/>
                    <w:tr2bl w:val="nil"/>
                  </w:tcBorders>
                  <w:shd w:val="clear" w:color="auto" w:fill="auto"/>
                  <w:vAlign w:val="center"/>
                </w:tcPr>
                <w:p w14:paraId="5088BD4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w:t>
                  </w:r>
                  <w:r>
                    <w:rPr>
                      <w:rFonts w:hint="eastAsia" w:ascii="Times New Roman" w:hAnsi="Times New Roman"/>
                      <w:color w:val="auto"/>
                      <w:spacing w:val="-9"/>
                      <w:sz w:val="21"/>
                      <w:szCs w:val="24"/>
                      <w:highlight w:val="none"/>
                      <w:lang w:val="en-US" w:eastAsia="zh-CN"/>
                    </w:rPr>
                    <w:t>1</w:t>
                  </w:r>
                  <w:r>
                    <w:rPr>
                      <w:rFonts w:ascii="Times New Roman" w:hAnsi="Times New Roman" w:eastAsia="宋体"/>
                      <w:color w:val="auto"/>
                      <w:spacing w:val="-9"/>
                      <w:sz w:val="21"/>
                      <w:szCs w:val="24"/>
                      <w:highlight w:val="none"/>
                    </w:rPr>
                    <w:t>5</w:t>
                  </w:r>
                </w:p>
              </w:tc>
              <w:tc>
                <w:tcPr>
                  <w:tcW w:w="825" w:type="dxa"/>
                  <w:tcBorders>
                    <w:tl2br w:val="nil"/>
                    <w:tr2bl w:val="nil"/>
                  </w:tcBorders>
                  <w:shd w:val="clear" w:color="auto" w:fill="auto"/>
                  <w:vAlign w:val="center"/>
                </w:tcPr>
                <w:p w14:paraId="43384FF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7"/>
                      <w:sz w:val="21"/>
                      <w:szCs w:val="24"/>
                      <w:highlight w:val="none"/>
                    </w:rPr>
                    <w:t>≤</w:t>
                  </w:r>
                  <w:r>
                    <w:rPr>
                      <w:rFonts w:hint="eastAsia" w:ascii="Times New Roman" w:hAnsi="Times New Roman"/>
                      <w:color w:val="auto"/>
                      <w:spacing w:val="-7"/>
                      <w:sz w:val="21"/>
                      <w:szCs w:val="24"/>
                      <w:highlight w:val="none"/>
                      <w:lang w:val="en-US" w:eastAsia="zh-CN"/>
                    </w:rPr>
                    <w:t>0.5</w:t>
                  </w:r>
                </w:p>
              </w:tc>
            </w:tr>
          </w:tbl>
          <w:p w14:paraId="2A202674">
            <w:pPr>
              <w:rPr>
                <w:rFonts w:hint="eastAsia"/>
                <w:color w:val="auto"/>
                <w:highlight w:val="none"/>
                <w:lang w:val="zh-CN" w:eastAsia="zh-CN"/>
              </w:rPr>
            </w:pPr>
          </w:p>
          <w:p w14:paraId="518C5A77">
            <w:pPr>
              <w:pStyle w:val="46"/>
              <w:ind w:firstLine="480"/>
              <w:rPr>
                <w:rFonts w:hint="eastAsia"/>
                <w:color w:val="auto"/>
                <w:sz w:val="24"/>
                <w:szCs w:val="24"/>
                <w:highlight w:val="none"/>
              </w:rPr>
            </w:pPr>
            <w:r>
              <w:rPr>
                <w:rFonts w:hint="eastAsia"/>
                <w:color w:val="auto"/>
                <w:sz w:val="24"/>
                <w:szCs w:val="24"/>
                <w:highlight w:val="none"/>
              </w:rPr>
              <w:t>②处理工艺</w:t>
            </w:r>
          </w:p>
          <w:p w14:paraId="5D9E01EC">
            <w:pPr>
              <w:pStyle w:val="46"/>
              <w:ind w:firstLine="480"/>
              <w:rPr>
                <w:rFonts w:hint="eastAsia"/>
                <w:color w:val="auto"/>
                <w:sz w:val="24"/>
                <w:szCs w:val="24"/>
                <w:highlight w:val="none"/>
              </w:rPr>
            </w:pPr>
            <w:r>
              <w:rPr>
                <w:rFonts w:hint="eastAsia"/>
                <w:color w:val="auto"/>
                <w:sz w:val="24"/>
                <w:szCs w:val="24"/>
                <w:highlight w:val="none"/>
              </w:rPr>
              <w:t>污水处理工艺流程详见图4.</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w:t>
            </w:r>
          </w:p>
          <w:p w14:paraId="6771E64D">
            <w:pPr>
              <w:pStyle w:val="46"/>
              <w:keepNext w:val="0"/>
              <w:keepLines w:val="0"/>
              <w:pageBreakBefore w:val="0"/>
              <w:widowControl w:val="0"/>
              <w:kinsoku/>
              <w:wordWrap/>
              <w:overflowPunct/>
              <w:topLinePunct w:val="0"/>
              <w:autoSpaceDE w:val="0"/>
              <w:autoSpaceDN w:val="0"/>
              <w:bidi w:val="0"/>
              <w:adjustRightInd/>
              <w:snapToGrid/>
              <w:ind w:firstLine="0" w:firstLineChars="0"/>
              <w:textAlignment w:val="auto"/>
              <w:rPr>
                <w:color w:val="auto"/>
                <w:highlight w:val="none"/>
              </w:rPr>
            </w:pPr>
            <w:r>
              <w:rPr>
                <w:color w:val="auto"/>
                <w:highlight w:val="none"/>
              </w:rPr>
              <w:drawing>
                <wp:inline distT="0" distB="0" distL="114300" distR="114300">
                  <wp:extent cx="5664200" cy="3925570"/>
                  <wp:effectExtent l="0" t="0" r="12700" b="177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2"/>
                          <a:stretch>
                            <a:fillRect/>
                          </a:stretch>
                        </pic:blipFill>
                        <pic:spPr>
                          <a:xfrm>
                            <a:off x="0" y="0"/>
                            <a:ext cx="5664200" cy="3925570"/>
                          </a:xfrm>
                          <a:prstGeom prst="rect">
                            <a:avLst/>
                          </a:prstGeom>
                          <a:noFill/>
                          <a:ln>
                            <a:noFill/>
                          </a:ln>
                        </pic:spPr>
                      </pic:pic>
                    </a:graphicData>
                  </a:graphic>
                </wp:inline>
              </w:drawing>
            </w:r>
          </w:p>
          <w:p w14:paraId="657DB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图4.3-2  福清市第二污水处理厂污水处理流程图</w:t>
            </w:r>
          </w:p>
          <w:p w14:paraId="156796F4">
            <w:pPr>
              <w:pStyle w:val="115"/>
              <w:keepNext w:val="0"/>
              <w:keepLines w:val="0"/>
              <w:pageBreakBefore w:val="0"/>
              <w:widowControl w:val="0"/>
              <w:kinsoku/>
              <w:wordWrap/>
              <w:overflowPunct/>
              <w:topLinePunct w:val="0"/>
              <w:bidi w:val="0"/>
              <w:adjustRightInd/>
              <w:snapToGrid/>
              <w:spacing w:line="360" w:lineRule="auto"/>
              <w:ind w:left="0" w:firstLine="500" w:firstLineChars="200"/>
              <w:textAlignment w:val="auto"/>
              <w:rPr>
                <w:color w:val="auto"/>
                <w:sz w:val="25"/>
                <w:szCs w:val="25"/>
                <w:highlight w:val="none"/>
              </w:rPr>
            </w:pPr>
            <w:r>
              <w:rPr>
                <w:rFonts w:hint="eastAsia"/>
                <w:color w:val="auto"/>
                <w:sz w:val="25"/>
                <w:szCs w:val="25"/>
                <w:highlight w:val="none"/>
                <w:lang w:eastAsia="zh-CN"/>
              </w:rPr>
              <w:t>（2）</w:t>
            </w:r>
            <w:r>
              <w:rPr>
                <w:color w:val="auto"/>
                <w:sz w:val="25"/>
                <w:szCs w:val="25"/>
                <w:highlight w:val="none"/>
              </w:rPr>
              <w:t>依托可行性分析</w:t>
            </w:r>
          </w:p>
          <w:p w14:paraId="4A8DBA0C">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①接管可行性</w:t>
            </w:r>
          </w:p>
          <w:p w14:paraId="0B76FB56">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福清市第二污水处理厂服务范围是融侨西片区、融侨南片区、东张镇和镜洋镇的生活污水和工业废水；本项目所在区域</w:t>
            </w:r>
            <w:r>
              <w:rPr>
                <w:rFonts w:hint="eastAsia" w:cs="宋体"/>
                <w:color w:val="auto"/>
                <w:highlight w:val="none"/>
                <w:lang w:eastAsia="zh-CN"/>
              </w:rPr>
              <w:t>位于</w:t>
            </w:r>
            <w:r>
              <w:rPr>
                <w:rFonts w:hint="eastAsia"/>
                <w:color w:val="auto"/>
                <w:spacing w:val="-2"/>
                <w:sz w:val="24"/>
                <w:lang w:val="en-US" w:eastAsia="zh-CN"/>
              </w:rPr>
              <w:t>福建省福州市福建省福州市福清市镜洋镇工业区（租赁福州鼎力机械有限公司内铸造车间1号）</w:t>
            </w:r>
            <w:r>
              <w:rPr>
                <w:rFonts w:hint="eastAsia" w:ascii="Times New Roman" w:hAnsi="Times New Roman" w:eastAsia="宋体" w:cs="宋体"/>
                <w:color w:val="auto"/>
                <w:highlight w:val="none"/>
              </w:rPr>
              <w:t>，属于福清市第二污水处理厂设计纳污范围内。</w:t>
            </w:r>
          </w:p>
          <w:p w14:paraId="6BC5740B">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根据现场踏勘可知，本项目所在厂区已将厂区生活污水管网接入镜洋镇国道东侧市政排污总管，可引至福清市第二污水处理厂处理。</w:t>
            </w:r>
          </w:p>
          <w:p w14:paraId="57D5B7D6">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②水质负荷</w:t>
            </w:r>
          </w:p>
          <w:p w14:paraId="5B93A74E">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项目生活污水经处理达标后通过厂区污水总排放口排入市政污水管网，送往福清市第二污水处理厂集中处理，根据工程分析预测可知，项目生活污水排入市政污水管网内污染物排放浓度情况</w:t>
            </w:r>
            <w:r>
              <w:rPr>
                <w:rFonts w:hint="eastAsia" w:cs="宋体"/>
                <w:color w:val="auto"/>
                <w:highlight w:val="none"/>
                <w:lang w:val="en-US" w:eastAsia="zh-CN"/>
              </w:rPr>
              <w:t>见</w:t>
            </w:r>
            <w:r>
              <w:rPr>
                <w:rFonts w:hint="eastAsia" w:ascii="Times New Roman" w:hAnsi="Times New Roman" w:eastAsia="宋体" w:cs="宋体"/>
                <w:color w:val="auto"/>
                <w:highlight w:val="none"/>
              </w:rPr>
              <w:t>表4.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cs="宋体"/>
                <w:color w:val="auto"/>
                <w:highlight w:val="none"/>
                <w:lang w:val="en-US" w:eastAsia="zh-CN"/>
              </w:rPr>
              <w:t>2</w:t>
            </w:r>
            <w:r>
              <w:rPr>
                <w:rFonts w:hint="eastAsia" w:ascii="Times New Roman" w:hAnsi="Times New Roman" w:eastAsia="宋体" w:cs="宋体"/>
                <w:color w:val="auto"/>
                <w:highlight w:val="none"/>
              </w:rPr>
              <w:t>。</w:t>
            </w:r>
          </w:p>
          <w:p w14:paraId="48DB6E65">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根据上表</w:t>
            </w:r>
            <w:r>
              <w:rPr>
                <w:rFonts w:hint="eastAsia" w:ascii="Times New Roman" w:hAnsi="Times New Roman" w:eastAsia="宋体" w:cs="宋体"/>
                <w:color w:val="auto"/>
                <w:highlight w:val="none"/>
              </w:rPr>
              <w:t>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cs="宋体"/>
                <w:color w:val="auto"/>
                <w:highlight w:val="none"/>
                <w:lang w:val="en-US" w:eastAsia="zh-CN"/>
              </w:rPr>
              <w:t>2</w:t>
            </w:r>
            <w:r>
              <w:rPr>
                <w:rFonts w:hint="eastAsia" w:ascii="Times New Roman" w:hAnsi="Times New Roman" w:eastAsia="宋体" w:cs="宋体"/>
                <w:color w:val="auto"/>
                <w:szCs w:val="20"/>
                <w:highlight w:val="none"/>
                <w:lang w:bidi="ar"/>
              </w:rPr>
              <w:t>所列数据，本项目生活污水主要污染物排放浓度均能满足《</w:t>
            </w:r>
            <w:r>
              <w:rPr>
                <w:rFonts w:hint="eastAsia" w:cs="宋体"/>
                <w:color w:val="auto"/>
                <w:szCs w:val="20"/>
                <w:highlight w:val="none"/>
                <w:lang w:eastAsia="zh-CN" w:bidi="ar"/>
              </w:rPr>
              <w:t>污水排入城镇下水道水质标准</w:t>
            </w:r>
            <w:r>
              <w:rPr>
                <w:rFonts w:hint="eastAsia" w:ascii="Times New Roman" w:hAnsi="Times New Roman" w:eastAsia="宋体" w:cs="宋体"/>
                <w:color w:val="auto"/>
                <w:szCs w:val="20"/>
                <w:highlight w:val="none"/>
                <w:lang w:bidi="ar"/>
              </w:rPr>
              <w:t>》</w:t>
            </w:r>
            <w:r>
              <w:rPr>
                <w:rFonts w:hint="eastAsia" w:cs="宋体"/>
                <w:color w:val="auto"/>
                <w:szCs w:val="20"/>
                <w:highlight w:val="none"/>
                <w:lang w:eastAsia="zh-CN" w:bidi="ar"/>
              </w:rPr>
              <w:t>（GB/T 31962-2015）</w:t>
            </w:r>
            <w:r>
              <w:rPr>
                <w:rFonts w:hint="eastAsia" w:ascii="Times New Roman" w:hAnsi="Times New Roman" w:eastAsia="宋体" w:cs="宋体"/>
                <w:color w:val="auto"/>
                <w:szCs w:val="20"/>
                <w:highlight w:val="none"/>
                <w:lang w:bidi="ar"/>
              </w:rPr>
              <w:t>表1中B级标准限值</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即NH₃-N≤45mg/L</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也可以符合</w:t>
            </w:r>
            <w:r>
              <w:rPr>
                <w:rFonts w:hint="eastAsia" w:cs="宋体"/>
                <w:color w:val="auto"/>
                <w:szCs w:val="20"/>
                <w:highlight w:val="none"/>
                <w:lang w:eastAsia="zh-CN" w:bidi="ar"/>
              </w:rPr>
              <w:t>污水处理厂</w:t>
            </w:r>
            <w:r>
              <w:rPr>
                <w:rFonts w:hint="eastAsia" w:ascii="Times New Roman" w:hAnsi="Times New Roman" w:eastAsia="宋体" w:cs="宋体"/>
                <w:color w:val="auto"/>
                <w:szCs w:val="20"/>
                <w:highlight w:val="none"/>
                <w:lang w:bidi="ar"/>
              </w:rPr>
              <w:t>进水水质要求。</w:t>
            </w:r>
          </w:p>
          <w:p w14:paraId="7D8A9206">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项目生活污水不涉及有毒有害污染物，不涉及持久性、重金属，也不含有腐蚀成分，因此，从水质方面分析，福清市第二污水处理厂可接纳项目生活污水，不会对</w:t>
            </w:r>
            <w:r>
              <w:rPr>
                <w:rFonts w:hint="eastAsia" w:cs="宋体"/>
                <w:color w:val="auto"/>
                <w:szCs w:val="20"/>
                <w:highlight w:val="none"/>
                <w:lang w:eastAsia="zh-CN" w:bidi="ar"/>
              </w:rPr>
              <w:t>污水处理厂</w:t>
            </w:r>
            <w:r>
              <w:rPr>
                <w:rFonts w:hint="eastAsia" w:ascii="Times New Roman" w:hAnsi="Times New Roman" w:eastAsia="宋体" w:cs="宋体"/>
                <w:color w:val="auto"/>
                <w:szCs w:val="20"/>
                <w:highlight w:val="none"/>
                <w:lang w:bidi="ar"/>
              </w:rPr>
              <w:t>水质负荷造成冲击。</w:t>
            </w:r>
          </w:p>
          <w:p w14:paraId="44330EA4">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③水量负荷</w:t>
            </w:r>
          </w:p>
          <w:p w14:paraId="2EE44C25">
            <w:pPr>
              <w:pStyle w:val="46"/>
              <w:ind w:firstLine="480"/>
              <w:rPr>
                <w:rFonts w:hint="eastAsia" w:ascii="Times New Roman" w:hAnsi="Times New Roman" w:eastAsia="宋体" w:cs="宋体"/>
                <w:color w:val="auto"/>
                <w:szCs w:val="20"/>
                <w:highlight w:val="none"/>
                <w:lang w:val="en-US" w:eastAsia="zh-CN" w:bidi="ar"/>
              </w:rPr>
            </w:pPr>
            <w:r>
              <w:rPr>
                <w:rFonts w:hint="eastAsia" w:ascii="Times New Roman" w:hAnsi="Times New Roman" w:eastAsia="宋体" w:cs="宋体"/>
                <w:color w:val="auto"/>
                <w:szCs w:val="20"/>
                <w:highlight w:val="none"/>
                <w:lang w:bidi="ar"/>
              </w:rPr>
              <w:t>福清市第二污水处理厂一期处理规模6万m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bidi="ar"/>
              </w:rPr>
              <w:t>/d</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依据福建省生态环境厅</w:t>
            </w:r>
            <w:r>
              <w:rPr>
                <w:rFonts w:hint="eastAsia" w:ascii="Times New Roman" w:hAnsi="Times New Roman" w:eastAsia="宋体" w:cs="宋体"/>
                <w:color w:val="auto"/>
                <w:szCs w:val="20"/>
                <w:highlight w:val="none"/>
                <w:lang w:val="en-US" w:eastAsia="zh-CN" w:bidi="ar"/>
              </w:rPr>
              <w:t>公布的福建省污染源监督性监测情况，福清市第二污水处理厂2023年全年污水处理量为17542058m</w:t>
            </w:r>
            <w:r>
              <w:rPr>
                <w:rFonts w:hint="eastAsia" w:ascii="Times New Roman" w:hAnsi="Times New Roman" w:eastAsia="宋体" w:cs="宋体"/>
                <w:color w:val="auto"/>
                <w:szCs w:val="20"/>
                <w:highlight w:val="none"/>
                <w:vertAlign w:val="superscript"/>
                <w:lang w:val="en-US" w:eastAsia="zh-CN" w:bidi="ar"/>
              </w:rPr>
              <w:t>3</w:t>
            </w:r>
            <w:r>
              <w:rPr>
                <w:rFonts w:hint="eastAsia" w:cs="宋体"/>
                <w:color w:val="auto"/>
                <w:szCs w:val="20"/>
                <w:highlight w:val="none"/>
                <w:vertAlign w:val="superscript"/>
                <w:lang w:val="en-US" w:eastAsia="zh-CN" w:bidi="ar"/>
              </w:rPr>
              <w:t>，</w:t>
            </w:r>
            <w:r>
              <w:rPr>
                <w:rFonts w:hint="eastAsia" w:ascii="Times New Roman" w:hAnsi="Times New Roman" w:eastAsia="宋体" w:cs="宋体"/>
                <w:color w:val="auto"/>
                <w:szCs w:val="20"/>
                <w:highlight w:val="none"/>
                <w:lang w:val="en-US" w:eastAsia="zh-CN" w:bidi="ar"/>
              </w:rPr>
              <w:t>日处理规模为48060.43m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val="en-US" w:eastAsia="zh-CN" w:bidi="ar"/>
              </w:rPr>
              <w: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处理规模余量约1.2万m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val="en-US" w:eastAsia="zh-CN" w:bidi="ar"/>
              </w:rPr>
              <w: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由此可见，福清市第二污水处理厂有足够余量接纳本项目新增废水排放量。本项目污水排放量</w:t>
            </w:r>
            <w:r>
              <w:rPr>
                <w:rFonts w:hint="eastAsia" w:cs="宋体"/>
                <w:color w:val="auto"/>
                <w:szCs w:val="20"/>
                <w:highlight w:val="none"/>
                <w:lang w:val="en-US" w:eastAsia="zh-CN" w:bidi="ar"/>
              </w:rPr>
              <w:t>3.8</w:t>
            </w:r>
            <w:r>
              <w:rPr>
                <w:rFonts w:hint="eastAsia" w:ascii="Times New Roman" w:hAnsi="Times New Roman" w:eastAsia="宋体" w:cs="宋体"/>
                <w:color w:val="auto"/>
                <w:szCs w:val="20"/>
                <w:highlight w:val="none"/>
                <w:lang w:val="en-US" w:eastAsia="zh-CN" w:bidi="ar"/>
              </w:rPr>
              <w:t>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仅占福清市第二污水处理厂剩余处理规模的0.03%</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污水处理厂采用“曝气沉砂池+水解酸化AO+高效沉淀池+转盘滤池”工艺，属于城镇污水处理厂通用工艺，因此，从处理能力及处理工艺分析，福清市第二污水处理厂可接纳项目废水排放量，不会对</w:t>
            </w:r>
            <w:r>
              <w:rPr>
                <w:rFonts w:hint="eastAsia" w:cs="宋体"/>
                <w:color w:val="auto"/>
                <w:szCs w:val="20"/>
                <w:highlight w:val="none"/>
                <w:lang w:val="en-US" w:eastAsia="zh-CN" w:bidi="ar"/>
              </w:rPr>
              <w:t>污水处理厂</w:t>
            </w:r>
            <w:r>
              <w:rPr>
                <w:rFonts w:hint="eastAsia" w:ascii="Times New Roman" w:hAnsi="Times New Roman" w:eastAsia="宋体" w:cs="宋体"/>
                <w:color w:val="auto"/>
                <w:szCs w:val="20"/>
                <w:highlight w:val="none"/>
                <w:lang w:val="en-US" w:eastAsia="zh-CN" w:bidi="ar"/>
              </w:rPr>
              <w:t>水量负荷造成冲击。</w:t>
            </w:r>
          </w:p>
          <w:p w14:paraId="1D4E0827">
            <w:pPr>
              <w:pStyle w:val="46"/>
              <w:ind w:firstLine="480"/>
              <w:rPr>
                <w:rFonts w:hint="eastAsia" w:ascii="Times New Roman" w:hAnsi="Times New Roman" w:eastAsia="宋体" w:cs="宋体"/>
                <w:color w:val="auto"/>
                <w:szCs w:val="20"/>
                <w:highlight w:val="none"/>
                <w:lang w:val="en-US" w:eastAsia="zh-CN" w:bidi="ar"/>
              </w:rPr>
            </w:pPr>
            <w:r>
              <w:rPr>
                <w:rFonts w:hint="eastAsia" w:ascii="Times New Roman" w:hAnsi="Times New Roman" w:eastAsia="宋体" w:cs="宋体"/>
                <w:color w:val="auto"/>
                <w:szCs w:val="20"/>
                <w:highlight w:val="none"/>
                <w:lang w:val="en-US" w:eastAsia="zh-CN" w:bidi="ar"/>
              </w:rPr>
              <w:t>根据上述分析，</w:t>
            </w:r>
            <w:r>
              <w:rPr>
                <w:rFonts w:hint="eastAsia"/>
                <w:color w:val="auto"/>
                <w:lang w:val="en-US" w:eastAsia="zh-CN"/>
              </w:rPr>
              <w:t>项目生产废水通过新建</w:t>
            </w:r>
            <w:r>
              <w:rPr>
                <w:rFonts w:hint="eastAsia" w:ascii="Times New Roman" w:hAnsi="Times New Roman" w:eastAsia="宋体" w:cs="宋体"/>
                <w:color w:val="auto"/>
                <w:highlight w:val="none"/>
                <w:lang w:val="en-US" w:eastAsia="zh-CN"/>
              </w:rPr>
              <w:t>污水处理设施</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处理工艺为“</w:t>
            </w:r>
            <w:r>
              <w:rPr>
                <w:rFonts w:hint="eastAsia" w:cs="宋体"/>
                <w:color w:val="auto"/>
                <w:highlight w:val="none"/>
                <w:lang w:val="en-US" w:eastAsia="zh-CN"/>
              </w:rPr>
              <w:t>物化+A/O+沉淀</w:t>
            </w:r>
            <w:r>
              <w:rPr>
                <w:rFonts w:hint="eastAsia" w:ascii="Times New Roman" w:hAnsi="Times New Roman" w:eastAsia="宋体" w:cs="宋体"/>
                <w:color w:val="auto"/>
                <w:highlight w:val="none"/>
                <w:lang w:val="en-US" w:eastAsia="zh-CN"/>
              </w:rPr>
              <w:t>”</w:t>
            </w:r>
            <w:r>
              <w:rPr>
                <w:rFonts w:hint="eastAsia" w:cs="宋体"/>
                <w:color w:val="auto"/>
                <w:highlight w:val="none"/>
                <w:lang w:val="en-US" w:eastAsia="zh-CN"/>
              </w:rPr>
              <w:t>）处理；</w:t>
            </w:r>
            <w:r>
              <w:rPr>
                <w:rFonts w:hint="eastAsia" w:ascii="Times New Roman" w:hAnsi="Times New Roman" w:eastAsia="宋体" w:cs="宋体"/>
                <w:color w:val="auto"/>
                <w:szCs w:val="20"/>
                <w:highlight w:val="none"/>
                <w:lang w:val="en-US" w:eastAsia="zh-CN" w:bidi="ar"/>
              </w:rPr>
              <w:t>项目生活污水经化粪池预处理后</w:t>
            </w:r>
            <w:r>
              <w:rPr>
                <w:rFonts w:hint="eastAsia" w:cs="宋体"/>
                <w:color w:val="auto"/>
                <w:szCs w:val="20"/>
                <w:highlight w:val="none"/>
                <w:lang w:val="en-US" w:eastAsia="zh-CN" w:bidi="ar"/>
              </w:rPr>
              <w:t>；生活污水与生产废水经处理后</w:t>
            </w:r>
            <w:r>
              <w:rPr>
                <w:rFonts w:hint="eastAsia" w:ascii="Times New Roman" w:hAnsi="Times New Roman" w:eastAsia="宋体" w:cs="宋体"/>
                <w:color w:val="auto"/>
                <w:szCs w:val="20"/>
                <w:highlight w:val="none"/>
                <w:lang w:val="en-US" w:eastAsia="zh-CN" w:bidi="ar"/>
              </w:rPr>
              <w:t>可以满足《污水综合排放标准》</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GB8978-1996</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表4三级标准</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即COD≤500mg/L,BOD</w:t>
            </w:r>
            <w:r>
              <w:rPr>
                <w:rFonts w:hint="eastAsia" w:cs="宋体"/>
                <w:color w:val="auto"/>
                <w:szCs w:val="20"/>
                <w:highlight w:val="none"/>
                <w:vertAlign w:val="subscript"/>
                <w:lang w:val="en-US" w:eastAsia="zh-CN" w:bidi="ar"/>
              </w:rPr>
              <w:t>5</w:t>
            </w:r>
            <w:r>
              <w:rPr>
                <w:rFonts w:hint="eastAsia" w:ascii="Times New Roman" w:hAnsi="Times New Roman" w:eastAsia="宋体" w:cs="宋体"/>
                <w:color w:val="auto"/>
                <w:szCs w:val="20"/>
                <w:highlight w:val="none"/>
                <w:lang w:val="en-US" w:eastAsia="zh-CN" w:bidi="ar"/>
              </w:rPr>
              <w:t>≤300mg</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L,SS≤400mg/L</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及《污水排入城镇下水道水质标准》</w:t>
            </w:r>
            <w:r>
              <w:rPr>
                <w:rFonts w:hint="eastAsia" w:cs="宋体"/>
                <w:color w:val="auto"/>
                <w:szCs w:val="20"/>
                <w:highlight w:val="none"/>
                <w:lang w:val="en-US" w:eastAsia="zh-CN" w:bidi="ar"/>
              </w:rPr>
              <w:t>（GB/T 31962-2015）</w:t>
            </w:r>
            <w:r>
              <w:rPr>
                <w:rFonts w:hint="eastAsia" w:ascii="Times New Roman" w:hAnsi="Times New Roman" w:eastAsia="宋体" w:cs="宋体"/>
                <w:color w:val="auto"/>
                <w:szCs w:val="20"/>
                <w:highlight w:val="none"/>
                <w:lang w:val="en-US" w:eastAsia="zh-CN" w:bidi="ar"/>
              </w:rPr>
              <w:t>表1中B级标准限值</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即NH</w:t>
            </w:r>
            <w:r>
              <w:rPr>
                <w:rFonts w:hint="eastAsia" w:cs="宋体"/>
                <w:color w:val="auto"/>
                <w:szCs w:val="20"/>
                <w:highlight w:val="none"/>
                <w:vertAlign w:val="subscript"/>
                <w:lang w:val="en-US" w:eastAsia="zh-CN" w:bidi="ar"/>
              </w:rPr>
              <w:t>3</w:t>
            </w:r>
            <w:r>
              <w:rPr>
                <w:rFonts w:hint="eastAsia" w:ascii="Times New Roman" w:hAnsi="Times New Roman" w:eastAsia="宋体" w:cs="宋体"/>
                <w:color w:val="auto"/>
                <w:szCs w:val="20"/>
                <w:highlight w:val="none"/>
                <w:lang w:val="en-US" w:eastAsia="zh-CN" w:bidi="ar"/>
              </w:rPr>
              <w:t>-N≤45mg/L</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也可以符合</w:t>
            </w:r>
            <w:r>
              <w:rPr>
                <w:rFonts w:hint="eastAsia" w:cs="宋体"/>
                <w:color w:val="auto"/>
                <w:szCs w:val="20"/>
                <w:highlight w:val="none"/>
                <w:lang w:val="en-US" w:eastAsia="zh-CN" w:bidi="ar"/>
              </w:rPr>
              <w:t>污水处理厂</w:t>
            </w:r>
            <w:r>
              <w:rPr>
                <w:rFonts w:hint="eastAsia" w:ascii="Times New Roman" w:hAnsi="Times New Roman" w:eastAsia="宋体" w:cs="宋体"/>
                <w:color w:val="auto"/>
                <w:szCs w:val="20"/>
                <w:highlight w:val="none"/>
                <w:lang w:val="en-US" w:eastAsia="zh-CN" w:bidi="ar"/>
              </w:rPr>
              <w:t>进水水质要求，生活污水</w:t>
            </w:r>
            <w:r>
              <w:rPr>
                <w:rFonts w:hint="eastAsia" w:cs="宋体"/>
                <w:color w:val="auto"/>
                <w:szCs w:val="20"/>
                <w:highlight w:val="none"/>
                <w:lang w:val="en-US" w:eastAsia="zh-CN" w:bidi="ar"/>
              </w:rPr>
              <w:t>和生产废水</w:t>
            </w:r>
            <w:r>
              <w:rPr>
                <w:rFonts w:hint="eastAsia" w:ascii="Times New Roman" w:hAnsi="Times New Roman" w:eastAsia="宋体" w:cs="宋体"/>
                <w:color w:val="auto"/>
                <w:szCs w:val="20"/>
                <w:highlight w:val="none"/>
                <w:lang w:val="en-US" w:eastAsia="zh-CN" w:bidi="ar"/>
              </w:rPr>
              <w:t>通过厂区污水总排放口排入市政污水管网，最终送往福清市第二污水处理厂集中处理，项目废水水质、水量不会对污水处理厂造成负荷冲击，项目污水不直接排入地表水体，因此几乎不会对区域地表水环境产生直接不利影响。</w:t>
            </w:r>
          </w:p>
          <w:bookmarkEnd w:id="49"/>
          <w:p w14:paraId="0A8EE5FB">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厂区</w:t>
            </w:r>
            <w:r>
              <w:rPr>
                <w:rFonts w:hint="eastAsia"/>
                <w:color w:val="auto"/>
                <w:highlight w:val="none"/>
                <w:lang w:val="en-US" w:eastAsia="zh-CN"/>
              </w:rPr>
              <w:t>污水</w:t>
            </w:r>
            <w:r>
              <w:rPr>
                <w:rFonts w:hint="eastAsia" w:eastAsia="宋体"/>
                <w:color w:val="auto"/>
                <w:highlight w:val="none"/>
              </w:rPr>
              <w:t>管网建设</w:t>
            </w:r>
          </w:p>
          <w:p w14:paraId="6B725328">
            <w:pPr>
              <w:pStyle w:val="46"/>
              <w:ind w:firstLine="480"/>
              <w:rPr>
                <w:rFonts w:hint="eastAsia" w:eastAsia="宋体" w:cs="宋体"/>
                <w:color w:val="auto"/>
                <w:sz w:val="24"/>
                <w:szCs w:val="20"/>
                <w:highlight w:val="none"/>
                <w:lang w:eastAsia="zh-CN" w:bidi="ar"/>
              </w:rPr>
            </w:pPr>
            <w:r>
              <w:rPr>
                <w:rFonts w:hint="eastAsia" w:cs="宋体"/>
                <w:color w:val="auto"/>
                <w:szCs w:val="20"/>
                <w:highlight w:val="none"/>
                <w:lang w:bidi="ar"/>
              </w:rPr>
              <w:t>本</w:t>
            </w:r>
            <w:r>
              <w:rPr>
                <w:rFonts w:hint="eastAsia" w:cs="宋体"/>
                <w:color w:val="auto"/>
                <w:sz w:val="24"/>
                <w:szCs w:val="20"/>
                <w:highlight w:val="none"/>
                <w:lang w:bidi="ar"/>
              </w:rPr>
              <w:t>项目污水分质分流由明管或通过管沟敷设方式接入相应设施；</w:t>
            </w:r>
            <w:r>
              <w:rPr>
                <w:rFonts w:hint="eastAsia"/>
                <w:color w:val="auto"/>
                <w:highlight w:val="none"/>
              </w:rPr>
              <w:t>管道采用防渗材料，</w:t>
            </w:r>
            <w:r>
              <w:rPr>
                <w:rFonts w:hint="eastAsia" w:cs="宋体"/>
                <w:color w:val="auto"/>
                <w:sz w:val="24"/>
                <w:szCs w:val="20"/>
                <w:highlight w:val="none"/>
                <w:lang w:bidi="ar"/>
              </w:rPr>
              <w:t>管沟进行防渗处理，避免发生泄漏时对地下水和土壤污染，同时建设单位定期组织巡查，排查泄漏隐患</w:t>
            </w:r>
            <w:r>
              <w:rPr>
                <w:rFonts w:hint="eastAsia" w:cs="宋体"/>
                <w:color w:val="auto"/>
                <w:sz w:val="24"/>
                <w:szCs w:val="20"/>
                <w:highlight w:val="none"/>
                <w:lang w:eastAsia="zh-CN" w:bidi="ar"/>
              </w:rPr>
              <w:t>。</w:t>
            </w:r>
          </w:p>
          <w:p w14:paraId="3EDF0CD6">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lang w:val="en-US" w:eastAsia="zh-CN"/>
              </w:rPr>
              <w:t>自行监测计划</w:t>
            </w:r>
          </w:p>
          <w:p w14:paraId="6270C506">
            <w:pPr>
              <w:pStyle w:val="46"/>
              <w:ind w:firstLine="480"/>
              <w:rPr>
                <w:rFonts w:hint="eastAsia" w:cs="宋体"/>
                <w:color w:val="auto"/>
                <w:sz w:val="24"/>
                <w:szCs w:val="20"/>
                <w:highlight w:val="none"/>
                <w:lang w:bidi="ar"/>
              </w:rPr>
            </w:pPr>
            <w:r>
              <w:rPr>
                <w:rFonts w:hint="eastAsia" w:cs="宋体"/>
                <w:color w:val="auto"/>
                <w:sz w:val="24"/>
                <w:szCs w:val="20"/>
                <w:highlight w:val="none"/>
                <w:lang w:bidi="ar"/>
              </w:rPr>
              <w:t>本评价</w:t>
            </w:r>
            <w:r>
              <w:rPr>
                <w:rFonts w:hint="eastAsia" w:cs="宋体"/>
                <w:color w:val="auto"/>
                <w:sz w:val="24"/>
                <w:szCs w:val="20"/>
                <w:highlight w:val="none"/>
                <w:lang w:val="en-US" w:eastAsia="zh-CN" w:bidi="ar"/>
              </w:rPr>
              <w:t>根据</w:t>
            </w:r>
            <w:r>
              <w:rPr>
                <w:rFonts w:hint="eastAsia" w:cs="宋体"/>
                <w:color w:val="auto"/>
                <w:sz w:val="24"/>
                <w:szCs w:val="20"/>
                <w:highlight w:val="none"/>
                <w:lang w:bidi="ar"/>
              </w:rPr>
              <w:t>《排污单位自行监测技术指南总则》</w:t>
            </w:r>
            <w:r>
              <w:rPr>
                <w:rFonts w:hint="eastAsia" w:cs="宋体"/>
                <w:color w:val="auto"/>
                <w:sz w:val="24"/>
                <w:szCs w:val="20"/>
                <w:highlight w:val="none"/>
                <w:lang w:eastAsia="zh-CN" w:bidi="ar"/>
              </w:rPr>
              <w:t>（</w:t>
            </w:r>
            <w:r>
              <w:rPr>
                <w:rFonts w:hint="eastAsia" w:cs="宋体"/>
                <w:color w:val="auto"/>
                <w:sz w:val="24"/>
                <w:szCs w:val="20"/>
                <w:highlight w:val="none"/>
                <w:lang w:bidi="ar"/>
              </w:rPr>
              <w:t>HJ819-2017</w:t>
            </w:r>
            <w:r>
              <w:rPr>
                <w:rFonts w:hint="eastAsia" w:cs="宋体"/>
                <w:color w:val="auto"/>
                <w:sz w:val="24"/>
                <w:szCs w:val="20"/>
                <w:highlight w:val="none"/>
                <w:lang w:eastAsia="zh-CN" w:bidi="ar"/>
              </w:rPr>
              <w:t>）</w:t>
            </w:r>
            <w:r>
              <w:rPr>
                <w:rFonts w:hint="eastAsia" w:cs="宋体"/>
                <w:color w:val="auto"/>
                <w:sz w:val="24"/>
                <w:szCs w:val="20"/>
                <w:highlight w:val="none"/>
                <w:lang w:bidi="ar"/>
              </w:rPr>
              <w:t>、《排污单位自行监测技术指南</w:t>
            </w:r>
            <w:r>
              <w:rPr>
                <w:rFonts w:hint="eastAsia" w:cs="宋体"/>
                <w:color w:val="auto"/>
                <w:sz w:val="24"/>
                <w:szCs w:val="20"/>
                <w:highlight w:val="none"/>
                <w:lang w:val="en-US" w:eastAsia="zh-CN" w:bidi="ar"/>
              </w:rPr>
              <w:t xml:space="preserve"> </w:t>
            </w:r>
            <w:r>
              <w:rPr>
                <w:rFonts w:hint="eastAsia" w:cs="宋体"/>
                <w:color w:val="auto"/>
                <w:sz w:val="24"/>
                <w:szCs w:val="20"/>
                <w:highlight w:val="none"/>
                <w:lang w:bidi="ar"/>
              </w:rPr>
              <w:t>涂装》</w:t>
            </w:r>
            <w:r>
              <w:rPr>
                <w:rFonts w:hint="eastAsia" w:cs="宋体"/>
                <w:color w:val="auto"/>
                <w:sz w:val="24"/>
                <w:szCs w:val="20"/>
                <w:highlight w:val="none"/>
                <w:lang w:eastAsia="zh-CN" w:bidi="ar"/>
              </w:rPr>
              <w:t>（</w:t>
            </w:r>
            <w:r>
              <w:rPr>
                <w:rFonts w:hint="eastAsia" w:cs="宋体"/>
                <w:color w:val="auto"/>
                <w:sz w:val="24"/>
                <w:szCs w:val="20"/>
                <w:highlight w:val="none"/>
                <w:lang w:bidi="ar"/>
              </w:rPr>
              <w:t>HJ1086-2020</w:t>
            </w:r>
            <w:r>
              <w:rPr>
                <w:rFonts w:hint="eastAsia" w:cs="宋体"/>
                <w:color w:val="auto"/>
                <w:sz w:val="24"/>
                <w:szCs w:val="20"/>
                <w:highlight w:val="none"/>
                <w:lang w:eastAsia="zh-CN" w:bidi="ar"/>
              </w:rPr>
              <w:t>）</w:t>
            </w:r>
            <w:r>
              <w:rPr>
                <w:rFonts w:hint="eastAsia" w:cs="宋体"/>
                <w:color w:val="auto"/>
                <w:sz w:val="24"/>
                <w:szCs w:val="20"/>
                <w:highlight w:val="none"/>
                <w:lang w:bidi="ar"/>
              </w:rPr>
              <w:t>等要求，提出项目运营期废水自行监测计划，具体情况详见表4.3-</w:t>
            </w:r>
            <w:r>
              <w:rPr>
                <w:rFonts w:hint="eastAsia" w:cs="宋体"/>
                <w:color w:val="auto"/>
                <w:sz w:val="24"/>
                <w:szCs w:val="20"/>
                <w:highlight w:val="none"/>
                <w:lang w:val="en-US" w:eastAsia="zh-CN" w:bidi="ar"/>
              </w:rPr>
              <w:t>6</w:t>
            </w:r>
            <w:r>
              <w:rPr>
                <w:rFonts w:hint="eastAsia" w:cs="宋体"/>
                <w:color w:val="auto"/>
                <w:sz w:val="24"/>
                <w:szCs w:val="20"/>
                <w:highlight w:val="none"/>
                <w:lang w:bidi="ar"/>
              </w:rPr>
              <w:t>。</w:t>
            </w:r>
          </w:p>
          <w:p w14:paraId="435F885E">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项目废水自行监测计划</w:t>
            </w:r>
          </w:p>
          <w:tbl>
            <w:tblPr>
              <w:tblStyle w:val="35"/>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667"/>
              <w:gridCol w:w="661"/>
              <w:gridCol w:w="1731"/>
              <w:gridCol w:w="1634"/>
              <w:gridCol w:w="636"/>
              <w:gridCol w:w="1633"/>
              <w:gridCol w:w="834"/>
            </w:tblGrid>
            <w:tr w14:paraId="53C64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30" w:type="dxa"/>
                  <w:vMerge w:val="restart"/>
                  <w:tcBorders>
                    <w:tl2br w:val="nil"/>
                    <w:tr2bl w:val="nil"/>
                  </w:tcBorders>
                  <w:vAlign w:val="center"/>
                </w:tcPr>
                <w:p w14:paraId="3E0C6A3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667" w:type="dxa"/>
                  <w:vMerge w:val="restart"/>
                  <w:tcBorders>
                    <w:tl2br w:val="nil"/>
                    <w:tr2bl w:val="nil"/>
                  </w:tcBorders>
                  <w:vAlign w:val="center"/>
                </w:tcPr>
                <w:p w14:paraId="1089999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661" w:type="dxa"/>
                  <w:vMerge w:val="restart"/>
                  <w:tcBorders>
                    <w:tl2br w:val="nil"/>
                    <w:tr2bl w:val="nil"/>
                  </w:tcBorders>
                  <w:vAlign w:val="center"/>
                </w:tcPr>
                <w:p w14:paraId="29E4558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类型</w:t>
                  </w:r>
                </w:p>
              </w:tc>
              <w:tc>
                <w:tcPr>
                  <w:tcW w:w="3365" w:type="dxa"/>
                  <w:gridSpan w:val="2"/>
                  <w:tcBorders>
                    <w:tl2br w:val="nil"/>
                    <w:tr2bl w:val="nil"/>
                  </w:tcBorders>
                  <w:vAlign w:val="center"/>
                </w:tcPr>
                <w:p w14:paraId="6E39014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636" w:type="dxa"/>
                  <w:vMerge w:val="restart"/>
                  <w:tcBorders>
                    <w:tl2br w:val="nil"/>
                    <w:tr2bl w:val="nil"/>
                  </w:tcBorders>
                  <w:vAlign w:val="center"/>
                </w:tcPr>
                <w:p w14:paraId="1975566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排放规律</w:t>
                  </w:r>
                </w:p>
              </w:tc>
              <w:tc>
                <w:tcPr>
                  <w:tcW w:w="1633" w:type="dxa"/>
                  <w:vMerge w:val="restart"/>
                  <w:tcBorders>
                    <w:tl2br w:val="nil"/>
                    <w:tr2bl w:val="nil"/>
                  </w:tcBorders>
                  <w:vAlign w:val="center"/>
                </w:tcPr>
                <w:p w14:paraId="3FC86EF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监测因子</w:t>
                  </w:r>
                </w:p>
              </w:tc>
              <w:tc>
                <w:tcPr>
                  <w:tcW w:w="834" w:type="dxa"/>
                  <w:vMerge w:val="restart"/>
                  <w:tcBorders>
                    <w:tl2br w:val="nil"/>
                    <w:tr2bl w:val="nil"/>
                  </w:tcBorders>
                  <w:vAlign w:val="center"/>
                </w:tcPr>
                <w:p w14:paraId="637193D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14:paraId="28793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30" w:type="dxa"/>
                  <w:vMerge w:val="continue"/>
                  <w:tcBorders>
                    <w:tl2br w:val="nil"/>
                    <w:tr2bl w:val="nil"/>
                  </w:tcBorders>
                  <w:vAlign w:val="center"/>
                </w:tcPr>
                <w:p w14:paraId="0B39F4A2">
                  <w:pPr>
                    <w:jc w:val="center"/>
                    <w:rPr>
                      <w:color w:val="000000" w:themeColor="text1"/>
                      <w:szCs w:val="21"/>
                      <w:highlight w:val="none"/>
                      <w14:textFill>
                        <w14:solidFill>
                          <w14:schemeClr w14:val="tx1"/>
                        </w14:solidFill>
                      </w14:textFill>
                    </w:rPr>
                  </w:pPr>
                </w:p>
              </w:tc>
              <w:tc>
                <w:tcPr>
                  <w:tcW w:w="667" w:type="dxa"/>
                  <w:vMerge w:val="continue"/>
                  <w:tcBorders>
                    <w:tl2br w:val="nil"/>
                    <w:tr2bl w:val="nil"/>
                  </w:tcBorders>
                  <w:vAlign w:val="center"/>
                </w:tcPr>
                <w:p w14:paraId="58D7BC0C">
                  <w:pPr>
                    <w:jc w:val="center"/>
                    <w:rPr>
                      <w:color w:val="000000" w:themeColor="text1"/>
                      <w:szCs w:val="21"/>
                      <w:highlight w:val="none"/>
                      <w14:textFill>
                        <w14:solidFill>
                          <w14:schemeClr w14:val="tx1"/>
                        </w14:solidFill>
                      </w14:textFill>
                    </w:rPr>
                  </w:pPr>
                </w:p>
              </w:tc>
              <w:tc>
                <w:tcPr>
                  <w:tcW w:w="661" w:type="dxa"/>
                  <w:vMerge w:val="continue"/>
                  <w:tcBorders>
                    <w:tl2br w:val="nil"/>
                    <w:tr2bl w:val="nil"/>
                  </w:tcBorders>
                  <w:vAlign w:val="center"/>
                </w:tcPr>
                <w:p w14:paraId="1988EA1D">
                  <w:pPr>
                    <w:jc w:val="center"/>
                    <w:rPr>
                      <w:color w:val="000000" w:themeColor="text1"/>
                      <w:szCs w:val="21"/>
                      <w:highlight w:val="none"/>
                      <w14:textFill>
                        <w14:solidFill>
                          <w14:schemeClr w14:val="tx1"/>
                        </w14:solidFill>
                      </w14:textFill>
                    </w:rPr>
                  </w:pPr>
                </w:p>
              </w:tc>
              <w:tc>
                <w:tcPr>
                  <w:tcW w:w="1731" w:type="dxa"/>
                  <w:tcBorders>
                    <w:tl2br w:val="nil"/>
                    <w:tr2bl w:val="nil"/>
                  </w:tcBorders>
                  <w:vAlign w:val="center"/>
                </w:tcPr>
                <w:p w14:paraId="04B76D6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E</w:t>
                  </w:r>
                </w:p>
              </w:tc>
              <w:tc>
                <w:tcPr>
                  <w:tcW w:w="1634" w:type="dxa"/>
                  <w:tcBorders>
                    <w:tl2br w:val="nil"/>
                    <w:tr2bl w:val="nil"/>
                  </w:tcBorders>
                  <w:vAlign w:val="center"/>
                </w:tcPr>
                <w:p w14:paraId="3973780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w:t>
                  </w:r>
                </w:p>
              </w:tc>
              <w:tc>
                <w:tcPr>
                  <w:tcW w:w="636" w:type="dxa"/>
                  <w:vMerge w:val="continue"/>
                  <w:tcBorders>
                    <w:tl2br w:val="nil"/>
                    <w:tr2bl w:val="nil"/>
                  </w:tcBorders>
                  <w:vAlign w:val="center"/>
                </w:tcPr>
                <w:p w14:paraId="660F249C">
                  <w:pPr>
                    <w:jc w:val="center"/>
                    <w:rPr>
                      <w:color w:val="000000" w:themeColor="text1"/>
                      <w:szCs w:val="21"/>
                      <w:highlight w:val="none"/>
                      <w14:textFill>
                        <w14:solidFill>
                          <w14:schemeClr w14:val="tx1"/>
                        </w14:solidFill>
                      </w14:textFill>
                    </w:rPr>
                  </w:pPr>
                </w:p>
              </w:tc>
              <w:tc>
                <w:tcPr>
                  <w:tcW w:w="1633" w:type="dxa"/>
                  <w:vMerge w:val="continue"/>
                  <w:tcBorders>
                    <w:tl2br w:val="nil"/>
                    <w:tr2bl w:val="nil"/>
                  </w:tcBorders>
                  <w:vAlign w:val="center"/>
                </w:tcPr>
                <w:p w14:paraId="59DFCB1E">
                  <w:pPr>
                    <w:jc w:val="center"/>
                    <w:rPr>
                      <w:color w:val="000000" w:themeColor="text1"/>
                      <w:szCs w:val="21"/>
                      <w:highlight w:val="none"/>
                      <w14:textFill>
                        <w14:solidFill>
                          <w14:schemeClr w14:val="tx1"/>
                        </w14:solidFill>
                      </w14:textFill>
                    </w:rPr>
                  </w:pPr>
                </w:p>
              </w:tc>
              <w:tc>
                <w:tcPr>
                  <w:tcW w:w="834" w:type="dxa"/>
                  <w:vMerge w:val="continue"/>
                  <w:tcBorders>
                    <w:tl2br w:val="nil"/>
                    <w:tr2bl w:val="nil"/>
                  </w:tcBorders>
                  <w:vAlign w:val="center"/>
                </w:tcPr>
                <w:p w14:paraId="6DEFDDB0">
                  <w:pPr>
                    <w:jc w:val="center"/>
                    <w:rPr>
                      <w:color w:val="000000" w:themeColor="text1"/>
                      <w:szCs w:val="21"/>
                      <w:highlight w:val="none"/>
                      <w14:textFill>
                        <w14:solidFill>
                          <w14:schemeClr w14:val="tx1"/>
                        </w14:solidFill>
                      </w14:textFill>
                    </w:rPr>
                  </w:pPr>
                </w:p>
              </w:tc>
            </w:tr>
            <w:tr w14:paraId="3569A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30" w:type="dxa"/>
                  <w:tcBorders>
                    <w:tl2br w:val="nil"/>
                    <w:tr2bl w:val="nil"/>
                  </w:tcBorders>
                  <w:vAlign w:val="center"/>
                </w:tcPr>
                <w:p w14:paraId="5944CB97">
                  <w:pPr>
                    <w:pStyle w:val="21"/>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ascii="Times New Roman" w:hAnsi="Times New Roman"/>
                      <w:color w:val="000000" w:themeColor="text1"/>
                      <w:szCs w:val="21"/>
                      <w:highlight w:val="none"/>
                      <w:lang w:val="en-US" w:eastAsia="zh-CN"/>
                      <w14:textFill>
                        <w14:solidFill>
                          <w14:schemeClr w14:val="tx1"/>
                        </w14:solidFill>
                      </w14:textFill>
                    </w:rPr>
                    <w:t>1</w:t>
                  </w:r>
                </w:p>
              </w:tc>
              <w:tc>
                <w:tcPr>
                  <w:tcW w:w="667" w:type="dxa"/>
                  <w:tcBorders>
                    <w:tl2br w:val="nil"/>
                    <w:tr2bl w:val="nil"/>
                  </w:tcBorders>
                  <w:vAlign w:val="center"/>
                </w:tcPr>
                <w:p w14:paraId="44A03A65">
                  <w:pPr>
                    <w:pStyle w:val="98"/>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生活污水排放</w:t>
                  </w:r>
                  <w:r>
                    <w:rPr>
                      <w:rFonts w:hint="eastAsia" w:ascii="Times New Roman" w:hAnsi="Times New Roman" w:cs="Times New Roman"/>
                      <w:color w:val="000000" w:themeColor="text1"/>
                      <w:sz w:val="21"/>
                      <w:highlight w:val="none"/>
                      <w:lang w:val="en-US" w:eastAsia="zh-CN"/>
                      <w14:textFill>
                        <w14:solidFill>
                          <w14:schemeClr w14:val="tx1"/>
                        </w14:solidFill>
                      </w14:textFill>
                    </w:rPr>
                    <w:t>口</w:t>
                  </w:r>
                </w:p>
              </w:tc>
              <w:tc>
                <w:tcPr>
                  <w:tcW w:w="661" w:type="dxa"/>
                  <w:tcBorders>
                    <w:tl2br w:val="nil"/>
                    <w:tr2bl w:val="nil"/>
                  </w:tcBorders>
                  <w:vAlign w:val="center"/>
                </w:tcPr>
                <w:p w14:paraId="11E6DC9F">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731" w:type="dxa"/>
                  <w:tcBorders>
                    <w:tl2br w:val="nil"/>
                    <w:tr2bl w:val="nil"/>
                  </w:tcBorders>
                  <w:vAlign w:val="center"/>
                </w:tcPr>
                <w:p w14:paraId="3B5E2A3D">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119.29262011°</w:t>
                  </w:r>
                </w:p>
              </w:tc>
              <w:tc>
                <w:tcPr>
                  <w:tcW w:w="1634" w:type="dxa"/>
                  <w:tcBorders>
                    <w:tl2br w:val="nil"/>
                    <w:tr2bl w:val="nil"/>
                  </w:tcBorders>
                  <w:vAlign w:val="center"/>
                </w:tcPr>
                <w:p w14:paraId="4D03158E">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25.80500672°</w:t>
                  </w:r>
                </w:p>
              </w:tc>
              <w:tc>
                <w:tcPr>
                  <w:tcW w:w="636" w:type="dxa"/>
                  <w:tcBorders>
                    <w:tl2br w:val="nil"/>
                    <w:tr2bl w:val="nil"/>
                  </w:tcBorders>
                  <w:vAlign w:val="center"/>
                </w:tcPr>
                <w:p w14:paraId="64226B7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633" w:type="dxa"/>
                  <w:tcBorders>
                    <w:tl2br w:val="nil"/>
                    <w:tr2bl w:val="nil"/>
                  </w:tcBorders>
                  <w:vAlign w:val="center"/>
                </w:tcPr>
                <w:p w14:paraId="17BDDAA0">
                  <w:pPr>
                    <w:pStyle w:val="101"/>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p>
              </w:tc>
              <w:tc>
                <w:tcPr>
                  <w:tcW w:w="834" w:type="dxa"/>
                  <w:tcBorders>
                    <w:tl2br w:val="nil"/>
                    <w:tr2bl w:val="nil"/>
                  </w:tcBorders>
                  <w:vAlign w:val="center"/>
                </w:tcPr>
                <w:p w14:paraId="65181AB7">
                  <w:pPr>
                    <w:pStyle w:val="101"/>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半</w:t>
                  </w:r>
                  <w:r>
                    <w:rPr>
                      <w:rFonts w:ascii="Times New Roman" w:hAnsi="Times New Roman"/>
                      <w:color w:val="000000" w:themeColor="text1"/>
                      <w:sz w:val="21"/>
                      <w:szCs w:val="21"/>
                      <w:highlight w:val="none"/>
                      <w14:textFill>
                        <w14:solidFill>
                          <w14:schemeClr w14:val="tx1"/>
                        </w14:solidFill>
                      </w14:textFill>
                    </w:rPr>
                    <w:t>年</w:t>
                  </w:r>
                </w:p>
              </w:tc>
            </w:tr>
            <w:tr w14:paraId="2ED06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30" w:type="dxa"/>
                  <w:tcBorders>
                    <w:tl2br w:val="nil"/>
                    <w:tr2bl w:val="nil"/>
                  </w:tcBorders>
                  <w:vAlign w:val="center"/>
                </w:tcPr>
                <w:p w14:paraId="67AA88B4">
                  <w:pPr>
                    <w:pStyle w:val="21"/>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DW002</w:t>
                  </w:r>
                </w:p>
              </w:tc>
              <w:tc>
                <w:tcPr>
                  <w:tcW w:w="667" w:type="dxa"/>
                  <w:tcBorders>
                    <w:tl2br w:val="nil"/>
                    <w:tr2bl w:val="nil"/>
                  </w:tcBorders>
                  <w:vAlign w:val="center"/>
                </w:tcPr>
                <w:p w14:paraId="53AFDD8B">
                  <w:pPr>
                    <w:pStyle w:val="98"/>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生产废水设施排放口</w:t>
                  </w:r>
                </w:p>
              </w:tc>
              <w:tc>
                <w:tcPr>
                  <w:tcW w:w="661" w:type="dxa"/>
                  <w:tcBorders>
                    <w:tl2br w:val="nil"/>
                    <w:tr2bl w:val="nil"/>
                  </w:tcBorders>
                  <w:vAlign w:val="center"/>
                </w:tcPr>
                <w:p w14:paraId="4ACD4277">
                  <w:pPr>
                    <w:pStyle w:val="21"/>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731" w:type="dxa"/>
                  <w:tcBorders>
                    <w:tl2br w:val="nil"/>
                    <w:tr2bl w:val="nil"/>
                  </w:tcBorders>
                  <w:vAlign w:val="center"/>
                </w:tcPr>
                <w:p w14:paraId="73A0872F">
                  <w:pPr>
                    <w:pStyle w:val="21"/>
                    <w:adjustRightInd w:val="0"/>
                    <w:snapToGrid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119.2926254°</w:t>
                  </w:r>
                </w:p>
              </w:tc>
              <w:tc>
                <w:tcPr>
                  <w:tcW w:w="1634" w:type="dxa"/>
                  <w:tcBorders>
                    <w:tl2br w:val="nil"/>
                    <w:tr2bl w:val="nil"/>
                  </w:tcBorders>
                  <w:vAlign w:val="center"/>
                </w:tcPr>
                <w:p w14:paraId="656ED402">
                  <w:pPr>
                    <w:pStyle w:val="21"/>
                    <w:adjustRightInd w:val="0"/>
                    <w:snapToGrid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25.8058543°</w:t>
                  </w:r>
                </w:p>
              </w:tc>
              <w:tc>
                <w:tcPr>
                  <w:tcW w:w="636" w:type="dxa"/>
                  <w:tcBorders>
                    <w:tl2br w:val="nil"/>
                    <w:tr2bl w:val="nil"/>
                  </w:tcBorders>
                  <w:vAlign w:val="center"/>
                </w:tcPr>
                <w:p w14:paraId="4CC38A3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633" w:type="dxa"/>
                  <w:tcBorders>
                    <w:tl2br w:val="nil"/>
                    <w:tr2bl w:val="nil"/>
                  </w:tcBorders>
                  <w:vAlign w:val="center"/>
                </w:tcPr>
                <w:p w14:paraId="2E43577D">
                  <w:pPr>
                    <w:pStyle w:val="101"/>
                    <w:adjustRightInd w:val="0"/>
                    <w:snapToGrid w:val="0"/>
                    <w:spacing w:line="240" w:lineRule="auto"/>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石油类</w:t>
                  </w:r>
                  <w:r>
                    <w:rPr>
                      <w:rFonts w:hint="eastAsia" w:ascii="Times New Roman" w:hAnsi="Times New Roman"/>
                      <w:color w:val="000000" w:themeColor="text1"/>
                      <w:sz w:val="21"/>
                      <w:szCs w:val="21"/>
                      <w:highlight w:val="none"/>
                      <w:lang w:eastAsia="zh-CN"/>
                      <w14:textFill>
                        <w14:solidFill>
                          <w14:schemeClr w14:val="tx1"/>
                        </w14:solidFill>
                      </w14:textFill>
                    </w:rPr>
                    <w:t>、</w:t>
                  </w:r>
                </w:p>
                <w:p w14:paraId="10855A4C">
                  <w:pPr>
                    <w:pStyle w:val="101"/>
                    <w:adjustRightInd w:val="0"/>
                    <w:snapToGrid w:val="0"/>
                    <w:spacing w:line="240" w:lineRule="auto"/>
                    <w:rPr>
                      <w:rFonts w:ascii="Times New Roman" w:hAnsi="Times New Roman"/>
                      <w:color w:val="000000" w:themeColor="text1"/>
                      <w:sz w:val="21"/>
                      <w:szCs w:val="21"/>
                      <w:highlight w:val="yellow"/>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LAS</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TN</w:t>
                  </w:r>
                </w:p>
              </w:tc>
              <w:tc>
                <w:tcPr>
                  <w:tcW w:w="834" w:type="dxa"/>
                  <w:tcBorders>
                    <w:tl2br w:val="nil"/>
                    <w:tr2bl w:val="nil"/>
                  </w:tcBorders>
                  <w:vAlign w:val="center"/>
                </w:tcPr>
                <w:p w14:paraId="1B177C14">
                  <w:pPr>
                    <w:pStyle w:val="101"/>
                    <w:adjustRightInd w:val="0"/>
                    <w:snapToGrid w:val="0"/>
                    <w:spacing w:line="240" w:lineRule="auto"/>
                    <w:rPr>
                      <w:rFonts w:ascii="Times New Roman" w:hAnsi="Times New Roman"/>
                      <w:color w:val="000000" w:themeColor="text1"/>
                      <w:sz w:val="21"/>
                      <w:szCs w:val="21"/>
                      <w:highlight w:val="yellow"/>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半</w:t>
                  </w:r>
                  <w:r>
                    <w:rPr>
                      <w:rFonts w:ascii="Times New Roman" w:hAnsi="Times New Roman"/>
                      <w:color w:val="000000" w:themeColor="text1"/>
                      <w:sz w:val="21"/>
                      <w:szCs w:val="21"/>
                      <w:highlight w:val="none"/>
                      <w14:textFill>
                        <w14:solidFill>
                          <w14:schemeClr w14:val="tx1"/>
                        </w14:solidFill>
                      </w14:textFill>
                    </w:rPr>
                    <w:t>年</w:t>
                  </w:r>
                </w:p>
              </w:tc>
            </w:tr>
          </w:tbl>
          <w:p w14:paraId="20F7ECE9">
            <w:pPr>
              <w:rPr>
                <w:rFonts w:hint="eastAsia"/>
                <w:color w:val="auto"/>
                <w:lang w:val="en-US" w:eastAsia="zh-CN"/>
              </w:rPr>
            </w:pPr>
          </w:p>
          <w:p w14:paraId="363E38AD">
            <w:pPr>
              <w:pStyle w:val="3"/>
              <w:numPr>
                <w:ilvl w:val="1"/>
                <w:numId w:val="1"/>
              </w:numPr>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运营期声环境影响分析</w:t>
            </w:r>
          </w:p>
          <w:p w14:paraId="468E44DB">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噪声污染源分析</w:t>
            </w:r>
          </w:p>
          <w:p w14:paraId="1BEF24B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0"/>
                <w:highlight w:val="none"/>
                <w:lang w:val="zh-CN" w:eastAsia="zh-CN" w:bidi="ar"/>
              </w:rPr>
            </w:pPr>
            <w:r>
              <w:rPr>
                <w:rFonts w:hint="eastAsia" w:ascii="Times New Roman" w:hAnsi="Times New Roman" w:eastAsia="宋体" w:cs="宋体"/>
                <w:color w:val="auto"/>
                <w:kern w:val="0"/>
                <w:sz w:val="24"/>
                <w:szCs w:val="20"/>
                <w:highlight w:val="none"/>
                <w:lang w:val="zh-CN" w:eastAsia="zh-CN" w:bidi="ar"/>
              </w:rPr>
              <w:t>本项目噪声源主要为焊接设备、废气处理风机、水泵等设备运行产生的噪声，其噪声值在65～80dB</w:t>
            </w:r>
            <w:r>
              <w:rPr>
                <w:rFonts w:hint="eastAsia" w:cs="宋体"/>
                <w:color w:val="auto"/>
                <w:kern w:val="0"/>
                <w:sz w:val="24"/>
                <w:szCs w:val="20"/>
                <w:highlight w:val="none"/>
                <w:lang w:val="zh-CN" w:eastAsia="zh-CN" w:bidi="ar"/>
              </w:rPr>
              <w:t>（</w:t>
            </w:r>
            <w:r>
              <w:rPr>
                <w:rFonts w:hint="eastAsia" w:ascii="Times New Roman" w:hAnsi="Times New Roman" w:eastAsia="宋体" w:cs="宋体"/>
                <w:color w:val="auto"/>
                <w:kern w:val="0"/>
                <w:sz w:val="24"/>
                <w:szCs w:val="20"/>
                <w:highlight w:val="none"/>
                <w:lang w:val="zh-CN" w:eastAsia="zh-CN" w:bidi="ar"/>
              </w:rPr>
              <w:t>A</w:t>
            </w:r>
            <w:r>
              <w:rPr>
                <w:rFonts w:hint="eastAsia" w:cs="宋体"/>
                <w:color w:val="auto"/>
                <w:kern w:val="0"/>
                <w:sz w:val="24"/>
                <w:szCs w:val="20"/>
                <w:highlight w:val="none"/>
                <w:lang w:val="zh-CN" w:eastAsia="zh-CN" w:bidi="ar"/>
              </w:rPr>
              <w:t>）</w:t>
            </w:r>
            <w:r>
              <w:rPr>
                <w:rFonts w:hint="eastAsia" w:ascii="Times New Roman" w:hAnsi="Times New Roman" w:eastAsia="宋体" w:cs="宋体"/>
                <w:color w:val="auto"/>
                <w:kern w:val="0"/>
                <w:sz w:val="24"/>
                <w:szCs w:val="20"/>
                <w:highlight w:val="none"/>
                <w:lang w:val="zh-CN" w:eastAsia="zh-CN" w:bidi="ar"/>
              </w:rPr>
              <w:t>之间。</w:t>
            </w:r>
          </w:p>
          <w:p w14:paraId="2455551F">
            <w:pPr>
              <w:pStyle w:val="46"/>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宋体"/>
                <w:color w:val="auto"/>
                <w:kern w:val="0"/>
                <w:sz w:val="24"/>
                <w:szCs w:val="20"/>
                <w:highlight w:val="none"/>
                <w:lang w:val="zh-CN" w:eastAsia="zh-CN" w:bidi="ar"/>
              </w:rPr>
            </w:pPr>
            <w:r>
              <w:rPr>
                <w:rFonts w:hint="default" w:ascii="Times New Roman" w:hAnsi="Times New Roman" w:eastAsia="宋体" w:cs="宋体"/>
                <w:color w:val="auto"/>
                <w:kern w:val="0"/>
                <w:sz w:val="24"/>
                <w:szCs w:val="20"/>
                <w:highlight w:val="none"/>
                <w:lang w:val="zh-CN" w:eastAsia="zh-CN" w:bidi="ar"/>
              </w:rPr>
              <w:t>本项目主要设备噪声源见</w:t>
            </w:r>
            <w:r>
              <w:rPr>
                <w:rFonts w:hint="default" w:ascii="Times New Roman" w:hAnsi="Times New Roman" w:eastAsia="宋体" w:cs="宋体"/>
                <w:color w:val="auto"/>
                <w:kern w:val="0"/>
                <w:sz w:val="24"/>
                <w:szCs w:val="20"/>
                <w:highlight w:val="none"/>
                <w:lang w:val="zh-CN" w:eastAsia="zh-CN" w:bidi="ar"/>
              </w:rPr>
              <w:fldChar w:fldCharType="begin"/>
            </w:r>
            <w:r>
              <w:rPr>
                <w:rFonts w:hint="default" w:ascii="Times New Roman" w:hAnsi="Times New Roman" w:eastAsia="宋体" w:cs="宋体"/>
                <w:color w:val="auto"/>
                <w:kern w:val="0"/>
                <w:sz w:val="24"/>
                <w:szCs w:val="20"/>
                <w:highlight w:val="none"/>
                <w:lang w:val="zh-CN" w:eastAsia="zh-CN" w:bidi="ar"/>
              </w:rPr>
              <w:instrText xml:space="preserve"> REF _Ref9211 \n \h </w:instrText>
            </w:r>
            <w:r>
              <w:rPr>
                <w:rFonts w:hint="default" w:ascii="Times New Roman" w:hAnsi="Times New Roman" w:eastAsia="宋体" w:cs="宋体"/>
                <w:color w:val="auto"/>
                <w:kern w:val="0"/>
                <w:sz w:val="24"/>
                <w:szCs w:val="20"/>
                <w:highlight w:val="none"/>
                <w:lang w:val="zh-CN" w:eastAsia="zh-CN" w:bidi="ar"/>
              </w:rPr>
              <w:fldChar w:fldCharType="separate"/>
            </w:r>
            <w:r>
              <w:rPr>
                <w:rFonts w:hint="default" w:ascii="Times New Roman" w:hAnsi="Times New Roman" w:eastAsia="宋体" w:cs="宋体"/>
                <w:color w:val="auto"/>
                <w:kern w:val="0"/>
                <w:sz w:val="24"/>
                <w:szCs w:val="20"/>
                <w:highlight w:val="none"/>
                <w:lang w:val="zh-CN" w:eastAsia="zh-CN" w:bidi="ar"/>
              </w:rPr>
              <w:t>表4.4-1</w:t>
            </w:r>
            <w:r>
              <w:rPr>
                <w:rFonts w:hint="default" w:ascii="Times New Roman" w:hAnsi="Times New Roman" w:eastAsia="宋体" w:cs="宋体"/>
                <w:color w:val="auto"/>
                <w:kern w:val="0"/>
                <w:sz w:val="24"/>
                <w:szCs w:val="20"/>
                <w:highlight w:val="none"/>
                <w:lang w:val="zh-CN" w:eastAsia="zh-CN" w:bidi="ar"/>
              </w:rPr>
              <w:fldChar w:fldCharType="end"/>
            </w:r>
            <w:r>
              <w:rPr>
                <w:rFonts w:hint="default" w:ascii="Times New Roman" w:hAnsi="Times New Roman" w:eastAsia="宋体" w:cs="宋体"/>
                <w:color w:val="auto"/>
                <w:kern w:val="0"/>
                <w:sz w:val="24"/>
                <w:szCs w:val="20"/>
                <w:highlight w:val="none"/>
                <w:lang w:val="zh-CN" w:eastAsia="zh-CN" w:bidi="ar"/>
              </w:rPr>
              <w:t>。</w:t>
            </w:r>
          </w:p>
          <w:p w14:paraId="2D2AB992">
            <w:pPr>
              <w:pStyle w:val="44"/>
              <w:keepNext w:val="0"/>
              <w:keepLines w:val="0"/>
              <w:pageBreakBefore w:val="0"/>
              <w:widowControl w:val="0"/>
              <w:tabs>
                <w:tab w:val="left" w:pos="0"/>
                <w:tab w:val="clear" w:pos="420"/>
              </w:tabs>
              <w:kinsoku/>
              <w:wordWrap/>
              <w:overflowPunct/>
              <w:topLinePunct w:val="0"/>
              <w:autoSpaceDE w:val="0"/>
              <w:autoSpaceDN w:val="0"/>
              <w:bidi w:val="0"/>
              <w:adjustRightInd/>
              <w:snapToGrid/>
              <w:spacing w:before="157" w:beforeLines="50"/>
              <w:ind w:left="210" w:leftChars="0" w:firstLineChars="0"/>
              <w:textAlignment w:val="auto"/>
              <w:rPr>
                <w:rFonts w:hint="eastAsia" w:eastAsia="宋体"/>
                <w:color w:val="auto"/>
                <w:highlight w:val="none"/>
              </w:rPr>
            </w:pPr>
            <w:bookmarkStart w:id="50" w:name="_Toc21104"/>
            <w:bookmarkStart w:id="51" w:name="_Toc2598"/>
            <w:bookmarkStart w:id="52" w:name="_Toc15502"/>
            <w:r>
              <w:rPr>
                <w:rFonts w:ascii="宋体" w:hAnsi="宋体" w:eastAsia="宋体" w:cs="宋体"/>
                <w:color w:val="auto"/>
                <w:sz w:val="24"/>
                <w:szCs w:val="24"/>
                <w:highlight w:val="none"/>
              </w:rPr>
              <w:t>项目主要设备噪声一览表</w:t>
            </w:r>
          </w:p>
          <w:tbl>
            <w:tblPr>
              <w:tblStyle w:val="35"/>
              <w:tblW w:w="87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32"/>
              <w:gridCol w:w="450"/>
              <w:gridCol w:w="1077"/>
              <w:gridCol w:w="675"/>
              <w:gridCol w:w="654"/>
              <w:gridCol w:w="674"/>
              <w:gridCol w:w="1261"/>
              <w:gridCol w:w="960"/>
              <w:gridCol w:w="1337"/>
            </w:tblGrid>
            <w:tr w14:paraId="001CF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restart"/>
                  <w:tcBorders>
                    <w:tl2br w:val="nil"/>
                    <w:tr2bl w:val="nil"/>
                  </w:tcBorders>
                  <w:vAlign w:val="center"/>
                </w:tcPr>
                <w:p w14:paraId="709CAAD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序</w:t>
                  </w:r>
                  <w:r>
                    <w:rPr>
                      <w:rFonts w:ascii="Times New Roman" w:hAnsi="Times New Roman" w:eastAsia="宋体" w:cs="宋体"/>
                      <w:color w:val="auto"/>
                      <w:sz w:val="21"/>
                      <w:szCs w:val="21"/>
                      <w:highlight w:val="none"/>
                    </w:rPr>
                    <w:t>号</w:t>
                  </w:r>
                </w:p>
              </w:tc>
              <w:tc>
                <w:tcPr>
                  <w:tcW w:w="1232" w:type="dxa"/>
                  <w:vMerge w:val="restart"/>
                  <w:tcBorders>
                    <w:tl2br w:val="nil"/>
                    <w:tr2bl w:val="nil"/>
                  </w:tcBorders>
                  <w:vAlign w:val="center"/>
                </w:tcPr>
                <w:p w14:paraId="0A6B83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设备名称</w:t>
                  </w:r>
                </w:p>
              </w:tc>
              <w:tc>
                <w:tcPr>
                  <w:tcW w:w="450" w:type="dxa"/>
                  <w:vMerge w:val="restart"/>
                  <w:tcBorders>
                    <w:tl2br w:val="nil"/>
                    <w:tr2bl w:val="nil"/>
                  </w:tcBorders>
                  <w:vAlign w:val="center"/>
                </w:tcPr>
                <w:p w14:paraId="1BEA389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数量</w:t>
                  </w:r>
                </w:p>
              </w:tc>
              <w:tc>
                <w:tcPr>
                  <w:tcW w:w="1077" w:type="dxa"/>
                  <w:vMerge w:val="restart"/>
                  <w:tcBorders>
                    <w:tl2br w:val="nil"/>
                    <w:tr2bl w:val="nil"/>
                  </w:tcBorders>
                  <w:vAlign w:val="center"/>
                </w:tcPr>
                <w:p w14:paraId="0DEED0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治理前声级</w:t>
                  </w:r>
                </w:p>
              </w:tc>
              <w:tc>
                <w:tcPr>
                  <w:tcW w:w="2003" w:type="dxa"/>
                  <w:gridSpan w:val="3"/>
                  <w:tcBorders>
                    <w:tl2br w:val="nil"/>
                    <w:tr2bl w:val="nil"/>
                  </w:tcBorders>
                  <w:vAlign w:val="center"/>
                </w:tcPr>
                <w:p w14:paraId="7B8761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空间相对位置/m</w:t>
                  </w:r>
                </w:p>
              </w:tc>
              <w:tc>
                <w:tcPr>
                  <w:tcW w:w="1261" w:type="dxa"/>
                  <w:vMerge w:val="restart"/>
                  <w:tcBorders>
                    <w:tl2br w:val="nil"/>
                    <w:tr2bl w:val="nil"/>
                  </w:tcBorders>
                  <w:vAlign w:val="center"/>
                </w:tcPr>
                <w:p w14:paraId="72E28AD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噪声属性及性质</w:t>
                  </w:r>
                </w:p>
              </w:tc>
              <w:tc>
                <w:tcPr>
                  <w:tcW w:w="960" w:type="dxa"/>
                  <w:vMerge w:val="restart"/>
                  <w:tcBorders>
                    <w:tl2br w:val="nil"/>
                    <w:tr2bl w:val="nil"/>
                  </w:tcBorders>
                  <w:vAlign w:val="center"/>
                </w:tcPr>
                <w:p w14:paraId="0B3F232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治理措施</w:t>
                  </w:r>
                </w:p>
              </w:tc>
              <w:tc>
                <w:tcPr>
                  <w:tcW w:w="1337" w:type="dxa"/>
                  <w:vMerge w:val="restart"/>
                  <w:tcBorders>
                    <w:tl2br w:val="nil"/>
                    <w:tr2bl w:val="nil"/>
                  </w:tcBorders>
                  <w:vAlign w:val="center"/>
                </w:tcPr>
                <w:p w14:paraId="691B36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治理后</w:t>
                  </w:r>
                  <w:r>
                    <w:rPr>
                      <w:rFonts w:hint="eastAsia" w:ascii="Times New Roman" w:hAnsi="Times New Roman" w:eastAsia="宋体" w:cs="宋体"/>
                      <w:color w:val="auto"/>
                      <w:sz w:val="21"/>
                      <w:szCs w:val="21"/>
                      <w:highlight w:val="none"/>
                      <w:lang w:val="en-US" w:eastAsia="zh-CN"/>
                    </w:rPr>
                    <w:t>声</w:t>
                  </w:r>
                  <w:r>
                    <w:rPr>
                      <w:rFonts w:ascii="Times New Roman" w:hAnsi="Times New Roman" w:eastAsia="宋体" w:cs="宋体"/>
                      <w:color w:val="auto"/>
                      <w:sz w:val="21"/>
                      <w:szCs w:val="21"/>
                      <w:highlight w:val="none"/>
                    </w:rPr>
                    <w:t>级</w:t>
                  </w:r>
                </w:p>
              </w:tc>
            </w:tr>
            <w:tr w14:paraId="04FED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tcBorders>
                    <w:tl2br w:val="nil"/>
                    <w:tr2bl w:val="nil"/>
                  </w:tcBorders>
                  <w:vAlign w:val="center"/>
                </w:tcPr>
                <w:p w14:paraId="73D412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232" w:type="dxa"/>
                  <w:vMerge w:val="continue"/>
                  <w:tcBorders>
                    <w:tl2br w:val="nil"/>
                    <w:tr2bl w:val="nil"/>
                  </w:tcBorders>
                  <w:vAlign w:val="center"/>
                </w:tcPr>
                <w:p w14:paraId="35DEEBA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450" w:type="dxa"/>
                  <w:vMerge w:val="continue"/>
                  <w:tcBorders>
                    <w:tl2br w:val="nil"/>
                    <w:tr2bl w:val="nil"/>
                  </w:tcBorders>
                  <w:vAlign w:val="center"/>
                </w:tcPr>
                <w:p w14:paraId="0563D1A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077" w:type="dxa"/>
                  <w:vMerge w:val="continue"/>
                  <w:tcBorders>
                    <w:tl2br w:val="nil"/>
                    <w:tr2bl w:val="nil"/>
                  </w:tcBorders>
                  <w:vAlign w:val="center"/>
                </w:tcPr>
                <w:p w14:paraId="7FAA555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675" w:type="dxa"/>
                  <w:tcBorders>
                    <w:tl2br w:val="nil"/>
                    <w:tr2bl w:val="nil"/>
                  </w:tcBorders>
                  <w:vAlign w:val="center"/>
                </w:tcPr>
                <w:p w14:paraId="67E05F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x</w:t>
                  </w:r>
                </w:p>
              </w:tc>
              <w:tc>
                <w:tcPr>
                  <w:tcW w:w="654" w:type="dxa"/>
                  <w:tcBorders>
                    <w:tl2br w:val="nil"/>
                    <w:tr2bl w:val="nil"/>
                  </w:tcBorders>
                  <w:vAlign w:val="center"/>
                </w:tcPr>
                <w:p w14:paraId="36AB47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y</w:t>
                  </w:r>
                </w:p>
              </w:tc>
              <w:tc>
                <w:tcPr>
                  <w:tcW w:w="674" w:type="dxa"/>
                  <w:tcBorders>
                    <w:tl2br w:val="nil"/>
                    <w:tr2bl w:val="nil"/>
                  </w:tcBorders>
                  <w:vAlign w:val="center"/>
                </w:tcPr>
                <w:p w14:paraId="46637E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z</w:t>
                  </w:r>
                </w:p>
              </w:tc>
              <w:tc>
                <w:tcPr>
                  <w:tcW w:w="1261" w:type="dxa"/>
                  <w:vMerge w:val="continue"/>
                  <w:tcBorders>
                    <w:tl2br w:val="nil"/>
                    <w:tr2bl w:val="nil"/>
                  </w:tcBorders>
                  <w:vAlign w:val="center"/>
                </w:tcPr>
                <w:p w14:paraId="6937527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960" w:type="dxa"/>
                  <w:vMerge w:val="continue"/>
                  <w:tcBorders>
                    <w:tl2br w:val="nil"/>
                    <w:tr2bl w:val="nil"/>
                  </w:tcBorders>
                  <w:vAlign w:val="center"/>
                </w:tcPr>
                <w:p w14:paraId="2B55F4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1337" w:type="dxa"/>
                  <w:vMerge w:val="continue"/>
                  <w:tcBorders>
                    <w:tl2br w:val="nil"/>
                    <w:tr2bl w:val="nil"/>
                  </w:tcBorders>
                  <w:vAlign w:val="center"/>
                </w:tcPr>
                <w:p w14:paraId="2B2607D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r>
            <w:tr w14:paraId="45D6D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B5B8CF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w:t>
                  </w:r>
                </w:p>
              </w:tc>
              <w:tc>
                <w:tcPr>
                  <w:tcW w:w="1232" w:type="dxa"/>
                  <w:tcBorders>
                    <w:tl2br w:val="nil"/>
                    <w:tr2bl w:val="nil"/>
                  </w:tcBorders>
                  <w:shd w:val="clear" w:color="auto" w:fill="auto"/>
                  <w:vAlign w:val="center"/>
                </w:tcPr>
                <w:p w14:paraId="436550C8">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p&gt;:#"/>
                      <w:color w:val="auto"/>
                      <w:kern w:val="0"/>
                      <w:sz w:val="21"/>
                      <w:szCs w:val="24"/>
                      <w:highlight w:val="none"/>
                    </w:rPr>
                    <w:t>焊机</w:t>
                  </w:r>
                </w:p>
              </w:tc>
              <w:tc>
                <w:tcPr>
                  <w:tcW w:w="450" w:type="dxa"/>
                  <w:tcBorders>
                    <w:tl2br w:val="nil"/>
                    <w:tr2bl w:val="nil"/>
                  </w:tcBorders>
                  <w:vAlign w:val="center"/>
                </w:tcPr>
                <w:p w14:paraId="14A4A3DF">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3D34991B">
                  <w:pPr>
                    <w:pStyle w:val="4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750FA7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5EA901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w:t>
                  </w:r>
                  <w:r>
                    <w:rPr>
                      <w:rFonts w:ascii="Times New Roman" w:hAnsi="Times New Roman" w:eastAsia="宋体" w:cs="宋体"/>
                      <w:color w:val="auto"/>
                      <w:sz w:val="21"/>
                      <w:szCs w:val="21"/>
                      <w:highlight w:val="none"/>
                    </w:rPr>
                    <w:t>12.0</w:t>
                  </w:r>
                </w:p>
              </w:tc>
              <w:tc>
                <w:tcPr>
                  <w:tcW w:w="674" w:type="dxa"/>
                  <w:tcBorders>
                    <w:tl2br w:val="nil"/>
                    <w:tr2bl w:val="nil"/>
                  </w:tcBorders>
                  <w:vAlign w:val="center"/>
                </w:tcPr>
                <w:p w14:paraId="3AA183B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0.8</w:t>
                  </w:r>
                </w:p>
              </w:tc>
              <w:tc>
                <w:tcPr>
                  <w:tcW w:w="1261" w:type="dxa"/>
                  <w:tcBorders>
                    <w:tl2br w:val="nil"/>
                    <w:tr2bl w:val="nil"/>
                  </w:tcBorders>
                  <w:vAlign w:val="center"/>
                </w:tcPr>
                <w:p w14:paraId="6ADACFFF">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restart"/>
                  <w:tcBorders>
                    <w:tl2br w:val="nil"/>
                    <w:tr2bl w:val="nil"/>
                  </w:tcBorders>
                  <w:vAlign w:val="center"/>
                </w:tcPr>
                <w:p w14:paraId="532D20C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高噪声设备基础安装减振，进行装消声器等降噪措施</w:t>
                  </w:r>
                </w:p>
              </w:tc>
              <w:tc>
                <w:tcPr>
                  <w:tcW w:w="1337" w:type="dxa"/>
                  <w:vMerge w:val="restart"/>
                  <w:tcBorders>
                    <w:tl2br w:val="nil"/>
                    <w:tr2bl w:val="nil"/>
                  </w:tcBorders>
                  <w:vAlign w:val="center"/>
                </w:tcPr>
                <w:p w14:paraId="2E334A8A">
                  <w:pPr>
                    <w:pStyle w:val="48"/>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r>
            <w:tr w14:paraId="4877E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061A03F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2</w:t>
                  </w:r>
                </w:p>
              </w:tc>
              <w:tc>
                <w:tcPr>
                  <w:tcW w:w="1232" w:type="dxa"/>
                  <w:tcBorders>
                    <w:tl2br w:val="nil"/>
                    <w:tr2bl w:val="nil"/>
                  </w:tcBorders>
                  <w:shd w:val="clear" w:color="auto" w:fill="auto"/>
                  <w:vAlign w:val="center"/>
                </w:tcPr>
                <w:p w14:paraId="3E5CF028">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p&gt;:#"/>
                      <w:color w:val="auto"/>
                      <w:kern w:val="0"/>
                      <w:sz w:val="21"/>
                      <w:szCs w:val="24"/>
                      <w:highlight w:val="none"/>
                    </w:rPr>
                    <w:t>纯水制备</w:t>
                  </w:r>
                  <w:r>
                    <w:rPr>
                      <w:rFonts w:hint="eastAsia" w:ascii="Times New Roman" w:hAnsi="Times New Roman" w:eastAsia="宋体" w:cs="p&gt;:#"/>
                      <w:color w:val="auto"/>
                      <w:kern w:val="0"/>
                      <w:sz w:val="21"/>
                      <w:szCs w:val="24"/>
                      <w:highlight w:val="none"/>
                      <w:lang w:eastAsia="zh-CN"/>
                    </w:rPr>
                    <w:t>系统</w:t>
                  </w:r>
                </w:p>
              </w:tc>
              <w:tc>
                <w:tcPr>
                  <w:tcW w:w="450" w:type="dxa"/>
                  <w:tcBorders>
                    <w:tl2br w:val="nil"/>
                    <w:tr2bl w:val="nil"/>
                  </w:tcBorders>
                  <w:vAlign w:val="center"/>
                </w:tcPr>
                <w:p w14:paraId="0A64370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2"/>
                      <w:sz w:val="21"/>
                      <w:szCs w:val="21"/>
                      <w:highlight w:val="none"/>
                      <w:lang w:val="en-US" w:eastAsia="zh-CN"/>
                    </w:rPr>
                    <w:t>1</w:t>
                  </w:r>
                </w:p>
              </w:tc>
              <w:tc>
                <w:tcPr>
                  <w:tcW w:w="1077" w:type="dxa"/>
                  <w:tcBorders>
                    <w:tl2br w:val="nil"/>
                    <w:tr2bl w:val="nil"/>
                  </w:tcBorders>
                  <w:vAlign w:val="center"/>
                </w:tcPr>
                <w:p w14:paraId="1515E42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554119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8.0</w:t>
                  </w:r>
                </w:p>
              </w:tc>
              <w:tc>
                <w:tcPr>
                  <w:tcW w:w="654" w:type="dxa"/>
                  <w:tcBorders>
                    <w:tl2br w:val="nil"/>
                    <w:tr2bl w:val="nil"/>
                  </w:tcBorders>
                  <w:vAlign w:val="center"/>
                </w:tcPr>
                <w:p w14:paraId="6D4EC6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9</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60B044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06A9B13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33CB2BE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11C574F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69BB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C189D06">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3</w:t>
                  </w:r>
                </w:p>
              </w:tc>
              <w:tc>
                <w:tcPr>
                  <w:tcW w:w="1232" w:type="dxa"/>
                  <w:tcBorders>
                    <w:tl2br w:val="nil"/>
                    <w:tr2bl w:val="nil"/>
                  </w:tcBorders>
                  <w:shd w:val="clear" w:color="auto" w:fill="auto"/>
                  <w:vAlign w:val="center"/>
                </w:tcPr>
                <w:p w14:paraId="124EBF1C">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预脱脂</w:t>
                  </w:r>
                </w:p>
              </w:tc>
              <w:tc>
                <w:tcPr>
                  <w:tcW w:w="450" w:type="dxa"/>
                  <w:tcBorders>
                    <w:tl2br w:val="nil"/>
                    <w:tr2bl w:val="nil"/>
                  </w:tcBorders>
                  <w:vAlign w:val="center"/>
                </w:tcPr>
                <w:p w14:paraId="19300E08">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14:paraId="6C456EA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132388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4ABD3A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009256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14:paraId="4361A922">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01B048C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2A0A7C7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7CB63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A953E13">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4</w:t>
                  </w:r>
                </w:p>
              </w:tc>
              <w:tc>
                <w:tcPr>
                  <w:tcW w:w="1232" w:type="dxa"/>
                  <w:tcBorders>
                    <w:tl2br w:val="nil"/>
                    <w:tr2bl w:val="nil"/>
                  </w:tcBorders>
                  <w:shd w:val="clear" w:color="auto" w:fill="auto"/>
                  <w:vAlign w:val="center"/>
                </w:tcPr>
                <w:p w14:paraId="197B1D8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主脱脂</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4A0951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2</w:t>
                  </w:r>
                </w:p>
              </w:tc>
              <w:tc>
                <w:tcPr>
                  <w:tcW w:w="1077" w:type="dxa"/>
                  <w:tcBorders>
                    <w:tl2br w:val="nil"/>
                    <w:tr2bl w:val="nil"/>
                  </w:tcBorders>
                  <w:vAlign w:val="center"/>
                </w:tcPr>
                <w:p w14:paraId="693259C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4989A4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2FF590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7BC9B5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00B571E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7C61383">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7156128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4A812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2FEFAF2">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5</w:t>
                  </w:r>
                </w:p>
              </w:tc>
              <w:tc>
                <w:tcPr>
                  <w:tcW w:w="1232" w:type="dxa"/>
                  <w:tcBorders>
                    <w:tl2br w:val="nil"/>
                    <w:tr2bl w:val="nil"/>
                  </w:tcBorders>
                  <w:shd w:val="clear" w:color="auto" w:fill="auto"/>
                  <w:vAlign w:val="center"/>
                </w:tcPr>
                <w:p w14:paraId="108D800E">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水洗1</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43E8DAA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6EB58AC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6EE440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45637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16.0</w:t>
                  </w:r>
                </w:p>
              </w:tc>
              <w:tc>
                <w:tcPr>
                  <w:tcW w:w="674" w:type="dxa"/>
                  <w:tcBorders>
                    <w:tl2br w:val="nil"/>
                    <w:tr2bl w:val="nil"/>
                  </w:tcBorders>
                  <w:vAlign w:val="center"/>
                </w:tcPr>
                <w:p w14:paraId="235781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191074E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1EC3C7B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7F2D614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706AB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B034E1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6</w:t>
                  </w:r>
                </w:p>
              </w:tc>
              <w:tc>
                <w:tcPr>
                  <w:tcW w:w="1232" w:type="dxa"/>
                  <w:tcBorders>
                    <w:tl2br w:val="nil"/>
                    <w:tr2bl w:val="nil"/>
                  </w:tcBorders>
                  <w:shd w:val="clear" w:color="auto" w:fill="auto"/>
                  <w:vAlign w:val="center"/>
                </w:tcPr>
                <w:p w14:paraId="598ECD64">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水洗2</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5E8489C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2C8854E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7682DF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-20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499DB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3DE5E9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w:t>
                  </w:r>
                </w:p>
              </w:tc>
              <w:tc>
                <w:tcPr>
                  <w:tcW w:w="1261" w:type="dxa"/>
                  <w:tcBorders>
                    <w:tl2br w:val="nil"/>
                    <w:tr2bl w:val="nil"/>
                  </w:tcBorders>
                  <w:vAlign w:val="center"/>
                </w:tcPr>
                <w:p w14:paraId="7C8AA5D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27E75A7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40EA90B2">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5939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753C5B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7</w:t>
                  </w:r>
                </w:p>
              </w:tc>
              <w:tc>
                <w:tcPr>
                  <w:tcW w:w="1232" w:type="dxa"/>
                  <w:tcBorders>
                    <w:tl2br w:val="nil"/>
                    <w:tr2bl w:val="nil"/>
                  </w:tcBorders>
                  <w:shd w:val="clear" w:color="auto" w:fill="auto"/>
                  <w:vAlign w:val="center"/>
                </w:tcPr>
                <w:p w14:paraId="4074603F">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硅烷</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089748E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14:paraId="27D2D79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456B25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1BDB3F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7F01635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.6</w:t>
                  </w:r>
                </w:p>
              </w:tc>
              <w:tc>
                <w:tcPr>
                  <w:tcW w:w="1261" w:type="dxa"/>
                  <w:tcBorders>
                    <w:tl2br w:val="nil"/>
                    <w:tr2bl w:val="nil"/>
                  </w:tcBorders>
                  <w:vAlign w:val="center"/>
                </w:tcPr>
                <w:p w14:paraId="3BF97BD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CA3281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328B1AE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5100C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237D38D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8</w:t>
                  </w:r>
                </w:p>
              </w:tc>
              <w:tc>
                <w:tcPr>
                  <w:tcW w:w="1232" w:type="dxa"/>
                  <w:tcBorders>
                    <w:tl2br w:val="nil"/>
                    <w:tr2bl w:val="nil"/>
                  </w:tcBorders>
                  <w:shd w:val="clear" w:color="auto" w:fill="auto"/>
                  <w:vAlign w:val="center"/>
                </w:tcPr>
                <w:p w14:paraId="2EF6E3CE">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水洗3</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40280FC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14:paraId="26F55B5E">
                  <w:pPr>
                    <w:pStyle w:val="4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4E003E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-26.0</w:t>
                  </w:r>
                </w:p>
              </w:tc>
              <w:tc>
                <w:tcPr>
                  <w:tcW w:w="654" w:type="dxa"/>
                  <w:tcBorders>
                    <w:tl2br w:val="nil"/>
                    <w:tr2bl w:val="nil"/>
                  </w:tcBorders>
                  <w:vAlign w:val="center"/>
                </w:tcPr>
                <w:p w14:paraId="0C2591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48B3C7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242FCDA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2A7EF39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694ADB3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2E90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5381C41">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9</w:t>
                  </w:r>
                </w:p>
              </w:tc>
              <w:tc>
                <w:tcPr>
                  <w:tcW w:w="1232" w:type="dxa"/>
                  <w:tcBorders>
                    <w:tl2br w:val="nil"/>
                    <w:tr2bl w:val="nil"/>
                  </w:tcBorders>
                  <w:shd w:val="clear" w:color="auto" w:fill="auto"/>
                  <w:vAlign w:val="center"/>
                </w:tcPr>
                <w:p w14:paraId="78415FF3">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7"/>
                      <w:kern w:val="2"/>
                      <w:sz w:val="21"/>
                      <w:szCs w:val="24"/>
                      <w:highlight w:val="none"/>
                      <w:lang w:val="en-US" w:eastAsia="zh-CN" w:bidi="ar-SA"/>
                    </w:rPr>
                  </w:pPr>
                  <w:r>
                    <w:rPr>
                      <w:rFonts w:hint="eastAsia" w:ascii="Times New Roman" w:hAnsi="Times New Roman" w:eastAsia="宋体"/>
                      <w:color w:val="auto"/>
                      <w:sz w:val="21"/>
                      <w:szCs w:val="24"/>
                      <w:highlight w:val="none"/>
                    </w:rPr>
                    <w:t>纯水洗1</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5A6BA76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14:paraId="0FA2670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6E9B8D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3E5EA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2B12D0D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14CF319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0C00428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429E5ECF">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041C8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2A7B97C1">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10</w:t>
                  </w:r>
                </w:p>
              </w:tc>
              <w:tc>
                <w:tcPr>
                  <w:tcW w:w="1232" w:type="dxa"/>
                  <w:tcBorders>
                    <w:tl2br w:val="nil"/>
                    <w:tr2bl w:val="nil"/>
                  </w:tcBorders>
                  <w:shd w:val="clear" w:color="auto" w:fill="auto"/>
                  <w:vAlign w:val="center"/>
                </w:tcPr>
                <w:p w14:paraId="0AA7E8E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电泳</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2150017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14:paraId="3ACCA96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28F5BF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5450BA3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0636F9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18CCEB5A">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0F4AB6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742B72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2AB8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4D762C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11</w:t>
                  </w:r>
                </w:p>
              </w:tc>
              <w:tc>
                <w:tcPr>
                  <w:tcW w:w="1232" w:type="dxa"/>
                  <w:tcBorders>
                    <w:tl2br w:val="nil"/>
                    <w:tr2bl w:val="nil"/>
                  </w:tcBorders>
                  <w:shd w:val="clear" w:color="auto" w:fill="auto"/>
                  <w:vAlign w:val="center"/>
                </w:tcPr>
                <w:p w14:paraId="6A80DBFE">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6"/>
                      <w:kern w:val="2"/>
                      <w:sz w:val="21"/>
                      <w:szCs w:val="24"/>
                      <w:highlight w:val="none"/>
                      <w:lang w:val="en-US" w:eastAsia="zh-CN" w:bidi="ar-SA"/>
                    </w:rPr>
                  </w:pPr>
                  <w:r>
                    <w:rPr>
                      <w:rFonts w:hint="eastAsia" w:ascii="Times New Roman" w:hAnsi="Times New Roman" w:eastAsia="宋体"/>
                      <w:color w:val="auto"/>
                      <w:sz w:val="21"/>
                      <w:szCs w:val="24"/>
                      <w:highlight w:val="none"/>
                    </w:rPr>
                    <w:t>UF0洗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9A7500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14:paraId="4DE18D6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373C06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D85B9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ascii="Times New Roman" w:hAnsi="Times New Roman" w:eastAsia="宋体" w:cs="宋体"/>
                      <w:color w:val="auto"/>
                      <w:sz w:val="21"/>
                      <w:szCs w:val="21"/>
                      <w:highlight w:val="none"/>
                    </w:rPr>
                    <w:t>2.0</w:t>
                  </w:r>
                </w:p>
              </w:tc>
              <w:tc>
                <w:tcPr>
                  <w:tcW w:w="674" w:type="dxa"/>
                  <w:tcBorders>
                    <w:tl2br w:val="nil"/>
                    <w:tr2bl w:val="nil"/>
                  </w:tcBorders>
                  <w:vAlign w:val="center"/>
                </w:tcPr>
                <w:p w14:paraId="1102EB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37DB8D0E">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90890E0">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1AABD7B3">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6529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135CD2CE">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12</w:t>
                  </w:r>
                </w:p>
              </w:tc>
              <w:tc>
                <w:tcPr>
                  <w:tcW w:w="1232" w:type="dxa"/>
                  <w:tcBorders>
                    <w:tl2br w:val="nil"/>
                    <w:tr2bl w:val="nil"/>
                  </w:tcBorders>
                  <w:shd w:val="clear" w:color="auto" w:fill="auto"/>
                  <w:vAlign w:val="center"/>
                </w:tcPr>
                <w:p w14:paraId="241B6254">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UF1洗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5E456EF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30F4FCF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1FCFBF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8</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3A508F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7D61C3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1.6</w:t>
                  </w:r>
                </w:p>
              </w:tc>
              <w:tc>
                <w:tcPr>
                  <w:tcW w:w="1261" w:type="dxa"/>
                  <w:tcBorders>
                    <w:tl2br w:val="nil"/>
                    <w:tr2bl w:val="nil"/>
                  </w:tcBorders>
                  <w:vAlign w:val="center"/>
                </w:tcPr>
                <w:p w14:paraId="162BDCB5">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338387C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76B3080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A612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16C8B6D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13</w:t>
                  </w:r>
                </w:p>
              </w:tc>
              <w:tc>
                <w:tcPr>
                  <w:tcW w:w="1232" w:type="dxa"/>
                  <w:tcBorders>
                    <w:tl2br w:val="nil"/>
                    <w:tr2bl w:val="nil"/>
                  </w:tcBorders>
                  <w:shd w:val="clear" w:color="auto" w:fill="auto"/>
                  <w:vAlign w:val="center"/>
                </w:tcPr>
                <w:p w14:paraId="0F867F4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UF2洗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53A9E6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z w:val="21"/>
                      <w:szCs w:val="21"/>
                      <w:highlight w:val="none"/>
                    </w:rPr>
                    <w:t>2</w:t>
                  </w:r>
                </w:p>
              </w:tc>
              <w:tc>
                <w:tcPr>
                  <w:tcW w:w="1077" w:type="dxa"/>
                  <w:tcBorders>
                    <w:tl2br w:val="nil"/>
                    <w:tr2bl w:val="nil"/>
                  </w:tcBorders>
                  <w:vAlign w:val="center"/>
                </w:tcPr>
                <w:p w14:paraId="411E513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1D1E03F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5.0</w:t>
                  </w:r>
                </w:p>
              </w:tc>
              <w:tc>
                <w:tcPr>
                  <w:tcW w:w="654" w:type="dxa"/>
                  <w:tcBorders>
                    <w:tl2br w:val="nil"/>
                    <w:tr2bl w:val="nil"/>
                  </w:tcBorders>
                  <w:vAlign w:val="center"/>
                </w:tcPr>
                <w:p w14:paraId="2D1014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hint="eastAsia" w:ascii="Times New Roman" w:hAnsi="Times New Roman" w:eastAsia="宋体" w:cs="宋体"/>
                      <w:color w:val="auto"/>
                      <w:sz w:val="21"/>
                      <w:szCs w:val="21"/>
                      <w:highlight w:val="none"/>
                      <w:lang w:val="en-US" w:eastAsia="zh-CN"/>
                    </w:rPr>
                    <w:t>.0</w:t>
                  </w:r>
                </w:p>
              </w:tc>
              <w:tc>
                <w:tcPr>
                  <w:tcW w:w="674" w:type="dxa"/>
                  <w:tcBorders>
                    <w:tl2br w:val="nil"/>
                    <w:tr2bl w:val="nil"/>
                  </w:tcBorders>
                  <w:vAlign w:val="center"/>
                </w:tcPr>
                <w:p w14:paraId="7FE4DA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14:paraId="45631FB7">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185394E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307CD61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78BC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20B0FC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14</w:t>
                  </w:r>
                </w:p>
              </w:tc>
              <w:tc>
                <w:tcPr>
                  <w:tcW w:w="1232" w:type="dxa"/>
                  <w:tcBorders>
                    <w:tl2br w:val="nil"/>
                    <w:tr2bl w:val="nil"/>
                  </w:tcBorders>
                  <w:shd w:val="clear" w:color="auto" w:fill="auto"/>
                  <w:vAlign w:val="center"/>
                </w:tcPr>
                <w:p w14:paraId="6EA585DE">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color w:val="auto"/>
                      <w:sz w:val="21"/>
                      <w:szCs w:val="24"/>
                      <w:highlight w:val="none"/>
                      <w:lang w:val="en-US" w:eastAsia="zh-CN"/>
                    </w:rPr>
                    <w:t>天然气</w:t>
                  </w:r>
                  <w:r>
                    <w:rPr>
                      <w:rFonts w:hint="eastAsia" w:ascii="Times New Roman" w:hAnsi="Times New Roman" w:eastAsia="宋体"/>
                      <w:color w:val="auto"/>
                      <w:sz w:val="21"/>
                      <w:szCs w:val="24"/>
                      <w:highlight w:val="none"/>
                      <w:lang w:val="de-DE"/>
                    </w:rPr>
                    <w:t>烘干炉</w:t>
                  </w:r>
                </w:p>
              </w:tc>
              <w:tc>
                <w:tcPr>
                  <w:tcW w:w="450" w:type="dxa"/>
                  <w:tcBorders>
                    <w:tl2br w:val="nil"/>
                    <w:tr2bl w:val="nil"/>
                  </w:tcBorders>
                  <w:vAlign w:val="center"/>
                </w:tcPr>
                <w:p w14:paraId="16A9856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4</w:t>
                  </w:r>
                </w:p>
              </w:tc>
              <w:tc>
                <w:tcPr>
                  <w:tcW w:w="1077" w:type="dxa"/>
                  <w:tcBorders>
                    <w:tl2br w:val="nil"/>
                    <w:tr2bl w:val="nil"/>
                  </w:tcBorders>
                  <w:vAlign w:val="center"/>
                </w:tcPr>
                <w:p w14:paraId="1B6E3668">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5C43BC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2B0669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321F3D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57C9CD72">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299677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43668B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7085C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463E53A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1232" w:type="dxa"/>
                  <w:tcBorders>
                    <w:tl2br w:val="nil"/>
                    <w:tr2bl w:val="nil"/>
                  </w:tcBorders>
                  <w:shd w:val="clear" w:color="auto" w:fill="auto"/>
                  <w:vAlign w:val="center"/>
                </w:tcPr>
                <w:p w14:paraId="13149B92">
                  <w:pPr>
                    <w:pStyle w:val="115"/>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喷粉线</w:t>
                  </w:r>
                </w:p>
              </w:tc>
              <w:tc>
                <w:tcPr>
                  <w:tcW w:w="450" w:type="dxa"/>
                  <w:tcBorders>
                    <w:tl2br w:val="nil"/>
                    <w:tr2bl w:val="nil"/>
                  </w:tcBorders>
                  <w:vAlign w:val="center"/>
                </w:tcPr>
                <w:p w14:paraId="10B2DB3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1077" w:type="dxa"/>
                  <w:tcBorders>
                    <w:tl2br w:val="nil"/>
                    <w:tr2bl w:val="nil"/>
                  </w:tcBorders>
                  <w:vAlign w:val="center"/>
                </w:tcPr>
                <w:p w14:paraId="6367AE4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6CA493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w:t>
                  </w:r>
                </w:p>
              </w:tc>
              <w:tc>
                <w:tcPr>
                  <w:tcW w:w="654" w:type="dxa"/>
                  <w:tcBorders>
                    <w:tl2br w:val="nil"/>
                    <w:tr2bl w:val="nil"/>
                  </w:tcBorders>
                  <w:vAlign w:val="center"/>
                </w:tcPr>
                <w:p w14:paraId="29343E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10</w:t>
                  </w:r>
                </w:p>
              </w:tc>
              <w:tc>
                <w:tcPr>
                  <w:tcW w:w="674" w:type="dxa"/>
                  <w:tcBorders>
                    <w:tl2br w:val="nil"/>
                    <w:tr2bl w:val="nil"/>
                  </w:tcBorders>
                  <w:vAlign w:val="center"/>
                </w:tcPr>
                <w:p w14:paraId="0A6D10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0.8</w:t>
                  </w:r>
                </w:p>
              </w:tc>
              <w:tc>
                <w:tcPr>
                  <w:tcW w:w="1261" w:type="dxa"/>
                  <w:tcBorders>
                    <w:tl2br w:val="nil"/>
                    <w:tr2bl w:val="nil"/>
                  </w:tcBorders>
                  <w:vAlign w:val="center"/>
                </w:tcPr>
                <w:p w14:paraId="46D3D13D">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147E1B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2402E553">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30DF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FB49AB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1232" w:type="dxa"/>
                  <w:tcBorders>
                    <w:tl2br w:val="nil"/>
                    <w:tr2bl w:val="nil"/>
                  </w:tcBorders>
                  <w:shd w:val="clear" w:color="auto" w:fill="auto"/>
                  <w:vAlign w:val="center"/>
                </w:tcPr>
                <w:p w14:paraId="60142867">
                  <w:pPr>
                    <w:pStyle w:val="115"/>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喷漆线</w:t>
                  </w:r>
                </w:p>
              </w:tc>
              <w:tc>
                <w:tcPr>
                  <w:tcW w:w="450" w:type="dxa"/>
                  <w:tcBorders>
                    <w:tl2br w:val="nil"/>
                    <w:tr2bl w:val="nil"/>
                  </w:tcBorders>
                  <w:vAlign w:val="center"/>
                </w:tcPr>
                <w:p w14:paraId="0DAC2D6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1077" w:type="dxa"/>
                  <w:tcBorders>
                    <w:tl2br w:val="nil"/>
                    <w:tr2bl w:val="nil"/>
                  </w:tcBorders>
                  <w:vAlign w:val="center"/>
                </w:tcPr>
                <w:p w14:paraId="1A3E82A8">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0BDC1C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-12</w:t>
                  </w:r>
                </w:p>
              </w:tc>
              <w:tc>
                <w:tcPr>
                  <w:tcW w:w="654" w:type="dxa"/>
                  <w:tcBorders>
                    <w:tl2br w:val="nil"/>
                    <w:tr2bl w:val="nil"/>
                  </w:tcBorders>
                  <w:vAlign w:val="center"/>
                </w:tcPr>
                <w:p w14:paraId="0A3B29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16</w:t>
                  </w:r>
                </w:p>
              </w:tc>
              <w:tc>
                <w:tcPr>
                  <w:tcW w:w="674" w:type="dxa"/>
                  <w:tcBorders>
                    <w:tl2br w:val="nil"/>
                    <w:tr2bl w:val="nil"/>
                  </w:tcBorders>
                  <w:vAlign w:val="center"/>
                </w:tcPr>
                <w:p w14:paraId="1EDECB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w:t>
                  </w:r>
                </w:p>
              </w:tc>
              <w:tc>
                <w:tcPr>
                  <w:tcW w:w="1261" w:type="dxa"/>
                  <w:tcBorders>
                    <w:tl2br w:val="nil"/>
                    <w:tr2bl w:val="nil"/>
                  </w:tcBorders>
                  <w:vAlign w:val="center"/>
                </w:tcPr>
                <w:p w14:paraId="0902CA60">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1259F4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E89490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bl>
          <w:p w14:paraId="3E5CD3A9">
            <w:pPr>
              <w:pStyle w:val="48"/>
              <w:jc w:val="left"/>
              <w:rPr>
                <w:rFonts w:hint="default" w:eastAsia="宋体"/>
                <w:color w:val="auto"/>
                <w:highlight w:val="none"/>
                <w:lang w:val="en-US" w:eastAsia="zh-CN"/>
              </w:rPr>
            </w:pPr>
            <w:r>
              <w:rPr>
                <w:rFonts w:hint="eastAsia"/>
                <w:color w:val="auto"/>
                <w:highlight w:val="none"/>
                <w:lang w:val="en-US" w:eastAsia="zh-CN"/>
              </w:rPr>
              <w:t>注：以厂区中心为原点；生产运行期间稳定声源，一天运行8h，夜间不生产。</w:t>
            </w:r>
          </w:p>
          <w:p w14:paraId="2EBF426E">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运营期</w:t>
            </w:r>
            <w:bookmarkEnd w:id="50"/>
            <w:bookmarkEnd w:id="51"/>
            <w:bookmarkEnd w:id="52"/>
            <w:r>
              <w:rPr>
                <w:rFonts w:hint="eastAsia" w:eastAsia="宋体"/>
                <w:color w:val="auto"/>
                <w:highlight w:val="none"/>
              </w:rPr>
              <w:t>噪声预测模式</w:t>
            </w:r>
          </w:p>
          <w:p w14:paraId="26EE4A14">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根据《环境影响评价技术导则 声环境》（HJ2.4-20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）的技术要求，本次评价采取导则推荐模式。</w:t>
            </w:r>
          </w:p>
          <w:p w14:paraId="2031D766">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室内声源计算公式</w:t>
            </w:r>
          </w:p>
          <w:p w14:paraId="0709DDAC">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①计算出某个室内靠近围护结构处的倍频带声压级：</w:t>
            </w:r>
          </w:p>
          <w:p w14:paraId="57228A00">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28"/>
                <w:sz w:val="24"/>
                <w:highlight w:val="none"/>
              </w:rPr>
              <w:object>
                <v:shape id="_x0000_i1025" o:spt="75" type="#_x0000_t75" style="height:34pt;width:132.95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5" r:id="rId23">
                  <o:LockedField>false</o:LockedField>
                </o:OLEObject>
              </w:object>
            </w:r>
          </w:p>
          <w:p w14:paraId="5FD6EA81">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p1</w:t>
            </w:r>
            <w:r>
              <w:rPr>
                <w:rFonts w:hint="default" w:ascii="Times New Roman" w:hAnsi="Times New Roman" w:eastAsia="宋体" w:cs="Times New Roman"/>
                <w:color w:val="auto"/>
                <w:sz w:val="24"/>
                <w:highlight w:val="none"/>
              </w:rPr>
              <w:t>——某个室内声源在靠近围护结构处产生的倍频带声压级；</w:t>
            </w:r>
          </w:p>
          <w:p w14:paraId="4BB6753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w</w:t>
            </w:r>
            <w:r>
              <w:rPr>
                <w:rFonts w:hint="default" w:ascii="Times New Roman" w:hAnsi="Times New Roman" w:eastAsia="宋体" w:cs="Times New Roman"/>
                <w:color w:val="auto"/>
                <w:sz w:val="24"/>
                <w:highlight w:val="none"/>
              </w:rPr>
              <w:t>——某个声源的倍频带声功率级；</w:t>
            </w:r>
          </w:p>
          <w:p w14:paraId="630F0EB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——室内某个声源与靠近围护结构处的距离；</w:t>
            </w:r>
          </w:p>
          <w:p w14:paraId="4C73773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房间常数</w:t>
            </w:r>
            <w:r>
              <w:rPr>
                <w:rFonts w:hint="default" w:ascii="Times New Roman" w:hAnsi="Times New Roman" w:eastAsia="宋体" w:cs="Times New Roman"/>
                <w:color w:val="auto"/>
                <w:sz w:val="24"/>
                <w:highlight w:val="none"/>
              </w:rPr>
              <w:t>；</w:t>
            </w:r>
          </w:p>
          <w:p w14:paraId="39A4E43D">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指向性因素</w:t>
            </w:r>
            <w:r>
              <w:rPr>
                <w:rFonts w:hint="default" w:ascii="Times New Roman" w:hAnsi="Times New Roman" w:eastAsia="宋体" w:cs="Times New Roman"/>
                <w:color w:val="auto"/>
                <w:sz w:val="24"/>
                <w:highlight w:val="none"/>
              </w:rPr>
              <w:t>。</w:t>
            </w:r>
          </w:p>
          <w:p w14:paraId="4387403D">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②计算出所有室内声源在靠近围护结构处产生的总倍频带声压级：</w:t>
            </w:r>
          </w:p>
          <w:p w14:paraId="3821153B">
            <w:pPr>
              <w:bidi w:val="0"/>
              <w:ind w:left="0" w:leftChars="0" w:firstLine="0" w:firstLineChars="0"/>
              <w:jc w:val="center"/>
              <w:rPr>
                <w:rFonts w:hint="default" w:ascii="Times New Roman" w:hAnsi="Times New Roman" w:cs="Times New Roman"/>
                <w:color w:val="auto"/>
                <w:position w:val="-32"/>
                <w:sz w:val="24"/>
                <w:highlight w:val="none"/>
              </w:rPr>
            </w:pPr>
            <w:r>
              <w:rPr>
                <w:rFonts w:hint="default" w:ascii="Times New Roman" w:hAnsi="Times New Roman" w:cs="Times New Roman"/>
                <w:color w:val="auto"/>
                <w:position w:val="-32"/>
                <w:sz w:val="24"/>
                <w:highlight w:val="none"/>
              </w:rPr>
              <w:object>
                <v:shape id="_x0000_i1026" o:spt="75" type="#_x0000_t75" style="height:38pt;width:131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48CD73A1">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w:t>
            </w: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pli</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val="en-US" w:eastAsia="zh-CN"/>
              </w:rPr>
              <w:t>——靠近维护结构处室内N个声源i倍频带的叠加声压级，dB；</w:t>
            </w:r>
          </w:p>
          <w:p w14:paraId="41588524">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default" w:ascii="Times New Roman" w:hAnsi="Times New Roman" w:eastAsia="宋体" w:cs="Times New Roman"/>
                <w:color w:val="auto"/>
                <w:sz w:val="24"/>
                <w:highlight w:val="none"/>
                <w:vertAlign w:val="subscript"/>
                <w:lang w:val="en-US" w:eastAsia="zh-CN"/>
              </w:rPr>
              <w:t>p</w:t>
            </w:r>
            <w:r>
              <w:rPr>
                <w:rFonts w:hint="eastAsia"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vertAlign w:val="subscript"/>
                <w:lang w:val="en-US" w:eastAsia="zh-CN"/>
              </w:rPr>
              <w:t>ij</w:t>
            </w:r>
            <w:r>
              <w:rPr>
                <w:rFonts w:hint="default" w:ascii="Times New Roman" w:hAnsi="Times New Roman" w:eastAsia="宋体" w:cs="Times New Roman"/>
                <w:color w:val="auto"/>
                <w:sz w:val="24"/>
                <w:highlight w:val="none"/>
                <w:lang w:val="en-US" w:eastAsia="zh-CN"/>
              </w:rPr>
              <w:t>——室内j声源i倍频带的声压级，dB；</w:t>
            </w:r>
          </w:p>
          <w:p w14:paraId="5721B53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N——室内声源总数。</w:t>
            </w:r>
          </w:p>
          <w:p w14:paraId="10EB5A0A">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室外声源传播衰减公式</w:t>
            </w:r>
          </w:p>
          <w:p w14:paraId="3C267A0E">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计算某个声源在预测点的倍频带声压级：</w:t>
            </w:r>
          </w:p>
          <w:p w14:paraId="7AA0A24E">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38pt;width:153pt;" o:ole="t" filled="f" o:preferrelative="t" stroked="f" coordsize="21600,21600">
                  <v:path/>
                  <v:fill on="f" focussize="0,0"/>
                  <v:stroke on="f"/>
                  <v:imagedata r:id="rId28" o:title=""/>
                  <o:lock v:ext="edit" aspectratio="t"/>
                  <w10:wrap type="none"/>
                  <w10:anchorlock/>
                </v:shape>
                <o:OLEObject Type="Embed" ProgID="Equation.3" ShapeID="_x0000_i1027" DrawAspect="Content" ObjectID="_1468075727" r:id="rId27">
                  <o:LockedField>false</o:LockedField>
                </o:OLEObject>
              </w:object>
            </w:r>
          </w:p>
          <w:p w14:paraId="2DCFCC1F">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——点声源在预测点产生的倍频带声压级；</w:t>
            </w:r>
          </w:p>
          <w:p w14:paraId="57702E32">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（r0）</w:t>
            </w:r>
            <w:r>
              <w:rPr>
                <w:rFonts w:hint="default" w:ascii="Times New Roman" w:hAnsi="Times New Roman" w:eastAsia="宋体" w:cs="Times New Roman"/>
                <w:color w:val="auto"/>
                <w:sz w:val="24"/>
                <w:highlight w:val="none"/>
              </w:rPr>
              <w:t>——参考位置r0处的倍频带声压级；</w:t>
            </w:r>
          </w:p>
          <w:p w14:paraId="70DFDCCD">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——预测点距声源的距离，m；</w:t>
            </w:r>
          </w:p>
          <w:p w14:paraId="2452D670">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参考位置距声源的距离，m</w:t>
            </w:r>
            <w:r>
              <w:rPr>
                <w:rFonts w:hint="default" w:ascii="Times New Roman" w:hAnsi="Times New Roman" w:eastAsia="宋体" w:cs="Times New Roman"/>
                <w:color w:val="auto"/>
                <w:sz w:val="24"/>
                <w:highlight w:val="none"/>
              </w:rPr>
              <w:t>；</w:t>
            </w:r>
          </w:p>
          <w:p w14:paraId="61F4A751">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ΔL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各种因素引起的衰减量</w:t>
            </w:r>
            <w:r>
              <w:rPr>
                <w:rFonts w:hint="default" w:ascii="Times New Roman" w:hAnsi="Times New Roman" w:eastAsia="宋体" w:cs="Times New Roman"/>
                <w:color w:val="auto"/>
                <w:sz w:val="24"/>
                <w:highlight w:val="none"/>
              </w:rPr>
              <w:t>。</w:t>
            </w:r>
          </w:p>
          <w:p w14:paraId="30BB15C6">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声源叠加贡献值公式</w:t>
            </w:r>
          </w:p>
          <w:p w14:paraId="4D7034DE">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38pt;width:132pt;" o:ole="t" filled="f" o:preferrelative="t" stroked="f" coordsize="21600,21600">
                  <v:path/>
                  <v:fill on="f" focussize="0,0"/>
                  <v:stroke on="f"/>
                  <v:imagedata r:id="rId30" o:title=""/>
                  <o:lock v:ext="edit" aspectratio="t"/>
                  <w10:wrap type="none"/>
                  <w10:anchorlock/>
                </v:shape>
                <o:OLEObject Type="Embed" ProgID="Equation.3" ShapeID="_x0000_i1028" DrawAspect="Content" ObjectID="_1468075728" r:id="rId29">
                  <o:LockedField>false</o:LockedField>
                </o:OLEObject>
              </w:object>
            </w:r>
          </w:p>
          <w:p w14:paraId="4A957D36">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式中：Leq</w:t>
            </w:r>
            <w:r>
              <w:rPr>
                <w:rFonts w:hint="default" w:ascii="Times New Roman" w:hAnsi="Times New Roman" w:eastAsia="宋体" w:cs="Times New Roman"/>
                <w:color w:val="auto"/>
                <w:sz w:val="24"/>
                <w:highlight w:val="none"/>
                <w:lang w:val="en-US" w:eastAsia="zh-CN"/>
              </w:rPr>
              <w:t>g</w:t>
            </w:r>
            <w:r>
              <w:rPr>
                <w:rFonts w:hint="default" w:ascii="Times New Roman" w:hAnsi="Times New Roman" w:eastAsia="宋体" w:cs="Times New Roman"/>
                <w:color w:val="auto"/>
                <w:sz w:val="24"/>
                <w:highlight w:val="none"/>
                <w:lang w:eastAsia="zh-CN"/>
              </w:rPr>
              <w:t>——建设项目声源在预测点的等声级贡献值，dB（A）；</w:t>
            </w:r>
          </w:p>
          <w:p w14:paraId="117CBEC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Ai</w:t>
            </w:r>
            <w:r>
              <w:rPr>
                <w:rFonts w:hint="default" w:ascii="Times New Roman" w:hAnsi="Times New Roman" w:eastAsia="宋体" w:cs="Times New Roman"/>
                <w:color w:val="auto"/>
                <w:sz w:val="24"/>
                <w:highlight w:val="none"/>
                <w:lang w:eastAsia="zh-CN"/>
              </w:rPr>
              <w:t>——i声源在预测点产生的A声级，dB（A）；</w:t>
            </w:r>
          </w:p>
          <w:p w14:paraId="7B8D0A26">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——预测计算的时间段，</w:t>
            </w:r>
            <w:r>
              <w:rPr>
                <w:rFonts w:hint="default" w:ascii="Times New Roman" w:hAnsi="Times New Roman" w:eastAsia="宋体" w:cs="Times New Roman"/>
                <w:color w:val="auto"/>
                <w:sz w:val="24"/>
                <w:highlight w:val="none"/>
                <w:lang w:val="en-US" w:eastAsia="zh-CN"/>
              </w:rPr>
              <w:t>s；</w:t>
            </w:r>
          </w:p>
          <w:p w14:paraId="4CA93AD1">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ti——i声源在T时段内的运行时间，s</w:t>
            </w:r>
            <w:r>
              <w:rPr>
                <w:rFonts w:hint="default" w:ascii="Times New Roman" w:hAnsi="Times New Roman" w:eastAsia="宋体" w:cs="Times New Roman"/>
                <w:color w:val="auto"/>
                <w:sz w:val="24"/>
                <w:highlight w:val="none"/>
                <w:lang w:eastAsia="zh-CN"/>
              </w:rPr>
              <w:t>。</w:t>
            </w:r>
          </w:p>
          <w:p w14:paraId="4EEBE37C">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预测值公式</w:t>
            </w:r>
          </w:p>
          <w:p w14:paraId="02B16CD4">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object>
                <v:shape id="_x0000_i1029" o:spt="75" type="#_x0000_t75" style="height:21pt;width:135pt;" o:ole="t" filled="f" o:preferrelative="t" stroked="f" coordsize="21600,21600">
                  <v:path/>
                  <v:fill on="f" focussize="0,0"/>
                  <v:stroke on="f"/>
                  <v:imagedata r:id="rId32" o:title=""/>
                  <o:lock v:ext="edit" aspectratio="t"/>
                  <w10:wrap type="none"/>
                  <w10:anchorlock/>
                </v:shape>
                <o:OLEObject Type="Embed" ProgID="Equation.3" ShapeID="_x0000_i1029" DrawAspect="Content" ObjectID="_1468075729" r:id="rId31">
                  <o:LockedField>false</o:LockedField>
                </o:OLEObject>
              </w:object>
            </w:r>
          </w:p>
          <w:p w14:paraId="309C7BDE">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式中：Leq——</w:t>
            </w:r>
            <w:r>
              <w:rPr>
                <w:rFonts w:hint="default" w:ascii="Times New Roman" w:hAnsi="Times New Roman" w:eastAsia="宋体" w:cs="Times New Roman"/>
                <w:color w:val="auto"/>
                <w:sz w:val="24"/>
                <w:highlight w:val="none"/>
                <w:lang w:val="en-US" w:eastAsia="zh-CN"/>
              </w:rPr>
              <w:t>预测点的总声压级</w:t>
            </w:r>
            <w:r>
              <w:rPr>
                <w:rFonts w:hint="default" w:ascii="Times New Roman" w:hAnsi="Times New Roman" w:eastAsia="宋体" w:cs="Times New Roman"/>
                <w:color w:val="auto"/>
                <w:sz w:val="24"/>
                <w:highlight w:val="none"/>
                <w:lang w:eastAsia="zh-CN"/>
              </w:rPr>
              <w:t>，dB（A）；</w:t>
            </w:r>
          </w:p>
          <w:p w14:paraId="01F36186">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eqg</w:t>
            </w:r>
            <w:r>
              <w:rPr>
                <w:rFonts w:hint="default" w:ascii="Times New Roman" w:hAnsi="Times New Roman" w:eastAsia="宋体" w:cs="Times New Roman"/>
                <w:color w:val="auto"/>
                <w:sz w:val="24"/>
                <w:highlight w:val="none"/>
                <w:lang w:eastAsia="zh-CN"/>
              </w:rPr>
              <w:t>——建设项目声源在预测点的等效声级贡献值，dB（A）；</w:t>
            </w:r>
          </w:p>
          <w:p w14:paraId="102C036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eqb</w:t>
            </w:r>
            <w:r>
              <w:rPr>
                <w:rFonts w:hint="default" w:ascii="Times New Roman" w:hAnsi="Times New Roman" w:eastAsia="宋体" w:cs="Times New Roman"/>
                <w:color w:val="auto"/>
                <w:sz w:val="24"/>
                <w:highlight w:val="none"/>
                <w:lang w:eastAsia="zh-CN"/>
              </w:rPr>
              <w:t>——预测点的背景值，dB（A）。</w:t>
            </w:r>
          </w:p>
          <w:p w14:paraId="0EEE00E5">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噪声预测及影响评价</w:t>
            </w:r>
          </w:p>
          <w:p w14:paraId="76293FC3">
            <w:pPr>
              <w:pStyle w:val="46"/>
              <w:ind w:firstLine="480"/>
              <w:rPr>
                <w:color w:val="auto"/>
                <w:highlight w:val="none"/>
              </w:rPr>
            </w:pPr>
            <w:r>
              <w:rPr>
                <w:color w:val="auto"/>
                <w:highlight w:val="none"/>
              </w:rPr>
              <w:t>本项目</w:t>
            </w:r>
            <w:r>
              <w:rPr>
                <w:rFonts w:hint="eastAsia"/>
                <w:color w:val="auto"/>
                <w:highlight w:val="none"/>
                <w:lang w:val="en-US" w:eastAsia="zh-CN"/>
              </w:rPr>
              <w:t>噪声预测结果</w:t>
            </w:r>
            <w:r>
              <w:rPr>
                <w:color w:val="auto"/>
                <w:highlight w:val="none"/>
              </w:rPr>
              <w:t>详见表</w:t>
            </w:r>
            <w:r>
              <w:rPr>
                <w:rFonts w:hint="eastAsia"/>
                <w:color w:val="auto"/>
                <w:highlight w:val="none"/>
                <w:lang w:val="en-US" w:eastAsia="zh-CN"/>
              </w:rPr>
              <w:t>4.4-2</w:t>
            </w:r>
            <w:r>
              <w:rPr>
                <w:color w:val="auto"/>
                <w:highlight w:val="none"/>
              </w:rPr>
              <w:t>。</w:t>
            </w:r>
          </w:p>
          <w:p w14:paraId="323F7711">
            <w:pPr>
              <w:pStyle w:val="44"/>
              <w:tabs>
                <w:tab w:val="left" w:pos="0"/>
                <w:tab w:val="clear" w:pos="420"/>
              </w:tabs>
              <w:bidi w:val="0"/>
              <w:ind w:left="210" w:leftChars="0" w:firstLineChars="0"/>
              <w:rPr>
                <w:color w:val="auto"/>
                <w:highlight w:val="none"/>
                <w:lang w:eastAsia="zh-CN"/>
              </w:rPr>
            </w:pPr>
            <w:bookmarkStart w:id="53" w:name="_Ref31583"/>
            <w:r>
              <w:rPr>
                <w:color w:val="auto"/>
                <w:highlight w:val="none"/>
                <w:lang w:eastAsia="zh-CN"/>
              </w:rPr>
              <w:t>厂界噪声预测结果与达标分析表</w:t>
            </w:r>
            <w:bookmarkEnd w:id="53"/>
          </w:p>
          <w:tbl>
            <w:tblPr>
              <w:tblStyle w:val="35"/>
              <w:tblW w:w="892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361"/>
              <w:gridCol w:w="1333"/>
              <w:gridCol w:w="1415"/>
              <w:gridCol w:w="1839"/>
            </w:tblGrid>
            <w:tr w14:paraId="2B571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6" w:type="dxa"/>
                  <w:tcBorders>
                    <w:bottom w:val="single" w:color="auto" w:sz="12" w:space="0"/>
                  </w:tcBorders>
                  <w:shd w:val="clear" w:color="auto" w:fill="auto"/>
                  <w:vAlign w:val="center"/>
                </w:tcPr>
                <w:p w14:paraId="6B09D9B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b/>
                      <w:bCs/>
                      <w:color w:val="auto"/>
                      <w:spacing w:val="5"/>
                      <w:sz w:val="21"/>
                      <w:highlight w:val="none"/>
                    </w:rPr>
                    <w:t>预测点</w:t>
                  </w:r>
                </w:p>
              </w:tc>
              <w:tc>
                <w:tcPr>
                  <w:tcW w:w="2361" w:type="dxa"/>
                  <w:tcBorders>
                    <w:bottom w:val="single" w:color="auto" w:sz="12" w:space="0"/>
                  </w:tcBorders>
                  <w:shd w:val="clear" w:color="auto" w:fill="auto"/>
                  <w:vAlign w:val="center"/>
                </w:tcPr>
                <w:p w14:paraId="2227DE5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b/>
                      <w:bCs/>
                      <w:color w:val="auto"/>
                      <w:spacing w:val="4"/>
                      <w:sz w:val="21"/>
                      <w:highlight w:val="none"/>
                    </w:rPr>
                    <w:t>贡献值</w:t>
                  </w:r>
                </w:p>
              </w:tc>
              <w:tc>
                <w:tcPr>
                  <w:tcW w:w="1333" w:type="dxa"/>
                  <w:tcBorders>
                    <w:bottom w:val="single" w:color="auto" w:sz="12" w:space="0"/>
                  </w:tcBorders>
                  <w:shd w:val="clear" w:color="auto" w:fill="auto"/>
                  <w:vAlign w:val="center"/>
                </w:tcPr>
                <w:p w14:paraId="33E8EE2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标准值</w:t>
                  </w:r>
                </w:p>
              </w:tc>
              <w:tc>
                <w:tcPr>
                  <w:tcW w:w="1415" w:type="dxa"/>
                  <w:tcBorders>
                    <w:bottom w:val="single" w:color="auto" w:sz="12" w:space="0"/>
                  </w:tcBorders>
                  <w:shd w:val="clear" w:color="auto" w:fill="auto"/>
                  <w:vAlign w:val="center"/>
                </w:tcPr>
                <w:p w14:paraId="2ACC20A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时段</w:t>
                  </w:r>
                </w:p>
              </w:tc>
              <w:tc>
                <w:tcPr>
                  <w:tcW w:w="1839" w:type="dxa"/>
                  <w:tcBorders>
                    <w:bottom w:val="single" w:color="auto" w:sz="12" w:space="0"/>
                  </w:tcBorders>
                  <w:shd w:val="clear" w:color="auto" w:fill="auto"/>
                  <w:vAlign w:val="center"/>
                </w:tcPr>
                <w:p w14:paraId="2D5C1A5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达标情况</w:t>
                  </w:r>
                </w:p>
              </w:tc>
            </w:tr>
            <w:tr w14:paraId="34F7A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6" w:type="dxa"/>
                  <w:tcBorders>
                    <w:top w:val="single" w:color="auto" w:sz="12" w:space="0"/>
                    <w:tl2br w:val="nil"/>
                    <w:tr2bl w:val="nil"/>
                  </w:tcBorders>
                  <w:shd w:val="clear" w:color="auto" w:fill="auto"/>
                  <w:vAlign w:val="center"/>
                </w:tcPr>
                <w:p w14:paraId="017A4B8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4"/>
                      <w:sz w:val="21"/>
                      <w:highlight w:val="none"/>
                    </w:rPr>
                    <w:t>东厂界</w:t>
                  </w:r>
                </w:p>
              </w:tc>
              <w:tc>
                <w:tcPr>
                  <w:tcW w:w="2361" w:type="dxa"/>
                  <w:tcBorders>
                    <w:top w:val="single" w:color="auto" w:sz="12" w:space="0"/>
                    <w:tl2br w:val="nil"/>
                    <w:tr2bl w:val="nil"/>
                  </w:tcBorders>
                  <w:shd w:val="clear" w:color="auto" w:fill="auto"/>
                  <w:vAlign w:val="center"/>
                </w:tcPr>
                <w:p w14:paraId="76FAEB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4"/>
                      <w:position w:val="2"/>
                      <w:sz w:val="21"/>
                      <w:szCs w:val="20"/>
                      <w:highlight w:val="none"/>
                      <w:lang w:val="en-US" w:eastAsia="zh-CN"/>
                    </w:rPr>
                    <w:t>5</w:t>
                  </w:r>
                  <w:r>
                    <w:rPr>
                      <w:rFonts w:ascii="Times New Roman" w:hAnsi="Times New Roman" w:eastAsia="宋体" w:cs="Times New Roman"/>
                      <w:color w:val="auto"/>
                      <w:spacing w:val="4"/>
                      <w:position w:val="2"/>
                      <w:sz w:val="21"/>
                      <w:szCs w:val="20"/>
                      <w:highlight w:val="none"/>
                    </w:rPr>
                    <w:t>3.30</w:t>
                  </w:r>
                </w:p>
              </w:tc>
              <w:tc>
                <w:tcPr>
                  <w:tcW w:w="1333" w:type="dxa"/>
                  <w:vMerge w:val="restart"/>
                  <w:tcBorders>
                    <w:top w:val="single" w:color="auto" w:sz="12" w:space="0"/>
                    <w:tl2br w:val="nil"/>
                    <w:tr2bl w:val="nil"/>
                  </w:tcBorders>
                  <w:shd w:val="clear" w:color="auto" w:fill="auto"/>
                  <w:vAlign w:val="center"/>
                </w:tcPr>
                <w:p w14:paraId="6F55066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position w:val="2"/>
                      <w:sz w:val="21"/>
                      <w:szCs w:val="20"/>
                      <w:highlight w:val="none"/>
                    </w:rPr>
                  </w:pPr>
                  <w:r>
                    <w:rPr>
                      <w:rFonts w:ascii="Times New Roman" w:hAnsi="Times New Roman" w:eastAsia="宋体" w:cs="Times New Roman"/>
                      <w:color w:val="auto"/>
                      <w:position w:val="2"/>
                      <w:sz w:val="21"/>
                      <w:szCs w:val="20"/>
                      <w:highlight w:val="none"/>
                    </w:rPr>
                    <w:t>65</w:t>
                  </w:r>
                </w:p>
              </w:tc>
              <w:tc>
                <w:tcPr>
                  <w:tcW w:w="1415" w:type="dxa"/>
                  <w:vMerge w:val="restart"/>
                  <w:tcBorders>
                    <w:top w:val="single" w:color="auto" w:sz="12" w:space="0"/>
                    <w:tl2br w:val="nil"/>
                    <w:tr2bl w:val="nil"/>
                  </w:tcBorders>
                  <w:shd w:val="clear" w:color="auto" w:fill="auto"/>
                  <w:vAlign w:val="center"/>
                </w:tcPr>
                <w:p w14:paraId="3CD53B4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昼间</w:t>
                  </w:r>
                </w:p>
              </w:tc>
              <w:tc>
                <w:tcPr>
                  <w:tcW w:w="1839" w:type="dxa"/>
                  <w:vMerge w:val="restart"/>
                  <w:tcBorders>
                    <w:top w:val="single" w:color="auto" w:sz="12" w:space="0"/>
                    <w:tl2br w:val="nil"/>
                    <w:tr2bl w:val="nil"/>
                  </w:tcBorders>
                  <w:shd w:val="clear" w:color="auto" w:fill="auto"/>
                  <w:vAlign w:val="center"/>
                </w:tcPr>
                <w:p w14:paraId="2840B36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达标</w:t>
                  </w:r>
                </w:p>
              </w:tc>
            </w:tr>
            <w:tr w14:paraId="067E1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6" w:type="dxa"/>
                  <w:tcBorders>
                    <w:tl2br w:val="nil"/>
                    <w:tr2bl w:val="nil"/>
                  </w:tcBorders>
                  <w:shd w:val="clear" w:color="auto" w:fill="auto"/>
                  <w:vAlign w:val="center"/>
                </w:tcPr>
                <w:p w14:paraId="2C5B060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5"/>
                      <w:sz w:val="21"/>
                      <w:highlight w:val="none"/>
                    </w:rPr>
                    <w:t>西厂界</w:t>
                  </w:r>
                </w:p>
              </w:tc>
              <w:tc>
                <w:tcPr>
                  <w:tcW w:w="2361" w:type="dxa"/>
                  <w:tcBorders>
                    <w:tl2br w:val="nil"/>
                    <w:tr2bl w:val="nil"/>
                  </w:tcBorders>
                  <w:shd w:val="clear" w:color="auto" w:fill="auto"/>
                  <w:vAlign w:val="center"/>
                </w:tcPr>
                <w:p w14:paraId="1785C9C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4"/>
                      <w:position w:val="2"/>
                      <w:sz w:val="21"/>
                      <w:szCs w:val="20"/>
                      <w:highlight w:val="none"/>
                      <w:lang w:val="en-US" w:eastAsia="zh-CN"/>
                    </w:rPr>
                    <w:t>5</w:t>
                  </w:r>
                  <w:r>
                    <w:rPr>
                      <w:rFonts w:ascii="Times New Roman" w:hAnsi="Times New Roman" w:eastAsia="宋体" w:cs="Times New Roman"/>
                      <w:color w:val="auto"/>
                      <w:spacing w:val="4"/>
                      <w:position w:val="2"/>
                      <w:sz w:val="21"/>
                      <w:szCs w:val="20"/>
                      <w:highlight w:val="none"/>
                    </w:rPr>
                    <w:t>8.93</w:t>
                  </w:r>
                </w:p>
              </w:tc>
              <w:tc>
                <w:tcPr>
                  <w:tcW w:w="1333" w:type="dxa"/>
                  <w:vMerge w:val="continue"/>
                  <w:tcBorders>
                    <w:tl2br w:val="nil"/>
                    <w:tr2bl w:val="nil"/>
                  </w:tcBorders>
                  <w:shd w:val="clear" w:color="auto" w:fill="auto"/>
                  <w:vAlign w:val="center"/>
                </w:tcPr>
                <w:p w14:paraId="3F202FBE">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415" w:type="dxa"/>
                  <w:vMerge w:val="continue"/>
                  <w:tcBorders>
                    <w:tl2br w:val="nil"/>
                    <w:tr2bl w:val="nil"/>
                  </w:tcBorders>
                  <w:shd w:val="clear" w:color="auto" w:fill="auto"/>
                  <w:vAlign w:val="center"/>
                </w:tcPr>
                <w:p w14:paraId="2F90A2AB">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839" w:type="dxa"/>
                  <w:vMerge w:val="continue"/>
                  <w:tcBorders>
                    <w:tl2br w:val="nil"/>
                    <w:tr2bl w:val="nil"/>
                  </w:tcBorders>
                  <w:shd w:val="clear" w:color="auto" w:fill="auto"/>
                  <w:vAlign w:val="center"/>
                </w:tcPr>
                <w:p w14:paraId="79DBF0E1">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63F5F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6" w:type="dxa"/>
                  <w:tcBorders>
                    <w:tl2br w:val="nil"/>
                    <w:tr2bl w:val="nil"/>
                  </w:tcBorders>
                  <w:shd w:val="clear" w:color="auto" w:fill="auto"/>
                  <w:vAlign w:val="center"/>
                </w:tcPr>
                <w:p w14:paraId="1FD3944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6"/>
                      <w:sz w:val="21"/>
                      <w:highlight w:val="none"/>
                    </w:rPr>
                    <w:t>南厂界</w:t>
                  </w:r>
                </w:p>
              </w:tc>
              <w:tc>
                <w:tcPr>
                  <w:tcW w:w="2361" w:type="dxa"/>
                  <w:tcBorders>
                    <w:tl2br w:val="nil"/>
                    <w:tr2bl w:val="nil"/>
                  </w:tcBorders>
                  <w:shd w:val="clear" w:color="auto" w:fill="auto"/>
                  <w:vAlign w:val="center"/>
                </w:tcPr>
                <w:p w14:paraId="3B6748A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2"/>
                      <w:sz w:val="21"/>
                      <w:szCs w:val="20"/>
                      <w:highlight w:val="none"/>
                      <w:lang w:val="en-US" w:eastAsia="zh-CN"/>
                    </w:rPr>
                    <w:t>5</w:t>
                  </w:r>
                  <w:r>
                    <w:rPr>
                      <w:rFonts w:ascii="Times New Roman" w:hAnsi="Times New Roman" w:eastAsia="宋体" w:cs="Times New Roman"/>
                      <w:color w:val="auto"/>
                      <w:spacing w:val="3"/>
                      <w:position w:val="2"/>
                      <w:sz w:val="21"/>
                      <w:szCs w:val="20"/>
                      <w:highlight w:val="none"/>
                    </w:rPr>
                    <w:t>2.44</w:t>
                  </w:r>
                </w:p>
              </w:tc>
              <w:tc>
                <w:tcPr>
                  <w:tcW w:w="1333" w:type="dxa"/>
                  <w:vMerge w:val="continue"/>
                  <w:tcBorders>
                    <w:tl2br w:val="nil"/>
                    <w:tr2bl w:val="nil"/>
                  </w:tcBorders>
                  <w:shd w:val="clear" w:color="auto" w:fill="auto"/>
                  <w:vAlign w:val="center"/>
                </w:tcPr>
                <w:p w14:paraId="1CA0B56F">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415" w:type="dxa"/>
                  <w:vMerge w:val="continue"/>
                  <w:tcBorders>
                    <w:tl2br w:val="nil"/>
                    <w:tr2bl w:val="nil"/>
                  </w:tcBorders>
                  <w:shd w:val="clear" w:color="auto" w:fill="auto"/>
                  <w:vAlign w:val="center"/>
                </w:tcPr>
                <w:p w14:paraId="25F56F67">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839" w:type="dxa"/>
                  <w:vMerge w:val="continue"/>
                  <w:tcBorders>
                    <w:tl2br w:val="nil"/>
                    <w:tr2bl w:val="nil"/>
                  </w:tcBorders>
                  <w:shd w:val="clear" w:color="auto" w:fill="auto"/>
                  <w:vAlign w:val="center"/>
                </w:tcPr>
                <w:p w14:paraId="42D3F82E">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01311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trPr>
              <w:tc>
                <w:tcPr>
                  <w:tcW w:w="1976" w:type="dxa"/>
                  <w:tcBorders>
                    <w:tl2br w:val="nil"/>
                    <w:tr2bl w:val="nil"/>
                  </w:tcBorders>
                  <w:shd w:val="clear" w:color="auto" w:fill="auto"/>
                  <w:vAlign w:val="center"/>
                </w:tcPr>
                <w:p w14:paraId="1094081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5"/>
                      <w:sz w:val="21"/>
                      <w:highlight w:val="none"/>
                    </w:rPr>
                    <w:t>北厂界</w:t>
                  </w:r>
                </w:p>
              </w:tc>
              <w:tc>
                <w:tcPr>
                  <w:tcW w:w="2361" w:type="dxa"/>
                  <w:tcBorders>
                    <w:tl2br w:val="nil"/>
                    <w:tr2bl w:val="nil"/>
                  </w:tcBorders>
                  <w:shd w:val="clear" w:color="auto" w:fill="auto"/>
                  <w:vAlign w:val="center"/>
                </w:tcPr>
                <w:p w14:paraId="7577D5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2"/>
                      <w:sz w:val="21"/>
                      <w:szCs w:val="20"/>
                      <w:highlight w:val="none"/>
                      <w:lang w:val="en-US" w:eastAsia="zh-CN"/>
                    </w:rPr>
                    <w:t>5</w:t>
                  </w:r>
                  <w:r>
                    <w:rPr>
                      <w:rFonts w:ascii="Times New Roman" w:hAnsi="Times New Roman" w:eastAsia="宋体" w:cs="Times New Roman"/>
                      <w:color w:val="auto"/>
                      <w:spacing w:val="3"/>
                      <w:position w:val="2"/>
                      <w:sz w:val="21"/>
                      <w:szCs w:val="20"/>
                      <w:highlight w:val="none"/>
                    </w:rPr>
                    <w:t>4.76</w:t>
                  </w:r>
                </w:p>
              </w:tc>
              <w:tc>
                <w:tcPr>
                  <w:tcW w:w="1333" w:type="dxa"/>
                  <w:vMerge w:val="continue"/>
                  <w:tcBorders>
                    <w:tl2br w:val="nil"/>
                    <w:tr2bl w:val="nil"/>
                  </w:tcBorders>
                  <w:shd w:val="clear" w:color="auto" w:fill="auto"/>
                  <w:vAlign w:val="center"/>
                </w:tcPr>
                <w:p w14:paraId="687425BD">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415" w:type="dxa"/>
                  <w:vMerge w:val="continue"/>
                  <w:tcBorders>
                    <w:tl2br w:val="nil"/>
                    <w:tr2bl w:val="nil"/>
                  </w:tcBorders>
                  <w:shd w:val="clear" w:color="auto" w:fill="auto"/>
                  <w:vAlign w:val="center"/>
                </w:tcPr>
                <w:p w14:paraId="4BE7AB93">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839" w:type="dxa"/>
                  <w:vMerge w:val="continue"/>
                  <w:tcBorders>
                    <w:tl2br w:val="nil"/>
                    <w:tr2bl w:val="nil"/>
                  </w:tcBorders>
                  <w:shd w:val="clear" w:color="auto" w:fill="auto"/>
                  <w:vAlign w:val="center"/>
                </w:tcPr>
                <w:p w14:paraId="7C68294E">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6AF85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924" w:type="dxa"/>
                  <w:gridSpan w:val="5"/>
                  <w:tcBorders>
                    <w:tl2br w:val="nil"/>
                    <w:tr2bl w:val="nil"/>
                  </w:tcBorders>
                  <w:shd w:val="clear" w:color="auto" w:fill="auto"/>
                  <w:vAlign w:val="center"/>
                </w:tcPr>
                <w:p w14:paraId="0A5B5E1D">
                  <w:pPr>
                    <w:keepNext w:val="0"/>
                    <w:keepLines w:val="0"/>
                    <w:pageBreakBefore w:val="0"/>
                    <w:widowControl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注：本项目实行单班工作制度，夜间不安排生产活动。</w:t>
                  </w:r>
                </w:p>
              </w:tc>
            </w:tr>
          </w:tbl>
          <w:p w14:paraId="3F83A436">
            <w:pPr>
              <w:pStyle w:val="103"/>
              <w:widowControl/>
              <w:autoSpaceDE w:val="0"/>
              <w:autoSpaceDN w:val="0"/>
              <w:spacing w:before="120" w:beforeLines="50" w:line="360" w:lineRule="auto"/>
              <w:ind w:firstLine="482"/>
              <w:jc w:val="both"/>
              <w:rPr>
                <w:rFonts w:hint="eastAsia" w:eastAsia="宋体" w:cs="宋体"/>
                <w:color w:val="auto"/>
                <w:highlight w:val="none"/>
                <w:lang w:eastAsia="zh-CN"/>
              </w:rPr>
            </w:pPr>
            <w:r>
              <w:rPr>
                <w:color w:val="auto"/>
                <w:spacing w:val="-1"/>
                <w:sz w:val="24"/>
                <w:szCs w:val="24"/>
                <w:highlight w:val="none"/>
              </w:rPr>
              <w:t>由上表可见，本项目昼间四至厂界噪声贡献值可分别达到《工业企业厂界环境噪声排放标准》（</w:t>
            </w:r>
            <w:r>
              <w:rPr>
                <w:rFonts w:ascii="Times New Roman" w:hAnsi="Times New Roman" w:eastAsia="Times New Roman" w:cs="Times New Roman"/>
                <w:color w:val="auto"/>
                <w:spacing w:val="-1"/>
                <w:sz w:val="24"/>
                <w:szCs w:val="24"/>
                <w:highlight w:val="none"/>
              </w:rPr>
              <w:t>GB12348-2008</w:t>
            </w:r>
            <w:r>
              <w:rPr>
                <w:color w:val="auto"/>
                <w:spacing w:val="-1"/>
                <w:sz w:val="24"/>
                <w:szCs w:val="24"/>
                <w:highlight w:val="none"/>
              </w:rPr>
              <w:t>）中的</w:t>
            </w:r>
            <w:r>
              <w:rPr>
                <w:rFonts w:ascii="Times New Roman" w:hAnsi="Times New Roman" w:eastAsia="Times New Roman" w:cs="Times New Roman"/>
                <w:color w:val="auto"/>
                <w:spacing w:val="-1"/>
                <w:sz w:val="24"/>
                <w:szCs w:val="24"/>
                <w:highlight w:val="none"/>
              </w:rPr>
              <w:t>3</w:t>
            </w:r>
            <w:r>
              <w:rPr>
                <w:color w:val="auto"/>
                <w:spacing w:val="-1"/>
                <w:sz w:val="24"/>
                <w:szCs w:val="24"/>
                <w:highlight w:val="none"/>
              </w:rPr>
              <w:t>类标准</w:t>
            </w:r>
            <w:r>
              <w:rPr>
                <w:color w:val="auto"/>
                <w:spacing w:val="-2"/>
                <w:sz w:val="24"/>
                <w:szCs w:val="24"/>
                <w:highlight w:val="none"/>
              </w:rPr>
              <w:t>限值要求。因</w:t>
            </w:r>
            <w:r>
              <w:rPr>
                <w:color w:val="auto"/>
                <w:sz w:val="24"/>
                <w:szCs w:val="24"/>
                <w:highlight w:val="none"/>
              </w:rPr>
              <w:t>此，项目运营期间，在采取相应降噪措施后，</w:t>
            </w:r>
            <w:r>
              <w:rPr>
                <w:color w:val="auto"/>
                <w:spacing w:val="-1"/>
                <w:sz w:val="24"/>
                <w:szCs w:val="24"/>
                <w:highlight w:val="none"/>
              </w:rPr>
              <w:t>对区域声环境的影响较小。</w:t>
            </w:r>
          </w:p>
          <w:p w14:paraId="4E26DEEE">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噪声环境监测要求</w:t>
            </w:r>
          </w:p>
          <w:p w14:paraId="60091026">
            <w:pPr>
              <w:pStyle w:val="46"/>
              <w:ind w:firstLine="480"/>
              <w:rPr>
                <w:rFonts w:hint="eastAsia" w:eastAsia="宋体"/>
                <w:color w:val="auto"/>
                <w:highlight w:val="none"/>
                <w:lang w:eastAsia="zh-CN"/>
              </w:rPr>
            </w:pPr>
            <w:r>
              <w:rPr>
                <w:rFonts w:hint="eastAsia"/>
                <w:color w:val="auto"/>
                <w:highlight w:val="none"/>
              </w:rPr>
              <w:t>项目噪声监测计划见下表</w:t>
            </w:r>
            <w:r>
              <w:rPr>
                <w:rFonts w:hint="eastAsia"/>
                <w:color w:val="auto"/>
                <w:highlight w:val="none"/>
                <w:lang w:eastAsia="zh-CN"/>
              </w:rPr>
              <w:t>。</w:t>
            </w:r>
          </w:p>
          <w:p w14:paraId="1DB8C01B">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噪声监测计划</w:t>
            </w:r>
          </w:p>
          <w:tbl>
            <w:tblPr>
              <w:tblStyle w:val="34"/>
              <w:tblW w:w="8924" w:type="dxa"/>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180"/>
              <w:gridCol w:w="1355"/>
              <w:gridCol w:w="4280"/>
              <w:gridCol w:w="2109"/>
            </w:tblGrid>
            <w:tr w14:paraId="2F85AAD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57" w:hRule="atLeast"/>
              </w:trPr>
              <w:tc>
                <w:tcPr>
                  <w:tcW w:w="1180" w:type="dxa"/>
                  <w:tcBorders>
                    <w:tl2br w:val="nil"/>
                    <w:tr2bl w:val="nil"/>
                  </w:tcBorders>
                  <w:vAlign w:val="center"/>
                </w:tcPr>
                <w:p w14:paraId="2604B91B">
                  <w:pPr>
                    <w:pStyle w:val="48"/>
                    <w:tabs>
                      <w:tab w:val="left" w:pos="0"/>
                    </w:tabs>
                    <w:rPr>
                      <w:color w:val="auto"/>
                      <w:highlight w:val="none"/>
                    </w:rPr>
                  </w:pPr>
                  <w:r>
                    <w:rPr>
                      <w:color w:val="auto"/>
                      <w:highlight w:val="none"/>
                    </w:rPr>
                    <w:t>监测点位</w:t>
                  </w:r>
                </w:p>
              </w:tc>
              <w:tc>
                <w:tcPr>
                  <w:tcW w:w="1355" w:type="dxa"/>
                  <w:tcBorders>
                    <w:tl2br w:val="nil"/>
                    <w:tr2bl w:val="nil"/>
                  </w:tcBorders>
                  <w:vAlign w:val="center"/>
                </w:tcPr>
                <w:p w14:paraId="50B842B0">
                  <w:pPr>
                    <w:pStyle w:val="48"/>
                    <w:tabs>
                      <w:tab w:val="left" w:pos="0"/>
                    </w:tabs>
                    <w:rPr>
                      <w:color w:val="auto"/>
                      <w:highlight w:val="none"/>
                    </w:rPr>
                  </w:pPr>
                  <w:r>
                    <w:rPr>
                      <w:color w:val="auto"/>
                      <w:highlight w:val="none"/>
                    </w:rPr>
                    <w:t>监测项目</w:t>
                  </w:r>
                </w:p>
              </w:tc>
              <w:tc>
                <w:tcPr>
                  <w:tcW w:w="4280" w:type="dxa"/>
                  <w:tcBorders>
                    <w:tl2br w:val="nil"/>
                    <w:tr2bl w:val="nil"/>
                  </w:tcBorders>
                  <w:vAlign w:val="center"/>
                </w:tcPr>
                <w:p w14:paraId="09CA68FF">
                  <w:pPr>
                    <w:pStyle w:val="48"/>
                    <w:tabs>
                      <w:tab w:val="left" w:pos="0"/>
                    </w:tabs>
                    <w:rPr>
                      <w:color w:val="auto"/>
                      <w:highlight w:val="none"/>
                    </w:rPr>
                  </w:pPr>
                  <w:r>
                    <w:rPr>
                      <w:color w:val="auto"/>
                      <w:highlight w:val="none"/>
                    </w:rPr>
                    <w:t>执行标准</w:t>
                  </w:r>
                </w:p>
              </w:tc>
              <w:tc>
                <w:tcPr>
                  <w:tcW w:w="2109" w:type="dxa"/>
                  <w:tcBorders>
                    <w:tl2br w:val="nil"/>
                    <w:tr2bl w:val="nil"/>
                  </w:tcBorders>
                  <w:vAlign w:val="center"/>
                </w:tcPr>
                <w:p w14:paraId="49A8B1DC">
                  <w:pPr>
                    <w:pStyle w:val="48"/>
                    <w:tabs>
                      <w:tab w:val="left" w:pos="0"/>
                    </w:tabs>
                    <w:rPr>
                      <w:color w:val="auto"/>
                      <w:highlight w:val="none"/>
                    </w:rPr>
                  </w:pPr>
                  <w:r>
                    <w:rPr>
                      <w:color w:val="auto"/>
                      <w:highlight w:val="none"/>
                    </w:rPr>
                    <w:t>监测频率</w:t>
                  </w:r>
                </w:p>
              </w:tc>
            </w:tr>
            <w:tr w14:paraId="528A1B03">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666" w:hRule="atLeast"/>
              </w:trPr>
              <w:tc>
                <w:tcPr>
                  <w:tcW w:w="1180" w:type="dxa"/>
                  <w:tcBorders>
                    <w:tl2br w:val="nil"/>
                    <w:tr2bl w:val="nil"/>
                  </w:tcBorders>
                  <w:vAlign w:val="center"/>
                </w:tcPr>
                <w:p w14:paraId="34B1CF4D">
                  <w:pPr>
                    <w:pStyle w:val="48"/>
                    <w:tabs>
                      <w:tab w:val="left" w:pos="0"/>
                    </w:tabs>
                    <w:ind w:left="0" w:leftChars="0" w:firstLine="0" w:firstLineChars="0"/>
                    <w:rPr>
                      <w:rFonts w:hint="eastAsia"/>
                      <w:color w:val="auto"/>
                      <w:highlight w:val="none"/>
                      <w:lang w:val="en-US" w:eastAsia="zh-CN"/>
                    </w:rPr>
                  </w:pPr>
                  <w:r>
                    <w:rPr>
                      <w:color w:val="auto"/>
                      <w:highlight w:val="none"/>
                    </w:rPr>
                    <w:t>厂界</w:t>
                  </w:r>
                </w:p>
              </w:tc>
              <w:tc>
                <w:tcPr>
                  <w:tcW w:w="1355" w:type="dxa"/>
                  <w:tcBorders>
                    <w:tl2br w:val="nil"/>
                    <w:tr2bl w:val="nil"/>
                  </w:tcBorders>
                  <w:vAlign w:val="center"/>
                </w:tcPr>
                <w:p w14:paraId="17AD6021">
                  <w:pPr>
                    <w:pStyle w:val="48"/>
                    <w:tabs>
                      <w:tab w:val="left" w:pos="0"/>
                    </w:tabs>
                    <w:ind w:left="0" w:leftChars="0" w:firstLine="0" w:firstLineChars="0"/>
                    <w:rPr>
                      <w:color w:val="auto"/>
                      <w:highlight w:val="none"/>
                    </w:rPr>
                  </w:pPr>
                  <w:r>
                    <w:rPr>
                      <w:color w:val="auto"/>
                      <w:highlight w:val="none"/>
                    </w:rPr>
                    <w:t>Leq(A)</w:t>
                  </w:r>
                </w:p>
              </w:tc>
              <w:tc>
                <w:tcPr>
                  <w:tcW w:w="4280" w:type="dxa"/>
                  <w:tcBorders>
                    <w:tl2br w:val="nil"/>
                    <w:tr2bl w:val="nil"/>
                  </w:tcBorders>
                  <w:vAlign w:val="center"/>
                </w:tcPr>
                <w:p w14:paraId="1F8A0C4B">
                  <w:pPr>
                    <w:pStyle w:val="48"/>
                    <w:tabs>
                      <w:tab w:val="left" w:pos="0"/>
                    </w:tabs>
                    <w:ind w:left="0" w:leftChars="0" w:firstLine="0" w:firstLineChars="0"/>
                    <w:rPr>
                      <w:color w:val="auto"/>
                      <w:highlight w:val="none"/>
                    </w:rPr>
                  </w:pPr>
                  <w:r>
                    <w:rPr>
                      <w:color w:val="auto"/>
                      <w:highlight w:val="none"/>
                    </w:rPr>
                    <w:t>《工业企业厂界环境噪声排放标准》</w:t>
                  </w:r>
                  <w:r>
                    <w:rPr>
                      <w:rFonts w:hint="eastAsia"/>
                      <w:color w:val="auto"/>
                      <w:highlight w:val="none"/>
                      <w:lang w:eastAsia="zh-CN"/>
                    </w:rPr>
                    <w:t>（</w:t>
                  </w:r>
                  <w:r>
                    <w:rPr>
                      <w:color w:val="auto"/>
                      <w:highlight w:val="none"/>
                    </w:rPr>
                    <w:t>GB12348-2008</w:t>
                  </w:r>
                  <w:r>
                    <w:rPr>
                      <w:rFonts w:hint="eastAsia"/>
                      <w:color w:val="auto"/>
                      <w:highlight w:val="none"/>
                      <w:lang w:eastAsia="zh-CN"/>
                    </w:rPr>
                    <w:t>）</w:t>
                  </w:r>
                  <w:r>
                    <w:rPr>
                      <w:color w:val="auto"/>
                      <w:highlight w:val="none"/>
                    </w:rPr>
                    <w:t>的</w:t>
                  </w:r>
                  <w:r>
                    <w:rPr>
                      <w:rFonts w:hint="eastAsia"/>
                      <w:color w:val="auto"/>
                      <w:highlight w:val="none"/>
                      <w:lang w:val="en-US" w:eastAsia="zh-CN"/>
                    </w:rPr>
                    <w:t>3</w:t>
                  </w:r>
                  <w:r>
                    <w:rPr>
                      <w:color w:val="auto"/>
                      <w:highlight w:val="none"/>
                    </w:rPr>
                    <w:t>类</w:t>
                  </w:r>
                </w:p>
              </w:tc>
              <w:tc>
                <w:tcPr>
                  <w:tcW w:w="2109" w:type="dxa"/>
                  <w:tcBorders>
                    <w:tl2br w:val="nil"/>
                    <w:tr2bl w:val="nil"/>
                  </w:tcBorders>
                  <w:vAlign w:val="center"/>
                </w:tcPr>
                <w:p w14:paraId="137C8CBC">
                  <w:pPr>
                    <w:pStyle w:val="48"/>
                    <w:tabs>
                      <w:tab w:val="left" w:pos="0"/>
                    </w:tabs>
                    <w:ind w:left="0" w:leftChars="0" w:firstLine="0" w:firstLineChars="0"/>
                    <w:rPr>
                      <w:color w:val="auto"/>
                      <w:highlight w:val="none"/>
                    </w:rPr>
                  </w:pPr>
                  <w:r>
                    <w:rPr>
                      <w:color w:val="auto"/>
                      <w:highlight w:val="none"/>
                    </w:rPr>
                    <w:t>1次/季</w:t>
                  </w:r>
                </w:p>
              </w:tc>
            </w:tr>
          </w:tbl>
          <w:p w14:paraId="51D82A4F">
            <w:pPr>
              <w:pStyle w:val="3"/>
              <w:numPr>
                <w:ilvl w:val="1"/>
                <w:numId w:val="1"/>
              </w:numPr>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固体废物</w:t>
            </w:r>
          </w:p>
          <w:p w14:paraId="58872B85">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固废污染源分析</w:t>
            </w:r>
          </w:p>
          <w:p w14:paraId="1217836F">
            <w:pPr>
              <w:pStyle w:val="46"/>
              <w:ind w:firstLine="48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生活垃圾</w:t>
            </w:r>
          </w:p>
          <w:p w14:paraId="29035611">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本项目职工定员为</w:t>
            </w:r>
            <w:r>
              <w:rPr>
                <w:rFonts w:hint="eastAsia" w:cs="宋体"/>
                <w:color w:val="auto"/>
                <w:highlight w:val="none"/>
                <w:lang w:val="en-US" w:eastAsia="zh-CN"/>
              </w:rPr>
              <w:t>30</w:t>
            </w:r>
            <w:r>
              <w:rPr>
                <w:rFonts w:hint="eastAsia" w:ascii="Times New Roman" w:hAnsi="Times New Roman" w:eastAsia="宋体" w:cs="宋体"/>
                <w:color w:val="auto"/>
                <w:highlight w:val="none"/>
                <w:lang w:val="en-US" w:eastAsia="zh-CN"/>
              </w:rPr>
              <w:t>人</w:t>
            </w:r>
            <w:r>
              <w:rPr>
                <w:rFonts w:hint="default"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lang w:val="en-US" w:eastAsia="zh-CN"/>
              </w:rPr>
              <w:t>均不住厂，</w:t>
            </w:r>
            <w:r>
              <w:rPr>
                <w:rFonts w:hint="default" w:ascii="Times New Roman" w:hAnsi="Times New Roman" w:eastAsia="宋体" w:cs="宋体"/>
                <w:color w:val="auto"/>
                <w:highlight w:val="none"/>
                <w:lang w:val="en-US" w:eastAsia="zh-CN"/>
              </w:rPr>
              <w:t>年工作日为</w:t>
            </w:r>
            <w:r>
              <w:rPr>
                <w:rFonts w:hint="eastAsia" w:cs="宋体"/>
                <w:color w:val="auto"/>
                <w:highlight w:val="none"/>
                <w:lang w:val="en-US" w:eastAsia="zh-CN"/>
              </w:rPr>
              <w:t>300</w:t>
            </w:r>
            <w:r>
              <w:rPr>
                <w:rFonts w:hint="default" w:ascii="Times New Roman" w:hAnsi="Times New Roman" w:eastAsia="宋体" w:cs="宋体"/>
                <w:color w:val="auto"/>
                <w:highlight w:val="none"/>
                <w:lang w:val="en-US" w:eastAsia="zh-CN"/>
              </w:rPr>
              <w:t>天。不住厂职工生活垃圾系数取0.</w:t>
            </w:r>
            <w:r>
              <w:rPr>
                <w:rFonts w:hint="eastAsia" w:ascii="Times New Roman" w:hAnsi="Times New Roman" w:eastAsia="宋体" w:cs="宋体"/>
                <w:color w:val="auto"/>
                <w:highlight w:val="none"/>
                <w:lang w:val="en-US" w:eastAsia="zh-CN"/>
              </w:rPr>
              <w:t>6</w:t>
            </w:r>
            <w:r>
              <w:rPr>
                <w:rFonts w:hint="default" w:ascii="Times New Roman" w:hAnsi="Times New Roman" w:eastAsia="宋体" w:cs="宋体"/>
                <w:color w:val="auto"/>
                <w:highlight w:val="none"/>
                <w:lang w:val="en-US" w:eastAsia="zh-CN"/>
              </w:rPr>
              <w:t>kg/人</w:t>
            </w:r>
            <w:r>
              <w:rPr>
                <w:rFonts w:hint="eastAsia" w:ascii="Times New Roman" w:hAnsi="Times New Roman" w:eastAsia="宋体" w:cs="宋体"/>
                <w:color w:val="auto"/>
                <w:highlight w:val="none"/>
                <w:lang w:val="en-US" w:eastAsia="zh-CN"/>
              </w:rPr>
              <w:t>·</w:t>
            </w:r>
            <w:r>
              <w:rPr>
                <w:rFonts w:hint="default" w:ascii="Times New Roman" w:hAnsi="Times New Roman" w:eastAsia="宋体" w:cs="宋体"/>
                <w:color w:val="auto"/>
                <w:highlight w:val="none"/>
                <w:lang w:val="en-US" w:eastAsia="zh-CN"/>
              </w:rPr>
              <w:t>日，则项目职工生活垃圾产生量为</w:t>
            </w:r>
            <w:r>
              <w:rPr>
                <w:rFonts w:hint="eastAsia" w:cs="宋体"/>
                <w:color w:val="auto"/>
                <w:highlight w:val="none"/>
                <w:lang w:val="en-US" w:eastAsia="zh-CN"/>
              </w:rPr>
              <w:t>18</w:t>
            </w:r>
            <w:r>
              <w:rPr>
                <w:rFonts w:hint="default" w:ascii="Times New Roman" w:hAnsi="Times New Roman" w:eastAsia="宋体" w:cs="宋体"/>
                <w:color w:val="auto"/>
                <w:highlight w:val="none"/>
                <w:lang w:val="en-US" w:eastAsia="zh-CN"/>
              </w:rPr>
              <w:t>kg/d，年产生量为</w:t>
            </w:r>
            <w:r>
              <w:rPr>
                <w:rFonts w:hint="eastAsia" w:cs="宋体"/>
                <w:color w:val="auto"/>
                <w:highlight w:val="none"/>
                <w:lang w:val="en-US" w:eastAsia="zh-CN"/>
              </w:rPr>
              <w:t>5.4</w:t>
            </w:r>
            <w:r>
              <w:rPr>
                <w:rFonts w:hint="default" w:ascii="Times New Roman" w:hAnsi="Times New Roman" w:eastAsia="宋体" w:cs="宋体"/>
                <w:color w:val="auto"/>
                <w:highlight w:val="none"/>
                <w:lang w:val="en-US" w:eastAsia="zh-CN"/>
              </w:rPr>
              <w:t>t。项目生活垃圾由环卫部门定期统一清运处理</w:t>
            </w:r>
            <w:r>
              <w:rPr>
                <w:rFonts w:hint="eastAsia" w:ascii="Times New Roman" w:hAnsi="Times New Roman" w:eastAsia="宋体" w:cs="宋体"/>
                <w:color w:val="auto"/>
                <w:highlight w:val="none"/>
                <w:lang w:val="en-US" w:eastAsia="zh-CN"/>
              </w:rPr>
              <w:t>。</w:t>
            </w:r>
          </w:p>
          <w:p w14:paraId="5CA41F8E">
            <w:pPr>
              <w:pStyle w:val="118"/>
              <w:spacing w:line="360" w:lineRule="auto"/>
              <w:jc w:val="both"/>
              <w:rPr>
                <w:rFonts w:hint="eastAsia"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2.</w:t>
            </w:r>
            <w:r>
              <w:rPr>
                <w:rFonts w:hint="eastAsia" w:ascii="Times New Roman" w:hAnsi="Times New Roman" w:eastAsia="宋体" w:cs="Times New Roman"/>
                <w:bCs/>
                <w:color w:val="auto"/>
                <w:highlight w:val="none"/>
                <w:lang w:val="en-US" w:eastAsia="zh-CN"/>
              </w:rPr>
              <w:t>一般工业固体废物</w:t>
            </w:r>
          </w:p>
          <w:p w14:paraId="44D27056">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①废一般包装材料</w:t>
            </w:r>
          </w:p>
          <w:p w14:paraId="6F7B2363">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项目原料、产品包装会产生少量的废包装材料，根据企业提供资料可知，废包装材料产生量约0.9t/a。废包装材料属于一般固废，外售处置。</w:t>
            </w:r>
          </w:p>
          <w:p w14:paraId="5C5D14B5">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②废金属料</w:t>
            </w:r>
          </w:p>
          <w:p w14:paraId="4B8C573C">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项目装配过程中会产生少量的废金属料，根据企业提供资料可知，废金属料产生量约10t/a。废金属料属于一般固废，委托合法合规单位回收利用或处置。</w:t>
            </w:r>
          </w:p>
          <w:p w14:paraId="3B79DAD9">
            <w:pPr>
              <w:pStyle w:val="115"/>
              <w:spacing w:before="39" w:line="218" w:lineRule="auto"/>
              <w:ind w:left="586"/>
              <w:rPr>
                <w:color w:val="auto"/>
                <w:sz w:val="24"/>
                <w:szCs w:val="24"/>
                <w:highlight w:val="none"/>
              </w:rPr>
            </w:pPr>
            <w:r>
              <w:rPr>
                <w:color w:val="auto"/>
                <w:spacing w:val="-3"/>
                <w:sz w:val="24"/>
                <w:szCs w:val="24"/>
                <w:highlight w:val="none"/>
              </w:rPr>
              <w:t>③焊渣</w:t>
            </w:r>
          </w:p>
          <w:p w14:paraId="1C8ADB22">
            <w:pPr>
              <w:pStyle w:val="115"/>
              <w:spacing w:before="184" w:line="345" w:lineRule="auto"/>
              <w:ind w:left="103" w:right="98" w:firstLine="484"/>
              <w:rPr>
                <w:color w:val="auto"/>
                <w:sz w:val="24"/>
                <w:szCs w:val="24"/>
                <w:highlight w:val="none"/>
              </w:rPr>
            </w:pPr>
            <w:r>
              <w:rPr>
                <w:color w:val="auto"/>
                <w:sz w:val="24"/>
                <w:szCs w:val="24"/>
                <w:highlight w:val="none"/>
              </w:rPr>
              <w:t>根据建设单位提供的资料以及类比同类型企业，项目焊接工序中会产生</w:t>
            </w:r>
            <w:r>
              <w:rPr>
                <w:color w:val="auto"/>
                <w:spacing w:val="1"/>
                <w:sz w:val="24"/>
                <w:szCs w:val="24"/>
                <w:highlight w:val="none"/>
              </w:rPr>
              <w:t>焊渣，焊渣的产生量约为原料使用量的</w:t>
            </w:r>
            <w:r>
              <w:rPr>
                <w:rFonts w:ascii="Times New Roman" w:hAnsi="Times New Roman" w:eastAsia="Times New Roman" w:cs="Times New Roman"/>
                <w:color w:val="auto"/>
                <w:spacing w:val="1"/>
                <w:sz w:val="24"/>
                <w:szCs w:val="24"/>
                <w:highlight w:val="none"/>
              </w:rPr>
              <w:t>10</w:t>
            </w:r>
            <w:r>
              <w:rPr>
                <w:rFonts w:hint="eastAsia" w:ascii="Times New Roman" w:hAnsi="Times New Roman" w:eastAsia="宋体" w:cs="Times New Roman"/>
                <w:color w:val="auto"/>
                <w:spacing w:val="1"/>
                <w:sz w:val="24"/>
                <w:szCs w:val="24"/>
                <w:highlight w:val="none"/>
                <w:lang w:eastAsia="zh-CN"/>
              </w:rPr>
              <w:t>%～</w:t>
            </w:r>
            <w:r>
              <w:rPr>
                <w:rFonts w:ascii="Times New Roman" w:hAnsi="Times New Roman" w:eastAsia="Times New Roman" w:cs="Times New Roman"/>
                <w:color w:val="auto"/>
                <w:spacing w:val="1"/>
                <w:sz w:val="24"/>
                <w:szCs w:val="24"/>
                <w:highlight w:val="none"/>
              </w:rPr>
              <w:t>20%</w:t>
            </w:r>
            <w:r>
              <w:rPr>
                <w:color w:val="auto"/>
                <w:spacing w:val="1"/>
                <w:sz w:val="24"/>
                <w:szCs w:val="24"/>
                <w:highlight w:val="none"/>
              </w:rPr>
              <w:t>。本评价考虑最不利条件以</w:t>
            </w:r>
            <w:r>
              <w:rPr>
                <w:rFonts w:ascii="Times New Roman" w:hAnsi="Times New Roman" w:eastAsia="Times New Roman" w:cs="Times New Roman"/>
                <w:color w:val="auto"/>
                <w:spacing w:val="2"/>
                <w:sz w:val="24"/>
                <w:szCs w:val="24"/>
                <w:highlight w:val="none"/>
              </w:rPr>
              <w:t>20%</w:t>
            </w:r>
            <w:r>
              <w:rPr>
                <w:color w:val="auto"/>
                <w:spacing w:val="2"/>
                <w:sz w:val="24"/>
                <w:szCs w:val="24"/>
                <w:highlight w:val="none"/>
              </w:rPr>
              <w:t>算，本项目焊材年用量</w:t>
            </w:r>
            <w:r>
              <w:rPr>
                <w:rFonts w:ascii="Times New Roman" w:hAnsi="Times New Roman" w:eastAsia="Times New Roman" w:cs="Times New Roman"/>
                <w:color w:val="auto"/>
                <w:spacing w:val="2"/>
                <w:sz w:val="24"/>
                <w:szCs w:val="24"/>
                <w:highlight w:val="none"/>
              </w:rPr>
              <w:t>20t</w:t>
            </w:r>
            <w:r>
              <w:rPr>
                <w:color w:val="auto"/>
                <w:spacing w:val="2"/>
                <w:sz w:val="24"/>
                <w:szCs w:val="24"/>
                <w:highlight w:val="none"/>
              </w:rPr>
              <w:t>，则焊渣的产生量约</w:t>
            </w:r>
            <w:r>
              <w:rPr>
                <w:rFonts w:ascii="Times New Roman" w:hAnsi="Times New Roman" w:eastAsia="Times New Roman" w:cs="Times New Roman"/>
                <w:color w:val="auto"/>
                <w:spacing w:val="2"/>
                <w:sz w:val="24"/>
                <w:szCs w:val="24"/>
                <w:highlight w:val="none"/>
              </w:rPr>
              <w:t>4t/</w:t>
            </w:r>
            <w:r>
              <w:rPr>
                <w:rFonts w:ascii="Times New Roman" w:hAnsi="Times New Roman" w:eastAsia="Times New Roman" w:cs="Times New Roman"/>
                <w:color w:val="auto"/>
                <w:spacing w:val="1"/>
                <w:sz w:val="24"/>
                <w:szCs w:val="24"/>
                <w:highlight w:val="none"/>
              </w:rPr>
              <w:t>a</w:t>
            </w:r>
            <w:r>
              <w:rPr>
                <w:color w:val="auto"/>
                <w:spacing w:val="1"/>
                <w:sz w:val="24"/>
                <w:szCs w:val="24"/>
                <w:highlight w:val="none"/>
              </w:rPr>
              <w:t>，收集后委托合法合</w:t>
            </w:r>
            <w:r>
              <w:rPr>
                <w:color w:val="auto"/>
                <w:spacing w:val="-1"/>
                <w:sz w:val="24"/>
                <w:szCs w:val="24"/>
                <w:highlight w:val="none"/>
              </w:rPr>
              <w:t>规单位回收利用或处置。</w:t>
            </w:r>
          </w:p>
          <w:p w14:paraId="14143F75">
            <w:pPr>
              <w:pStyle w:val="115"/>
              <w:spacing w:before="73" w:line="218" w:lineRule="auto"/>
              <w:ind w:left="586"/>
              <w:rPr>
                <w:color w:val="auto"/>
                <w:sz w:val="24"/>
                <w:szCs w:val="24"/>
                <w:highlight w:val="none"/>
              </w:rPr>
            </w:pPr>
            <w:r>
              <w:rPr>
                <w:color w:val="auto"/>
                <w:spacing w:val="-2"/>
                <w:sz w:val="24"/>
                <w:szCs w:val="24"/>
                <w:highlight w:val="none"/>
              </w:rPr>
              <w:t>④废金属灰</w:t>
            </w:r>
          </w:p>
          <w:p w14:paraId="56BBA475">
            <w:pPr>
              <w:pStyle w:val="115"/>
              <w:spacing w:before="184" w:line="359" w:lineRule="auto"/>
              <w:ind w:left="116" w:right="159" w:firstLine="473"/>
              <w:rPr>
                <w:color w:val="auto"/>
                <w:sz w:val="24"/>
                <w:szCs w:val="24"/>
                <w:highlight w:val="none"/>
              </w:rPr>
            </w:pPr>
            <w:r>
              <w:rPr>
                <w:rFonts w:hint="eastAsia"/>
                <w:color w:val="auto"/>
                <w:spacing w:val="-1"/>
                <w:sz w:val="24"/>
                <w:szCs w:val="24"/>
                <w:highlight w:val="none"/>
                <w:lang w:eastAsia="zh-CN"/>
              </w:rPr>
              <w:t>布袋</w:t>
            </w:r>
            <w:r>
              <w:rPr>
                <w:color w:val="auto"/>
                <w:spacing w:val="-1"/>
                <w:sz w:val="24"/>
                <w:szCs w:val="24"/>
                <w:highlight w:val="none"/>
              </w:rPr>
              <w:t>除尘器在处理焊接烟尘的过程中会</w:t>
            </w:r>
            <w:r>
              <w:rPr>
                <w:color w:val="auto"/>
                <w:spacing w:val="-2"/>
                <w:sz w:val="24"/>
                <w:szCs w:val="24"/>
                <w:highlight w:val="none"/>
              </w:rPr>
              <w:t>收集到被处理的废金属灰，</w:t>
            </w:r>
            <w:r>
              <w:rPr>
                <w:color w:val="auto"/>
                <w:sz w:val="24"/>
                <w:szCs w:val="24"/>
                <w:highlight w:val="none"/>
              </w:rPr>
              <w:t>收集量约为</w:t>
            </w:r>
            <w:r>
              <w:rPr>
                <w:rFonts w:ascii="Times New Roman" w:hAnsi="Times New Roman" w:eastAsia="Times New Roman" w:cs="Times New Roman"/>
                <w:color w:val="auto"/>
                <w:sz w:val="24"/>
                <w:szCs w:val="24"/>
                <w:highlight w:val="none"/>
              </w:rPr>
              <w:t>0.35t/a</w:t>
            </w:r>
            <w:r>
              <w:rPr>
                <w:color w:val="auto"/>
                <w:sz w:val="24"/>
                <w:szCs w:val="24"/>
                <w:highlight w:val="none"/>
              </w:rPr>
              <w:t>，定期收集后委托合法合规单位回收利用或处置。</w:t>
            </w:r>
          </w:p>
          <w:p w14:paraId="7591978E">
            <w:pPr>
              <w:spacing w:line="360" w:lineRule="auto"/>
              <w:ind w:firstLine="482"/>
              <w:rPr>
                <w:rFonts w:ascii="Times New Roman" w:hAnsi="Times New Roman"/>
                <w:color w:val="auto"/>
                <w:sz w:val="24"/>
                <w:highlight w:val="none"/>
              </w:rPr>
            </w:pPr>
            <w:r>
              <w:rPr>
                <w:rFonts w:hint="eastAsia"/>
                <w:color w:val="auto"/>
                <w:sz w:val="24"/>
                <w:highlight w:val="none"/>
                <w:lang w:eastAsia="zh-CN"/>
              </w:rPr>
              <w:t>3.</w:t>
            </w:r>
            <w:r>
              <w:rPr>
                <w:rFonts w:ascii="Times New Roman" w:hAnsi="Times New Roman"/>
                <w:color w:val="auto"/>
                <w:sz w:val="24"/>
                <w:highlight w:val="none"/>
              </w:rPr>
              <w:t>危险废物</w:t>
            </w:r>
          </w:p>
          <w:p w14:paraId="2AA590B6">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①废化学品包装</w:t>
            </w:r>
          </w:p>
          <w:p w14:paraId="19EE9381">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项目化学品使用会产生废包装，根据企业提供资料可知，废化学品包装产生量为0.2t/a，属于危险废物，危废类别为HW49，委托有资质单位处置。</w:t>
            </w:r>
          </w:p>
          <w:p w14:paraId="0EFCAD7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②废机油</w:t>
            </w:r>
          </w:p>
          <w:p w14:paraId="0A75DDA4">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项目生产设备维修保养过程会产生少量的废机油，废机油产生量约</w:t>
            </w:r>
          </w:p>
          <w:p w14:paraId="4C662702">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0.2t/a</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废机油属于危险废物，危废类别为HW08，委托有资质单位处置。</w:t>
            </w:r>
          </w:p>
          <w:p w14:paraId="4CD9204C">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③废弃纯水制备耗材</w:t>
            </w:r>
          </w:p>
          <w:p w14:paraId="177AA3A0">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纯水制备过程中会产生废RO膜、废过滤器、废离子交换树脂，产生量约0.1t/a，属于危险废物，危废类别为HW49，委托有资质单位处置。</w:t>
            </w:r>
          </w:p>
          <w:p w14:paraId="1B765AF9">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④废含油抹布手套</w:t>
            </w:r>
          </w:p>
          <w:p w14:paraId="29A05DCA">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项目装配、设备维护保养过程中会产生废含油抹布手套，产生量约0.4t/a。废含油抹布手套因沾染机油属于危险废物，危废类别为HW49，委托有资质单位处置。</w:t>
            </w:r>
          </w:p>
          <w:p w14:paraId="128D83F8">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⑤废活性炭</w:t>
            </w:r>
          </w:p>
          <w:p w14:paraId="6E211075">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本项目产生的有机废气利用活性炭吸附处理，为保证活性炭吸附活性，需定期更换活性炭，产生废活性炭，本项目活性炭一</w:t>
            </w:r>
            <w:r>
              <w:rPr>
                <w:rFonts w:hint="eastAsia" w:cs="Times New Roman"/>
                <w:color w:val="auto"/>
                <w:highlight w:val="none"/>
                <w:lang w:val="en-US" w:eastAsia="zh-CN"/>
              </w:rPr>
              <w:t>月</w:t>
            </w:r>
            <w:r>
              <w:rPr>
                <w:rFonts w:hint="eastAsia" w:ascii="Times New Roman" w:hAnsi="Times New Roman" w:eastAsia="宋体" w:cs="Times New Roman"/>
                <w:color w:val="auto"/>
                <w:highlight w:val="none"/>
                <w:lang w:val="en-US" w:eastAsia="zh-CN"/>
              </w:rPr>
              <w:t>更换一次。</w:t>
            </w:r>
          </w:p>
          <w:p w14:paraId="557B83E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eastAsia" w:cs="Times New Roman"/>
                <w:color w:val="auto"/>
                <w:highlight w:val="none"/>
                <w:lang w:val="en-US" w:eastAsia="zh-CN"/>
              </w:rPr>
              <w:t>前文</w:t>
            </w:r>
            <w:r>
              <w:rPr>
                <w:rFonts w:hint="eastAsia" w:ascii="Times New Roman" w:hAnsi="Times New Roman" w:eastAsia="宋体" w:cs="Times New Roman"/>
                <w:color w:val="auto"/>
                <w:highlight w:val="none"/>
                <w:lang w:val="en-US" w:eastAsia="zh-CN"/>
              </w:rPr>
              <w:t>计算结果，本项目废活性炭产生量为</w:t>
            </w:r>
            <w:r>
              <w:rPr>
                <w:rFonts w:hint="eastAsia" w:cs="Times New Roman"/>
                <w:color w:val="auto"/>
                <w:highlight w:val="none"/>
                <w:lang w:val="en-US" w:eastAsia="zh-CN"/>
              </w:rPr>
              <w:t>7.9599</w:t>
            </w:r>
            <w:r>
              <w:rPr>
                <w:rFonts w:hint="eastAsia" w:ascii="Times New Roman" w:hAnsi="Times New Roman" w:eastAsia="宋体" w:cs="Times New Roman"/>
                <w:color w:val="auto"/>
                <w:highlight w:val="none"/>
                <w:lang w:val="en-US" w:eastAsia="zh-CN"/>
              </w:rPr>
              <w:t>t/a，属于《国家危险废物名录》（202</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年版）中编号为HW49其他废物类，危废代码900-039-49，委托有资质单位处置。</w:t>
            </w:r>
          </w:p>
          <w:p w14:paraId="038B0C8E">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⑥废过滤物</w:t>
            </w:r>
          </w:p>
          <w:p w14:paraId="0440131B">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项目脱脂槽液由配套过滤装置滤去残渣后循环使用，产生废过滤物，产生量约0.8t/a，属于危险废物，危废类别为HW49，委托有资质单位处置。</w:t>
            </w:r>
          </w:p>
          <w:p w14:paraId="7A05FE91">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⑦废水处理污泥</w:t>
            </w:r>
          </w:p>
          <w:p w14:paraId="40E07529">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第二次全国污染源普查工业污染源产排污系数手册》（试用版）机械行业系数手册，本项目年使用絮凝剂约210kg/a、污泥产生率4.53t/t-絮凝剂，计算得出污泥产生量0.95t/a，属于危险废物，危废类别为HW17，委托有资质单位处置。</w:t>
            </w:r>
          </w:p>
          <w:p w14:paraId="49D18147">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⑧废油桶</w:t>
            </w:r>
          </w:p>
          <w:p w14:paraId="1F8555C4">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根据建设单位提供资料，项目厂内进购的液压油和润滑油的包装桶规格为20kg/桶，项目在生产过程中年用机油0.2t/a，则产生的废包装桶为10个，约0.2t/a，属于危险废物，危废类别为HW08，委托有资质单位处置。</w:t>
            </w:r>
          </w:p>
          <w:p w14:paraId="200485E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⑨废滤膜</w:t>
            </w:r>
          </w:p>
          <w:p w14:paraId="214E7BD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根据建设单位提供资料，项目超滤系统会产生废滤膜，产生量约0.4t/a，属于危险废物，危废类别为HW49，委托有资质单位处置。</w:t>
            </w:r>
          </w:p>
          <w:p w14:paraId="6BED42DF">
            <w:pPr>
              <w:pStyle w:val="115"/>
              <w:spacing w:before="1" w:line="217" w:lineRule="auto"/>
              <w:ind w:left="586"/>
              <w:rPr>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⑩</w:t>
            </w:r>
            <w:r>
              <w:rPr>
                <w:color w:val="auto"/>
                <w:spacing w:val="-2"/>
                <w:sz w:val="24"/>
                <w:szCs w:val="24"/>
                <w:highlight w:val="none"/>
              </w:rPr>
              <w:t>废涂料桶</w:t>
            </w:r>
          </w:p>
          <w:p w14:paraId="3EB1FD7D">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根据建设单位提供资料，项目电泳涂料使用过程会产生废涂料桶，产生量约0.4t/a，属于危险废物，危废类别为HW49，需委托具有危险废物经营许可证的单位处置，并严格执行危险废物转移联单制度。</w:t>
            </w:r>
          </w:p>
          <w:p w14:paraId="43BB6FB1">
            <w:pPr>
              <w:pStyle w:val="120"/>
              <w:rPr>
                <w:rFonts w:hint="eastAsia" w:cs="Times New Roman"/>
                <w:color w:val="auto"/>
                <w:highlight w:val="none"/>
                <w:lang w:val="en-US" w:eastAsia="zh-CN"/>
              </w:rPr>
            </w:pPr>
            <w:r>
              <w:rPr>
                <w:rFonts w:hint="eastAsia" w:ascii="微软雅黑" w:hAnsi="微软雅黑" w:eastAsia="微软雅黑" w:cs="微软雅黑"/>
                <w:color w:val="auto"/>
                <w:highlight w:val="none"/>
                <w:lang w:val="en-US" w:eastAsia="zh-CN"/>
              </w:rPr>
              <w:t>⑪</w:t>
            </w:r>
            <w:r>
              <w:rPr>
                <w:rFonts w:hint="eastAsia" w:cs="Times New Roman"/>
                <w:color w:val="auto"/>
                <w:highlight w:val="none"/>
                <w:lang w:val="en-US" w:eastAsia="zh-CN"/>
              </w:rPr>
              <w:t>废滤筒滤芯</w:t>
            </w:r>
          </w:p>
          <w:p w14:paraId="26403D7F">
            <w:pPr>
              <w:pStyle w:val="120"/>
              <w:rPr>
                <w:rFonts w:hint="default" w:cs="Times New Roman"/>
                <w:color w:val="auto"/>
                <w:highlight w:val="none"/>
                <w:lang w:val="en-US" w:eastAsia="zh-CN"/>
              </w:rPr>
            </w:pPr>
            <w:r>
              <w:rPr>
                <w:rFonts w:hint="default" w:cs="Times New Roman"/>
                <w:color w:val="auto"/>
                <w:highlight w:val="none"/>
                <w:lang w:val="en-US" w:eastAsia="zh-CN"/>
              </w:rPr>
              <w:t>项目喷粉线设滤芯回收装置回收塑粉，需定期更换，按1个季度更换一次计，每次产生滤芯约为0.5t，则滤芯年产生量为2.0t。滤芯属于《国家危险废物名录》（2025年版）中的HW49其他废物（含有或沾染毒性、感染性危险废物的废弃包装物、容器、过滤吸附介质），废物代码为900-041-49。经收集后暂存于危险废物贮存间，定期交由委托有危废资质的单位回收处理。</w:t>
            </w:r>
          </w:p>
          <w:p w14:paraId="0DDFC5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微软雅黑" w:hAnsi="微软雅黑" w:eastAsia="微软雅黑" w:cs="微软雅黑"/>
                <w:b w:val="0"/>
                <w:bCs w:val="0"/>
                <w:color w:val="auto"/>
                <w:spacing w:val="0"/>
                <w:position w:val="0"/>
                <w:sz w:val="24"/>
                <w:szCs w:val="24"/>
                <w:highlight w:val="none"/>
                <w:u w:val="none"/>
                <w:lang w:val="en-US" w:eastAsia="zh-CN"/>
              </w:rPr>
              <w:t>⑫</w:t>
            </w:r>
            <w:r>
              <w:rPr>
                <w:rFonts w:hint="eastAsia" w:ascii="Times New Roman" w:hAnsi="Times New Roman" w:eastAsia="宋体" w:cs="Times New Roman"/>
                <w:b w:val="0"/>
                <w:bCs w:val="0"/>
                <w:color w:val="auto"/>
                <w:spacing w:val="0"/>
                <w:position w:val="0"/>
                <w:sz w:val="24"/>
                <w:szCs w:val="24"/>
                <w:highlight w:val="none"/>
                <w:u w:val="none"/>
                <w:lang w:val="en-US" w:eastAsia="zh-CN"/>
              </w:rPr>
              <w:t>浮油</w:t>
            </w:r>
          </w:p>
          <w:p w14:paraId="76D5F06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宋体" w:hAnsi="宋体" w:eastAsia="宋体" w:cs="宋体"/>
                <w:color w:val="auto"/>
                <w:kern w:val="0"/>
                <w:position w:val="0"/>
                <w:sz w:val="24"/>
                <w:szCs w:val="24"/>
                <w:highlight w:val="none"/>
                <w:lang w:val="en-US" w:eastAsia="zh-CN" w:bidi="ar"/>
              </w:rPr>
              <w:t>项目脱脂槽设有油水分离装置，</w:t>
            </w:r>
            <w:r>
              <w:rPr>
                <w:rFonts w:hint="eastAsia" w:ascii="Times New Roman" w:hAnsi="Times New Roman" w:eastAsia="宋体" w:cs="Times New Roman"/>
                <w:b w:val="0"/>
                <w:bCs w:val="0"/>
                <w:color w:val="auto"/>
                <w:spacing w:val="0"/>
                <w:position w:val="0"/>
                <w:sz w:val="24"/>
                <w:szCs w:val="24"/>
                <w:highlight w:val="none"/>
                <w:u w:val="none"/>
                <w:lang w:val="en-US" w:eastAsia="zh-CN"/>
              </w:rPr>
              <w:t>脱脂槽槽液中含有的矿物油经</w:t>
            </w:r>
            <w:r>
              <w:rPr>
                <w:rFonts w:hint="eastAsia" w:ascii="宋体" w:hAnsi="宋体" w:eastAsia="宋体" w:cs="宋体"/>
                <w:color w:val="auto"/>
                <w:kern w:val="0"/>
                <w:position w:val="0"/>
                <w:sz w:val="24"/>
                <w:szCs w:val="24"/>
                <w:highlight w:val="none"/>
                <w:lang w:val="en-US" w:eastAsia="zh-CN" w:bidi="ar"/>
              </w:rPr>
              <w:t>油水分离装置处理后</w:t>
            </w:r>
            <w:r>
              <w:rPr>
                <w:rFonts w:hint="eastAsia" w:ascii="Times New Roman" w:hAnsi="Times New Roman" w:eastAsia="宋体" w:cs="Times New Roman"/>
                <w:b w:val="0"/>
                <w:bCs w:val="0"/>
                <w:color w:val="auto"/>
                <w:spacing w:val="0"/>
                <w:position w:val="0"/>
                <w:sz w:val="24"/>
                <w:szCs w:val="24"/>
                <w:highlight w:val="none"/>
                <w:u w:val="none"/>
                <w:lang w:val="en-US" w:eastAsia="zh-CN"/>
              </w:rPr>
              <w:t>，槽液回用于生产，</w:t>
            </w:r>
            <w:r>
              <w:rPr>
                <w:rFonts w:hint="eastAsia" w:ascii="宋体" w:hAnsi="宋体" w:eastAsia="宋体" w:cs="宋体"/>
                <w:color w:val="auto"/>
                <w:kern w:val="0"/>
                <w:position w:val="0"/>
                <w:sz w:val="24"/>
                <w:szCs w:val="24"/>
                <w:highlight w:val="none"/>
                <w:lang w:val="en-US" w:eastAsia="zh-CN" w:bidi="ar"/>
              </w:rPr>
              <w:t>油水分离装置分离的浮油</w:t>
            </w:r>
            <w:r>
              <w:rPr>
                <w:rFonts w:hint="eastAsia" w:ascii="Times New Roman" w:hAnsi="Times New Roman" w:eastAsia="宋体" w:cs="Times New Roman"/>
                <w:b w:val="0"/>
                <w:bCs w:val="0"/>
                <w:color w:val="auto"/>
                <w:spacing w:val="0"/>
                <w:position w:val="0"/>
                <w:sz w:val="24"/>
                <w:szCs w:val="24"/>
                <w:highlight w:val="none"/>
                <w:u w:val="none"/>
                <w:lang w:val="en-US" w:eastAsia="zh-CN"/>
              </w:rPr>
              <w:t>安排工人定期打捞，根据《国家危险废物名录》（</w:t>
            </w:r>
            <w:r>
              <w:rPr>
                <w:rFonts w:hint="default" w:ascii="Times New Roman" w:hAnsi="Times New Roman" w:eastAsia="宋体" w:cs="Times New Roman"/>
                <w:b w:val="0"/>
                <w:bCs w:val="0"/>
                <w:color w:val="auto"/>
                <w:spacing w:val="0"/>
                <w:position w:val="0"/>
                <w:sz w:val="24"/>
                <w:szCs w:val="24"/>
                <w:highlight w:val="none"/>
                <w:u w:val="none"/>
                <w:lang w:val="en-US" w:eastAsia="zh-CN"/>
              </w:rPr>
              <w:t>2025</w:t>
            </w:r>
            <w:r>
              <w:rPr>
                <w:rFonts w:hint="eastAsia" w:ascii="Times New Roman" w:hAnsi="Times New Roman" w:eastAsia="宋体" w:cs="Times New Roman"/>
                <w:b w:val="0"/>
                <w:bCs w:val="0"/>
                <w:color w:val="auto"/>
                <w:spacing w:val="0"/>
                <w:position w:val="0"/>
                <w:sz w:val="24"/>
                <w:szCs w:val="24"/>
                <w:highlight w:val="none"/>
                <w:u w:val="none"/>
                <w:lang w:val="en-US" w:eastAsia="zh-CN"/>
              </w:rPr>
              <w:t>年），其属于“</w:t>
            </w:r>
            <w:r>
              <w:rPr>
                <w:rFonts w:hint="default" w:ascii="Times New Roman" w:hAnsi="Times New Roman" w:eastAsia="宋体" w:cs="Times New Roman"/>
                <w:b w:val="0"/>
                <w:bCs w:val="0"/>
                <w:color w:val="auto"/>
                <w:spacing w:val="0"/>
                <w:position w:val="0"/>
                <w:sz w:val="24"/>
                <w:szCs w:val="24"/>
                <w:highlight w:val="none"/>
                <w:u w:val="none"/>
                <w:lang w:val="en-US" w:eastAsia="zh-CN"/>
              </w:rPr>
              <w:t xml:space="preserve">HW08 </w:t>
            </w:r>
            <w:r>
              <w:rPr>
                <w:rFonts w:hint="eastAsia" w:ascii="Times New Roman" w:hAnsi="Times New Roman" w:eastAsia="宋体" w:cs="Times New Roman"/>
                <w:b w:val="0"/>
                <w:bCs w:val="0"/>
                <w:color w:val="auto"/>
                <w:spacing w:val="0"/>
                <w:position w:val="0"/>
                <w:sz w:val="24"/>
                <w:szCs w:val="24"/>
                <w:highlight w:val="none"/>
                <w:u w:val="none"/>
                <w:lang w:val="en-US" w:eastAsia="zh-CN"/>
              </w:rPr>
              <w:t>废矿物油与含矿物油废物：含油废水处理中隔油、气浮、沉淀等处理过程中产生的浮油、浮渣和污泥</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不包括废水生化处理污泥</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”，废物代码为</w:t>
            </w:r>
            <w:r>
              <w:rPr>
                <w:rFonts w:hint="default" w:ascii="Times New Roman" w:hAnsi="Times New Roman" w:eastAsia="宋体" w:cs="Times New Roman"/>
                <w:b w:val="0"/>
                <w:bCs w:val="0"/>
                <w:color w:val="auto"/>
                <w:spacing w:val="0"/>
                <w:position w:val="0"/>
                <w:sz w:val="24"/>
                <w:szCs w:val="24"/>
                <w:highlight w:val="none"/>
                <w:u w:val="none"/>
                <w:lang w:val="en-US" w:eastAsia="zh-CN"/>
              </w:rPr>
              <w:t>900-2</w:t>
            </w:r>
            <w:r>
              <w:rPr>
                <w:rFonts w:hint="eastAsia" w:ascii="Times New Roman" w:hAnsi="Times New Roman" w:eastAsia="宋体" w:cs="Times New Roman"/>
                <w:b w:val="0"/>
                <w:bCs w:val="0"/>
                <w:color w:val="auto"/>
                <w:spacing w:val="0"/>
                <w:position w:val="0"/>
                <w:sz w:val="24"/>
                <w:szCs w:val="24"/>
                <w:highlight w:val="none"/>
                <w:u w:val="none"/>
                <w:lang w:val="en-US" w:eastAsia="zh-CN"/>
              </w:rPr>
              <w:t>10</w:t>
            </w:r>
            <w:r>
              <w:rPr>
                <w:rFonts w:hint="default" w:ascii="Times New Roman" w:hAnsi="Times New Roman" w:eastAsia="宋体" w:cs="Times New Roman"/>
                <w:b w:val="0"/>
                <w:bCs w:val="0"/>
                <w:color w:val="auto"/>
                <w:spacing w:val="0"/>
                <w:position w:val="0"/>
                <w:sz w:val="24"/>
                <w:szCs w:val="24"/>
                <w:highlight w:val="none"/>
                <w:u w:val="none"/>
                <w:lang w:val="en-US" w:eastAsia="zh-CN"/>
              </w:rPr>
              <w:t>-08</w:t>
            </w:r>
            <w:r>
              <w:rPr>
                <w:rFonts w:hint="eastAsia" w:ascii="Times New Roman" w:hAnsi="Times New Roman" w:eastAsia="宋体" w:cs="Times New Roman"/>
                <w:b w:val="0"/>
                <w:bCs w:val="0"/>
                <w:color w:val="auto"/>
                <w:spacing w:val="0"/>
                <w:position w:val="0"/>
                <w:sz w:val="24"/>
                <w:szCs w:val="24"/>
                <w:highlight w:val="none"/>
                <w:u w:val="none"/>
                <w:lang w:val="en-US" w:eastAsia="zh-CN"/>
              </w:rPr>
              <w:t>，打捞上来后用专用容器收集，暂存于危险废物贮存间，定期交由委托有危废资质的单位回收处理，产生量约</w:t>
            </w:r>
            <w:r>
              <w:rPr>
                <w:rFonts w:hint="default" w:ascii="Times New Roman" w:hAnsi="Times New Roman" w:eastAsia="宋体" w:cs="Times New Roman"/>
                <w:b w:val="0"/>
                <w:bCs w:val="0"/>
                <w:color w:val="auto"/>
                <w:spacing w:val="0"/>
                <w:position w:val="0"/>
                <w:sz w:val="24"/>
                <w:szCs w:val="24"/>
                <w:highlight w:val="none"/>
                <w:u w:val="none"/>
                <w:lang w:val="en-US" w:eastAsia="zh-CN"/>
              </w:rPr>
              <w:t>0.2t/a</w:t>
            </w:r>
            <w:r>
              <w:rPr>
                <w:rFonts w:hint="eastAsia" w:ascii="Times New Roman" w:hAnsi="Times New Roman" w:eastAsia="宋体" w:cs="Times New Roman"/>
                <w:b w:val="0"/>
                <w:bCs w:val="0"/>
                <w:color w:val="auto"/>
                <w:spacing w:val="0"/>
                <w:position w:val="0"/>
                <w:sz w:val="24"/>
                <w:szCs w:val="24"/>
                <w:highlight w:val="none"/>
                <w:u w:val="none"/>
                <w:lang w:val="en-US" w:eastAsia="zh-CN"/>
              </w:rPr>
              <w:t>。</w:t>
            </w:r>
          </w:p>
          <w:p w14:paraId="5A682C52">
            <w:pPr>
              <w:pStyle w:val="46"/>
              <w:ind w:firstLine="480"/>
              <w:rPr>
                <w:rFonts w:hint="default" w:eastAsia="宋体"/>
                <w:color w:val="auto"/>
                <w:highlight w:val="none"/>
                <w:lang w:val="en-US" w:eastAsia="zh-CN"/>
              </w:rPr>
            </w:pPr>
            <w:r>
              <w:rPr>
                <w:rFonts w:hint="eastAsia" w:ascii="微软雅黑" w:hAnsi="微软雅黑" w:eastAsia="微软雅黑" w:cs="微软雅黑"/>
                <w:color w:val="auto"/>
                <w:highlight w:val="none"/>
                <w:lang w:val="en-US" w:eastAsia="zh-CN"/>
              </w:rPr>
              <w:t>⑬</w:t>
            </w:r>
            <w:r>
              <w:rPr>
                <w:rFonts w:hint="eastAsia"/>
                <w:color w:val="auto"/>
                <w:highlight w:val="none"/>
                <w:lang w:val="en-US" w:eastAsia="zh-CN"/>
              </w:rPr>
              <w:t>废漆渣</w:t>
            </w:r>
          </w:p>
          <w:p w14:paraId="5F78E38B">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本项目喷漆作业中会产生漆渣，根据前文废气污染源强核算可知，预计漆渣产生量约为</w:t>
            </w:r>
            <w:r>
              <w:rPr>
                <w:rFonts w:hint="eastAsia"/>
                <w:color w:val="000000" w:themeColor="text1"/>
                <w:highlight w:val="none"/>
                <w:lang w:val="en-US" w:eastAsia="zh-CN"/>
                <w14:textFill>
                  <w14:solidFill>
                    <w14:schemeClr w14:val="tx1"/>
                  </w14:solidFill>
                </w14:textFill>
              </w:rPr>
              <w:t>1.6524‬</w:t>
            </w:r>
            <w:r>
              <w:rPr>
                <w:rFonts w:hint="eastAsia"/>
                <w:color w:val="000000" w:themeColor="text1"/>
                <w:highlight w:val="none"/>
                <w14:textFill>
                  <w14:solidFill>
                    <w14:schemeClr w14:val="tx1"/>
                  </w14:solidFill>
                </w14:textFill>
              </w:rPr>
              <w:t>t/a，本项目涉及</w:t>
            </w:r>
            <w:r>
              <w:rPr>
                <w:rFonts w:hint="eastAsia"/>
                <w:color w:val="000000" w:themeColor="text1"/>
                <w:highlight w:val="none"/>
                <w:lang w:val="en-US" w:eastAsia="zh-CN"/>
                <w14:textFill>
                  <w14:solidFill>
                    <w14:schemeClr w14:val="tx1"/>
                  </w14:solidFill>
                </w14:textFill>
              </w:rPr>
              <w:t>水性环氧酯涂料</w:t>
            </w:r>
            <w:r>
              <w:rPr>
                <w:rFonts w:hint="eastAsia"/>
                <w:color w:val="000000" w:themeColor="text1"/>
                <w:highlight w:val="none"/>
                <w14:textFill>
                  <w14:solidFill>
                    <w14:schemeClr w14:val="tx1"/>
                  </w14:solidFill>
                </w14:textFill>
              </w:rPr>
              <w:t>，但由于建设单位未对</w:t>
            </w:r>
            <w:r>
              <w:rPr>
                <w:rFonts w:hint="eastAsia"/>
                <w:color w:val="000000" w:themeColor="text1"/>
                <w:highlight w:val="none"/>
                <w:lang w:val="en-US" w:eastAsia="zh-CN"/>
                <w14:textFill>
                  <w14:solidFill>
                    <w14:schemeClr w14:val="tx1"/>
                  </w14:solidFill>
                </w14:textFill>
              </w:rPr>
              <w:t>水性环氧酯涂料</w:t>
            </w:r>
            <w:r>
              <w:rPr>
                <w:rFonts w:hint="eastAsia"/>
                <w:color w:val="000000" w:themeColor="text1"/>
                <w:highlight w:val="none"/>
                <w14:textFill>
                  <w14:solidFill>
                    <w14:schemeClr w14:val="tx1"/>
                  </w14:solidFill>
                </w14:textFill>
              </w:rPr>
              <w:t>漆渣进行危废鉴定，因此，本评价将漆渣全部按危险废物处置。</w:t>
            </w:r>
          </w:p>
          <w:p w14:paraId="1A983637">
            <w:pPr>
              <w:pStyle w:val="46"/>
              <w:ind w:firstLine="480"/>
              <w:rPr>
                <w:rFonts w:hint="eastAsia"/>
                <w:color w:val="auto"/>
                <w:highlight w:val="none"/>
                <w:lang w:val="en-US" w:eastAsia="zh-CN"/>
              </w:rPr>
            </w:pPr>
            <w:r>
              <w:rPr>
                <w:rFonts w:hint="eastAsia"/>
                <w:color w:val="auto"/>
                <w:highlight w:val="none"/>
                <w:lang w:val="en-US" w:eastAsia="zh-CN"/>
              </w:rPr>
              <w:t>⑭废槽液</w:t>
            </w:r>
          </w:p>
          <w:p w14:paraId="0FEFD5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微软雅黑" w:hAnsi="微软雅黑" w:eastAsia="微软雅黑" w:cs="微软雅黑"/>
                <w:color w:val="auto"/>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u w:val="none"/>
                <w:lang w:val="en-US" w:eastAsia="zh-CN"/>
              </w:rPr>
              <w:t>本项目脱脂槽、电泳槽等槽液日常循环使用，定期捞渣，脱脂槽设有油水分离装置，电泳槽设有超滤系统，以延长各槽液的使用寿命。但槽液循环使用一段时间后仍需排放，按2年更换1次槽液计算，废槽液总产生量为各槽容积之和除以更换周期，即（39.60+13.20+25.92+26.40+36.30+23.76+26.40+39.60+60.48+21.60+19.44）/2=166.35/2=83.18t/a。该废槽液属于《国家危险废物名录》（2025年版）</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HW17表面处理废物</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金属或者塑料表面酸（碱）洗、除油、除锈（不包括喷砂除锈）、洗涤、磷化、出光、化抛工艺产生的废腐蚀液、废洗涤液、废槽液、槽渣和废水处理污泥，废物代码为336-064-17。废槽液每2年更换一次，更换时联系危险废物运输公司到厂区内转运处置，不在厂区内贮存。</w:t>
            </w:r>
          </w:p>
          <w:p w14:paraId="3C635063">
            <w:pPr>
              <w:pStyle w:val="46"/>
              <w:ind w:firstLine="480"/>
              <w:rPr>
                <w:rFonts w:hint="eastAsia"/>
                <w:color w:val="auto"/>
                <w:highlight w:val="none"/>
              </w:rPr>
            </w:pPr>
            <w:r>
              <w:rPr>
                <w:color w:val="auto"/>
                <w:highlight w:val="none"/>
              </w:rPr>
              <w:t>本项目</w:t>
            </w:r>
            <w:r>
              <w:rPr>
                <w:rFonts w:hint="eastAsia"/>
                <w:color w:val="auto"/>
                <w:highlight w:val="none"/>
                <w:lang w:val="en-US" w:eastAsia="zh-CN"/>
              </w:rPr>
              <w:t>一般</w:t>
            </w:r>
            <w:r>
              <w:rPr>
                <w:color w:val="auto"/>
                <w:highlight w:val="none"/>
              </w:rPr>
              <w:t>固废</w:t>
            </w:r>
            <w:r>
              <w:rPr>
                <w:rFonts w:hint="eastAsia"/>
                <w:color w:val="auto"/>
                <w:highlight w:val="none"/>
                <w:lang w:val="en-US" w:eastAsia="zh-CN"/>
              </w:rPr>
              <w:t>与危险固废</w:t>
            </w:r>
            <w:r>
              <w:rPr>
                <w:color w:val="auto"/>
                <w:highlight w:val="none"/>
              </w:rPr>
              <w:t>产生情况及处置见</w:t>
            </w:r>
            <w:r>
              <w:rPr>
                <w:rFonts w:hint="eastAsia"/>
                <w:color w:val="auto"/>
                <w:highlight w:val="none"/>
              </w:rPr>
              <w:t>下表</w:t>
            </w:r>
            <w:r>
              <w:rPr>
                <w:rFonts w:hint="eastAsia"/>
                <w:color w:val="auto"/>
                <w:highlight w:val="none"/>
                <w:lang w:val="en-US" w:eastAsia="zh-CN"/>
              </w:rPr>
              <w:t>4.5-1与表4.5-2</w:t>
            </w:r>
            <w:r>
              <w:rPr>
                <w:rFonts w:hint="eastAsia"/>
                <w:color w:val="auto"/>
                <w:highlight w:val="none"/>
              </w:rPr>
              <w:t>。</w:t>
            </w:r>
            <w:bookmarkStart w:id="54" w:name="_Ref31352"/>
            <w:bookmarkStart w:id="55" w:name="_Ref28204"/>
            <w:bookmarkStart w:id="56" w:name="OLE_LINK21"/>
            <w:bookmarkStart w:id="57" w:name="OLE_LINK22"/>
          </w:p>
          <w:p w14:paraId="2399CA5C">
            <w:pPr>
              <w:pStyle w:val="44"/>
              <w:keepNext/>
              <w:keepLines/>
              <w:pageBreakBefore w:val="0"/>
              <w:widowControl w:val="0"/>
              <w:numPr>
                <w:ilvl w:val="7"/>
                <w:numId w:val="17"/>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一般</w:t>
            </w:r>
            <w:r>
              <w:rPr>
                <w:rFonts w:hint="eastAsia" w:ascii="Times New Roman" w:hAnsi="Times New Roman" w:eastAsia="宋体" w:cs="Times New Roman"/>
                <w:color w:val="auto"/>
                <w:highlight w:val="none"/>
                <w:lang w:val="en-US" w:eastAsia="zh-CN"/>
              </w:rPr>
              <w:t>固废产生情况及处置一览</w:t>
            </w:r>
            <w:bookmarkEnd w:id="54"/>
            <w:bookmarkEnd w:id="55"/>
            <w:r>
              <w:rPr>
                <w:rFonts w:hint="eastAsia" w:ascii="Times New Roman" w:hAnsi="Times New Roman" w:eastAsia="宋体" w:cs="Times New Roman"/>
                <w:color w:val="auto"/>
                <w:highlight w:val="none"/>
                <w:lang w:val="en-US" w:eastAsia="zh-CN"/>
              </w:rPr>
              <w:t>表</w:t>
            </w:r>
          </w:p>
          <w:tbl>
            <w:tblPr>
              <w:tblStyle w:val="34"/>
              <w:tblW w:w="89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6"/>
              <w:gridCol w:w="1263"/>
              <w:gridCol w:w="1316"/>
              <w:gridCol w:w="768"/>
              <w:gridCol w:w="966"/>
              <w:gridCol w:w="602"/>
              <w:gridCol w:w="736"/>
              <w:gridCol w:w="673"/>
              <w:gridCol w:w="686"/>
              <w:gridCol w:w="1478"/>
            </w:tblGrid>
            <w:tr w14:paraId="48244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36" w:type="dxa"/>
                  <w:tcBorders>
                    <w:bottom w:val="single" w:color="auto" w:sz="12" w:space="0"/>
                  </w:tcBorders>
                  <w:vAlign w:val="center"/>
                </w:tcPr>
                <w:p w14:paraId="44011DBE">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序号</w:t>
                  </w:r>
                </w:p>
              </w:tc>
              <w:tc>
                <w:tcPr>
                  <w:tcW w:w="1263" w:type="dxa"/>
                  <w:tcBorders>
                    <w:bottom w:val="single" w:color="auto" w:sz="12" w:space="0"/>
                  </w:tcBorders>
                  <w:vAlign w:val="center"/>
                </w:tcPr>
                <w:p w14:paraId="3668715C">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固废名称</w:t>
                  </w:r>
                </w:p>
              </w:tc>
              <w:tc>
                <w:tcPr>
                  <w:tcW w:w="1316" w:type="dxa"/>
                  <w:tcBorders>
                    <w:bottom w:val="single" w:color="auto" w:sz="12" w:space="0"/>
                  </w:tcBorders>
                  <w:vAlign w:val="center"/>
                </w:tcPr>
                <w:p w14:paraId="7619F536">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类别编号</w:t>
                  </w:r>
                </w:p>
              </w:tc>
              <w:tc>
                <w:tcPr>
                  <w:tcW w:w="768" w:type="dxa"/>
                  <w:tcBorders>
                    <w:bottom w:val="single" w:color="auto" w:sz="12" w:space="0"/>
                  </w:tcBorders>
                  <w:vAlign w:val="center"/>
                </w:tcPr>
                <w:p w14:paraId="13A84D21">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产生量</w:t>
                  </w:r>
                  <w:r>
                    <w:rPr>
                      <w:rFonts w:hint="eastAsia"/>
                      <w:b w:val="0"/>
                      <w:bCs w:val="0"/>
                      <w:color w:val="auto"/>
                      <w:sz w:val="21"/>
                      <w:szCs w:val="21"/>
                      <w:highlight w:val="none"/>
                      <w:lang w:eastAsia="zh-CN"/>
                    </w:rPr>
                    <w:t>（</w:t>
                  </w:r>
                  <w:r>
                    <w:rPr>
                      <w:rFonts w:ascii="Times New Roman" w:hAnsi="Times New Roman" w:eastAsia="宋体"/>
                      <w:b w:val="0"/>
                      <w:bCs w:val="0"/>
                      <w:color w:val="auto"/>
                      <w:sz w:val="21"/>
                      <w:szCs w:val="21"/>
                      <w:highlight w:val="none"/>
                    </w:rPr>
                    <w:t>t/a</w:t>
                  </w:r>
                  <w:r>
                    <w:rPr>
                      <w:rFonts w:hint="eastAsia"/>
                      <w:b w:val="0"/>
                      <w:bCs w:val="0"/>
                      <w:color w:val="auto"/>
                      <w:sz w:val="21"/>
                      <w:szCs w:val="21"/>
                      <w:highlight w:val="none"/>
                      <w:lang w:eastAsia="zh-CN"/>
                    </w:rPr>
                    <w:t>）</w:t>
                  </w:r>
                </w:p>
              </w:tc>
              <w:tc>
                <w:tcPr>
                  <w:tcW w:w="966" w:type="dxa"/>
                  <w:tcBorders>
                    <w:bottom w:val="single" w:color="auto" w:sz="12" w:space="0"/>
                  </w:tcBorders>
                  <w:vAlign w:val="center"/>
                </w:tcPr>
                <w:p w14:paraId="33B5A664">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产生工序及装置</w:t>
                  </w:r>
                </w:p>
              </w:tc>
              <w:tc>
                <w:tcPr>
                  <w:tcW w:w="602" w:type="dxa"/>
                  <w:tcBorders>
                    <w:bottom w:val="single" w:color="auto" w:sz="12" w:space="0"/>
                  </w:tcBorders>
                  <w:vAlign w:val="center"/>
                </w:tcPr>
                <w:p w14:paraId="13D22FA7">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形态</w:t>
                  </w:r>
                </w:p>
              </w:tc>
              <w:tc>
                <w:tcPr>
                  <w:tcW w:w="736" w:type="dxa"/>
                  <w:tcBorders>
                    <w:bottom w:val="single" w:color="auto" w:sz="12" w:space="0"/>
                  </w:tcBorders>
                  <w:vAlign w:val="center"/>
                </w:tcPr>
                <w:p w14:paraId="0EBCF044">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主要成分</w:t>
                  </w:r>
                </w:p>
              </w:tc>
              <w:tc>
                <w:tcPr>
                  <w:tcW w:w="673" w:type="dxa"/>
                  <w:tcBorders>
                    <w:bottom w:val="single" w:color="auto" w:sz="12" w:space="0"/>
                  </w:tcBorders>
                  <w:vAlign w:val="center"/>
                </w:tcPr>
                <w:p w14:paraId="4BDF008F">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有害成分</w:t>
                  </w:r>
                </w:p>
              </w:tc>
              <w:tc>
                <w:tcPr>
                  <w:tcW w:w="686" w:type="dxa"/>
                  <w:tcBorders>
                    <w:bottom w:val="single" w:color="auto" w:sz="12" w:space="0"/>
                  </w:tcBorders>
                  <w:vAlign w:val="center"/>
                </w:tcPr>
                <w:p w14:paraId="4F2BEC32">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产废规律</w:t>
                  </w:r>
                </w:p>
              </w:tc>
              <w:tc>
                <w:tcPr>
                  <w:tcW w:w="1478" w:type="dxa"/>
                  <w:tcBorders>
                    <w:bottom w:val="single" w:color="auto" w:sz="12" w:space="0"/>
                  </w:tcBorders>
                  <w:vAlign w:val="center"/>
                </w:tcPr>
                <w:p w14:paraId="72934220">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处置去向</w:t>
                  </w:r>
                </w:p>
              </w:tc>
            </w:tr>
            <w:tr w14:paraId="32256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3" w:hRule="atLeast"/>
              </w:trPr>
              <w:tc>
                <w:tcPr>
                  <w:tcW w:w="436" w:type="dxa"/>
                  <w:tcBorders>
                    <w:top w:val="single" w:color="auto" w:sz="12" w:space="0"/>
                    <w:tl2br w:val="nil"/>
                    <w:tr2bl w:val="nil"/>
                  </w:tcBorders>
                  <w:shd w:val="clear" w:color="auto" w:fill="auto"/>
                  <w:vAlign w:val="center"/>
                </w:tcPr>
                <w:p w14:paraId="2250481F">
                  <w:pPr>
                    <w:pStyle w:val="48"/>
                    <w:tabs>
                      <w:tab w:val="left" w:pos="0"/>
                    </w:tabs>
                    <w:ind w:left="0" w:leftChars="0" w:firstLine="0" w:firstLineChars="0"/>
                    <w:jc w:val="center"/>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1</w:t>
                  </w:r>
                </w:p>
              </w:tc>
              <w:tc>
                <w:tcPr>
                  <w:tcW w:w="1263" w:type="dxa"/>
                  <w:tcBorders>
                    <w:top w:val="single" w:color="auto" w:sz="12" w:space="0"/>
                    <w:tl2br w:val="nil"/>
                    <w:tr2bl w:val="nil"/>
                  </w:tcBorders>
                  <w:shd w:val="clear" w:color="auto" w:fill="auto"/>
                  <w:vAlign w:val="center"/>
                </w:tcPr>
                <w:p w14:paraId="217DBFE9">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废包装材料</w:t>
                  </w:r>
                </w:p>
              </w:tc>
              <w:tc>
                <w:tcPr>
                  <w:tcW w:w="1316" w:type="dxa"/>
                  <w:tcBorders>
                    <w:top w:val="single" w:color="auto" w:sz="12" w:space="0"/>
                    <w:tl2br w:val="nil"/>
                    <w:tr2bl w:val="nil"/>
                  </w:tcBorders>
                  <w:shd w:val="clear" w:color="auto" w:fill="auto"/>
                  <w:vAlign w:val="center"/>
                </w:tcPr>
                <w:p w14:paraId="0F5DA445">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rPr>
                    <w:t>339-001-07</w:t>
                  </w:r>
                </w:p>
              </w:tc>
              <w:tc>
                <w:tcPr>
                  <w:tcW w:w="768" w:type="dxa"/>
                  <w:tcBorders>
                    <w:top w:val="single" w:color="auto" w:sz="12" w:space="0"/>
                    <w:tl2br w:val="nil"/>
                    <w:tr2bl w:val="nil"/>
                  </w:tcBorders>
                  <w:shd w:val="clear" w:color="auto" w:fill="auto"/>
                  <w:vAlign w:val="center"/>
                </w:tcPr>
                <w:p w14:paraId="637CC664">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0.9</w:t>
                  </w:r>
                </w:p>
              </w:tc>
              <w:tc>
                <w:tcPr>
                  <w:tcW w:w="966" w:type="dxa"/>
                  <w:tcBorders>
                    <w:top w:val="single" w:color="auto" w:sz="12" w:space="0"/>
                    <w:tl2br w:val="nil"/>
                    <w:tr2bl w:val="nil"/>
                  </w:tcBorders>
                  <w:shd w:val="clear" w:color="auto" w:fill="auto"/>
                  <w:vAlign w:val="center"/>
                </w:tcPr>
                <w:p w14:paraId="2E022FAC">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包装工程</w:t>
                  </w:r>
                </w:p>
              </w:tc>
              <w:tc>
                <w:tcPr>
                  <w:tcW w:w="602" w:type="dxa"/>
                  <w:tcBorders>
                    <w:top w:val="single" w:color="auto" w:sz="12" w:space="0"/>
                    <w:tl2br w:val="nil"/>
                    <w:tr2bl w:val="nil"/>
                  </w:tcBorders>
                  <w:shd w:val="clear" w:color="auto" w:fill="auto"/>
                  <w:vAlign w:val="center"/>
                </w:tcPr>
                <w:p w14:paraId="3A52CE48">
                  <w:pPr>
                    <w:pStyle w:val="48"/>
                    <w:tabs>
                      <w:tab w:val="left" w:pos="0"/>
                    </w:tabs>
                    <w:ind w:left="0" w:leftChars="0" w:firstLine="0" w:firstLineChars="0"/>
                    <w:jc w:val="center"/>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固态</w:t>
                  </w:r>
                </w:p>
              </w:tc>
              <w:tc>
                <w:tcPr>
                  <w:tcW w:w="736" w:type="dxa"/>
                  <w:tcBorders>
                    <w:top w:val="single" w:color="auto" w:sz="12" w:space="0"/>
                    <w:tl2br w:val="nil"/>
                    <w:tr2bl w:val="nil"/>
                  </w:tcBorders>
                  <w:shd w:val="clear" w:color="auto" w:fill="auto"/>
                  <w:vAlign w:val="center"/>
                </w:tcPr>
                <w:p w14:paraId="3084EDDE">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纸板、塑料</w:t>
                  </w:r>
                </w:p>
              </w:tc>
              <w:tc>
                <w:tcPr>
                  <w:tcW w:w="673" w:type="dxa"/>
                  <w:tcBorders>
                    <w:top w:val="single" w:color="auto" w:sz="12" w:space="0"/>
                    <w:tl2br w:val="nil"/>
                    <w:tr2bl w:val="nil"/>
                  </w:tcBorders>
                  <w:shd w:val="clear" w:color="auto" w:fill="auto"/>
                  <w:vAlign w:val="center"/>
                </w:tcPr>
                <w:p w14:paraId="1839EDCE">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686" w:type="dxa"/>
                  <w:tcBorders>
                    <w:top w:val="single" w:color="auto" w:sz="12" w:space="0"/>
                    <w:tl2br w:val="nil"/>
                    <w:tr2bl w:val="nil"/>
                  </w:tcBorders>
                  <w:shd w:val="clear" w:color="auto" w:fill="auto"/>
                  <w:vAlign w:val="center"/>
                </w:tcPr>
                <w:p w14:paraId="73E10149">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rPr>
                    <w:t>间歇</w:t>
                  </w:r>
                </w:p>
              </w:tc>
              <w:tc>
                <w:tcPr>
                  <w:tcW w:w="1478" w:type="dxa"/>
                  <w:vMerge w:val="restart"/>
                  <w:tcBorders>
                    <w:top w:val="single" w:color="auto" w:sz="12" w:space="0"/>
                    <w:tl2br w:val="nil"/>
                    <w:tr2bl w:val="nil"/>
                  </w:tcBorders>
                  <w:vAlign w:val="center"/>
                </w:tcPr>
                <w:p w14:paraId="46CCD5F0">
                  <w:pPr>
                    <w:pStyle w:val="48"/>
                    <w:tabs>
                      <w:tab w:val="left" w:pos="0"/>
                    </w:tabs>
                    <w:rPr>
                      <w:rFonts w:hint="eastAsia" w:ascii="Times New Roman" w:hAnsi="Times New Roman" w:eastAsia="宋体"/>
                      <w:b w:val="0"/>
                      <w:bCs w:val="0"/>
                      <w:color w:val="auto"/>
                      <w:sz w:val="21"/>
                      <w:szCs w:val="21"/>
                      <w:highlight w:val="none"/>
                      <w:lang w:val="en-US" w:eastAsia="zh-CN"/>
                    </w:rPr>
                  </w:pPr>
                  <w:r>
                    <w:rPr>
                      <w:rFonts w:ascii="Times New Roman" w:hAnsi="Times New Roman" w:eastAsia="宋体"/>
                      <w:b w:val="0"/>
                      <w:bCs w:val="0"/>
                      <w:color w:val="auto"/>
                      <w:sz w:val="21"/>
                      <w:szCs w:val="21"/>
                      <w:highlight w:val="none"/>
                    </w:rPr>
                    <w:t>外售相关回收单</w:t>
                  </w:r>
                  <w:r>
                    <w:rPr>
                      <w:rFonts w:hint="eastAsia"/>
                      <w:b w:val="0"/>
                      <w:bCs w:val="0"/>
                      <w:color w:val="auto"/>
                      <w:sz w:val="21"/>
                      <w:szCs w:val="21"/>
                      <w:highlight w:val="none"/>
                      <w:lang w:val="en-US" w:eastAsia="zh-CN"/>
                    </w:rPr>
                    <w:t>位</w:t>
                  </w:r>
                </w:p>
              </w:tc>
            </w:tr>
            <w:tr w14:paraId="31E1F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36" w:type="dxa"/>
                  <w:tcBorders>
                    <w:tl2br w:val="nil"/>
                    <w:tr2bl w:val="nil"/>
                  </w:tcBorders>
                  <w:shd w:val="clear" w:color="auto" w:fill="auto"/>
                  <w:vAlign w:val="center"/>
                </w:tcPr>
                <w:p w14:paraId="49359BC1">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rPr>
                    <w:t>2</w:t>
                  </w:r>
                </w:p>
              </w:tc>
              <w:tc>
                <w:tcPr>
                  <w:tcW w:w="1263" w:type="dxa"/>
                  <w:tcBorders>
                    <w:tl2br w:val="nil"/>
                    <w:tr2bl w:val="nil"/>
                  </w:tcBorders>
                  <w:vAlign w:val="center"/>
                </w:tcPr>
                <w:p w14:paraId="50DFD1C5">
                  <w:pPr>
                    <w:pStyle w:val="48"/>
                    <w:tabs>
                      <w:tab w:val="left" w:pos="0"/>
                    </w:tabs>
                    <w:jc w:val="center"/>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cs="Times New Roman"/>
                      <w:color w:val="auto"/>
                      <w:sz w:val="21"/>
                      <w:highlight w:val="none"/>
                      <w:lang w:val="en-US" w:eastAsia="zh-CN"/>
                    </w:rPr>
                    <w:t>废金属料</w:t>
                  </w:r>
                </w:p>
              </w:tc>
              <w:tc>
                <w:tcPr>
                  <w:tcW w:w="1316" w:type="dxa"/>
                  <w:tcBorders>
                    <w:tl2br w:val="nil"/>
                    <w:tr2bl w:val="nil"/>
                  </w:tcBorders>
                  <w:vAlign w:val="center"/>
                </w:tcPr>
                <w:p w14:paraId="105C0F26">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900-003-62</w:t>
                  </w:r>
                </w:p>
              </w:tc>
              <w:tc>
                <w:tcPr>
                  <w:tcW w:w="768" w:type="dxa"/>
                  <w:tcBorders>
                    <w:tl2br w:val="nil"/>
                    <w:tr2bl w:val="nil"/>
                  </w:tcBorders>
                  <w:vAlign w:val="center"/>
                </w:tcPr>
                <w:p w14:paraId="174B26D4">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10</w:t>
                  </w:r>
                </w:p>
              </w:tc>
              <w:tc>
                <w:tcPr>
                  <w:tcW w:w="966" w:type="dxa"/>
                  <w:tcBorders>
                    <w:tl2br w:val="nil"/>
                    <w:tr2bl w:val="nil"/>
                  </w:tcBorders>
                  <w:vAlign w:val="center"/>
                </w:tcPr>
                <w:p w14:paraId="14D977C5">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焊接</w:t>
                  </w:r>
                </w:p>
              </w:tc>
              <w:tc>
                <w:tcPr>
                  <w:tcW w:w="602" w:type="dxa"/>
                  <w:tcBorders>
                    <w:tl2br w:val="nil"/>
                    <w:tr2bl w:val="nil"/>
                  </w:tcBorders>
                  <w:vAlign w:val="center"/>
                </w:tcPr>
                <w:p w14:paraId="009E5B7A">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736" w:type="dxa"/>
                  <w:tcBorders>
                    <w:tl2br w:val="nil"/>
                    <w:tr2bl w:val="nil"/>
                  </w:tcBorders>
                  <w:vAlign w:val="center"/>
                </w:tcPr>
                <w:p w14:paraId="5EE93477">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铁、钢、铝</w:t>
                  </w:r>
                  <w:r>
                    <w:rPr>
                      <w:rFonts w:hint="eastAsia" w:ascii="Times New Roman" w:hAnsi="Times New Roman" w:eastAsia="宋体" w:cs="Times New Roman"/>
                      <w:b w:val="0"/>
                      <w:bCs w:val="0"/>
                      <w:color w:val="auto"/>
                      <w:kern w:val="2"/>
                      <w:sz w:val="21"/>
                      <w:szCs w:val="21"/>
                      <w:highlight w:val="none"/>
                      <w:lang w:val="en-US" w:eastAsia="zh-CN" w:bidi="ar-SA"/>
                    </w:rPr>
                    <w:t>等</w:t>
                  </w:r>
                </w:p>
              </w:tc>
              <w:tc>
                <w:tcPr>
                  <w:tcW w:w="673" w:type="dxa"/>
                  <w:tcBorders>
                    <w:tl2br w:val="nil"/>
                    <w:tr2bl w:val="nil"/>
                  </w:tcBorders>
                  <w:vAlign w:val="center"/>
                </w:tcPr>
                <w:p w14:paraId="49E7C5D0">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w:t>
                  </w:r>
                </w:p>
              </w:tc>
              <w:tc>
                <w:tcPr>
                  <w:tcW w:w="686" w:type="dxa"/>
                  <w:tcBorders>
                    <w:tl2br w:val="nil"/>
                    <w:tr2bl w:val="nil"/>
                  </w:tcBorders>
                  <w:vAlign w:val="center"/>
                </w:tcPr>
                <w:p w14:paraId="57C80792">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1478" w:type="dxa"/>
                  <w:vMerge w:val="continue"/>
                  <w:tcBorders>
                    <w:tl2br w:val="nil"/>
                    <w:tr2bl w:val="nil"/>
                  </w:tcBorders>
                  <w:vAlign w:val="center"/>
                </w:tcPr>
                <w:p w14:paraId="715D88E5">
                  <w:pPr>
                    <w:pStyle w:val="48"/>
                    <w:tabs>
                      <w:tab w:val="left" w:pos="0"/>
                    </w:tabs>
                    <w:rPr>
                      <w:rFonts w:ascii="Times New Roman" w:hAnsi="Times New Roman" w:eastAsia="宋体"/>
                      <w:b w:val="0"/>
                      <w:bCs w:val="0"/>
                      <w:color w:val="auto"/>
                      <w:sz w:val="21"/>
                      <w:szCs w:val="21"/>
                      <w:highlight w:val="none"/>
                    </w:rPr>
                  </w:pPr>
                </w:p>
              </w:tc>
            </w:tr>
            <w:tr w14:paraId="1A5D7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436" w:type="dxa"/>
                  <w:tcBorders>
                    <w:tl2br w:val="nil"/>
                    <w:tr2bl w:val="nil"/>
                  </w:tcBorders>
                  <w:shd w:val="clear" w:color="auto" w:fill="auto"/>
                  <w:vAlign w:val="center"/>
                </w:tcPr>
                <w:p w14:paraId="038D13AD">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3</w:t>
                  </w:r>
                </w:p>
              </w:tc>
              <w:tc>
                <w:tcPr>
                  <w:tcW w:w="1263" w:type="dxa"/>
                  <w:tcBorders>
                    <w:tl2br w:val="nil"/>
                    <w:tr2bl w:val="nil"/>
                  </w:tcBorders>
                  <w:vAlign w:val="center"/>
                </w:tcPr>
                <w:p w14:paraId="3AF51B94">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b w:val="0"/>
                      <w:bCs w:val="0"/>
                      <w:color w:val="auto"/>
                      <w:sz w:val="21"/>
                      <w:szCs w:val="21"/>
                      <w:highlight w:val="none"/>
                      <w:lang w:val="en-US" w:eastAsia="zh-CN"/>
                    </w:rPr>
                    <w:t>焊渣</w:t>
                  </w:r>
                </w:p>
              </w:tc>
              <w:tc>
                <w:tcPr>
                  <w:tcW w:w="1316" w:type="dxa"/>
                  <w:tcBorders>
                    <w:tl2br w:val="nil"/>
                    <w:tr2bl w:val="nil"/>
                  </w:tcBorders>
                  <w:vAlign w:val="center"/>
                </w:tcPr>
                <w:p w14:paraId="4F2A33EF">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900-002-08</w:t>
                  </w:r>
                </w:p>
              </w:tc>
              <w:tc>
                <w:tcPr>
                  <w:tcW w:w="768" w:type="dxa"/>
                  <w:tcBorders>
                    <w:tl2br w:val="nil"/>
                    <w:tr2bl w:val="nil"/>
                  </w:tcBorders>
                  <w:vAlign w:val="center"/>
                </w:tcPr>
                <w:p w14:paraId="6A85E5FC">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w:t>
                  </w:r>
                </w:p>
              </w:tc>
              <w:tc>
                <w:tcPr>
                  <w:tcW w:w="966" w:type="dxa"/>
                  <w:tcBorders>
                    <w:tl2br w:val="nil"/>
                    <w:tr2bl w:val="nil"/>
                  </w:tcBorders>
                  <w:vAlign w:val="center"/>
                </w:tcPr>
                <w:p w14:paraId="33A65F02">
                  <w:pPr>
                    <w:pStyle w:val="48"/>
                    <w:tabs>
                      <w:tab w:val="left" w:pos="0"/>
                    </w:tabs>
                    <w:jc w:val="center"/>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lang w:val="en-US" w:eastAsia="zh-CN"/>
                    </w:rPr>
                    <w:t>焊接</w:t>
                  </w:r>
                </w:p>
              </w:tc>
              <w:tc>
                <w:tcPr>
                  <w:tcW w:w="602" w:type="dxa"/>
                  <w:tcBorders>
                    <w:tl2br w:val="nil"/>
                    <w:tr2bl w:val="nil"/>
                  </w:tcBorders>
                  <w:vAlign w:val="center"/>
                </w:tcPr>
                <w:p w14:paraId="6D18B735">
                  <w:pPr>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736" w:type="dxa"/>
                  <w:tcBorders>
                    <w:tl2br w:val="nil"/>
                    <w:tr2bl w:val="nil"/>
                  </w:tcBorders>
                  <w:vAlign w:val="center"/>
                </w:tcPr>
                <w:p w14:paraId="3E314634">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金属氧化物</w:t>
                  </w:r>
                </w:p>
              </w:tc>
              <w:tc>
                <w:tcPr>
                  <w:tcW w:w="673" w:type="dxa"/>
                  <w:tcBorders>
                    <w:tl2br w:val="nil"/>
                    <w:tr2bl w:val="nil"/>
                  </w:tcBorders>
                  <w:shd w:val="clear" w:color="auto" w:fill="auto"/>
                  <w:vAlign w:val="center"/>
                </w:tcPr>
                <w:p w14:paraId="68A6F50E">
                  <w:pPr>
                    <w:pStyle w:val="48"/>
                    <w:tabs>
                      <w:tab w:val="left" w:pos="0"/>
                    </w:tabs>
                    <w:ind w:left="0" w:leftChars="0"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686" w:type="dxa"/>
                  <w:tcBorders>
                    <w:tl2br w:val="nil"/>
                    <w:tr2bl w:val="nil"/>
                  </w:tcBorders>
                  <w:vAlign w:val="center"/>
                </w:tcPr>
                <w:p w14:paraId="7C2B26D0">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1478" w:type="dxa"/>
                  <w:vMerge w:val="continue"/>
                  <w:tcBorders>
                    <w:tl2br w:val="nil"/>
                    <w:tr2bl w:val="nil"/>
                  </w:tcBorders>
                  <w:vAlign w:val="center"/>
                </w:tcPr>
                <w:p w14:paraId="79FB660E">
                  <w:pPr>
                    <w:pStyle w:val="48"/>
                    <w:tabs>
                      <w:tab w:val="left" w:pos="0"/>
                    </w:tabs>
                    <w:rPr>
                      <w:rFonts w:ascii="Times New Roman" w:hAnsi="Times New Roman" w:eastAsia="宋体"/>
                      <w:b w:val="0"/>
                      <w:bCs w:val="0"/>
                      <w:color w:val="auto"/>
                      <w:sz w:val="21"/>
                      <w:szCs w:val="21"/>
                      <w:highlight w:val="none"/>
                    </w:rPr>
                  </w:pPr>
                </w:p>
              </w:tc>
            </w:tr>
            <w:tr w14:paraId="08C8B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5" w:hRule="atLeast"/>
              </w:trPr>
              <w:tc>
                <w:tcPr>
                  <w:tcW w:w="436" w:type="dxa"/>
                  <w:tcBorders>
                    <w:tl2br w:val="nil"/>
                    <w:tr2bl w:val="nil"/>
                  </w:tcBorders>
                  <w:shd w:val="clear" w:color="auto" w:fill="auto"/>
                  <w:vAlign w:val="center"/>
                </w:tcPr>
                <w:p w14:paraId="69400E40">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1263" w:type="dxa"/>
                  <w:tcBorders>
                    <w:tl2br w:val="nil"/>
                    <w:tr2bl w:val="nil"/>
                  </w:tcBorders>
                  <w:vAlign w:val="center"/>
                </w:tcPr>
                <w:p w14:paraId="0E631BD4">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废金属灰</w:t>
                  </w:r>
                </w:p>
              </w:tc>
              <w:tc>
                <w:tcPr>
                  <w:tcW w:w="1316" w:type="dxa"/>
                  <w:tcBorders>
                    <w:tl2br w:val="nil"/>
                    <w:tr2bl w:val="nil"/>
                  </w:tcBorders>
                  <w:vAlign w:val="center"/>
                </w:tcPr>
                <w:p w14:paraId="18D9D205">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rPr>
                    <w:t>900-004-6</w:t>
                  </w:r>
                  <w:r>
                    <w:rPr>
                      <w:rFonts w:hint="eastAsia" w:ascii="Times New Roman" w:hAnsi="Times New Roman" w:eastAsia="宋体"/>
                      <w:b w:val="0"/>
                      <w:bCs w:val="0"/>
                      <w:color w:val="auto"/>
                      <w:sz w:val="21"/>
                      <w:szCs w:val="21"/>
                      <w:highlight w:val="none"/>
                      <w:lang w:val="en-US" w:eastAsia="zh-CN"/>
                    </w:rPr>
                    <w:t>2</w:t>
                  </w:r>
                </w:p>
              </w:tc>
              <w:tc>
                <w:tcPr>
                  <w:tcW w:w="768" w:type="dxa"/>
                  <w:tcBorders>
                    <w:tl2br w:val="nil"/>
                    <w:tr2bl w:val="nil"/>
                  </w:tcBorders>
                  <w:vAlign w:val="center"/>
                </w:tcPr>
                <w:p w14:paraId="67F68A4A">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0.35</w:t>
                  </w:r>
                </w:p>
              </w:tc>
              <w:tc>
                <w:tcPr>
                  <w:tcW w:w="966" w:type="dxa"/>
                  <w:tcBorders>
                    <w:tl2br w:val="nil"/>
                    <w:tr2bl w:val="nil"/>
                  </w:tcBorders>
                  <w:vAlign w:val="center"/>
                </w:tcPr>
                <w:p w14:paraId="79ED4AFA">
                  <w:pPr>
                    <w:pStyle w:val="48"/>
                    <w:tabs>
                      <w:tab w:val="left" w:pos="0"/>
                    </w:tabs>
                    <w:jc w:val="center"/>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lang w:val="en-US" w:eastAsia="zh-CN"/>
                    </w:rPr>
                    <w:t>焊接</w:t>
                  </w:r>
                </w:p>
              </w:tc>
              <w:tc>
                <w:tcPr>
                  <w:tcW w:w="602" w:type="dxa"/>
                  <w:tcBorders>
                    <w:tl2br w:val="nil"/>
                    <w:tr2bl w:val="nil"/>
                  </w:tcBorders>
                  <w:vAlign w:val="center"/>
                </w:tcPr>
                <w:p w14:paraId="1AFC5CFA">
                  <w:pPr>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736" w:type="dxa"/>
                  <w:tcBorders>
                    <w:tl2br w:val="nil"/>
                    <w:tr2bl w:val="nil"/>
                  </w:tcBorders>
                  <w:vAlign w:val="center"/>
                </w:tcPr>
                <w:p w14:paraId="741E8915">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金属氧化物</w:t>
                  </w:r>
                </w:p>
              </w:tc>
              <w:tc>
                <w:tcPr>
                  <w:tcW w:w="673" w:type="dxa"/>
                  <w:tcBorders>
                    <w:tl2br w:val="nil"/>
                    <w:tr2bl w:val="nil"/>
                  </w:tcBorders>
                  <w:shd w:val="clear" w:color="auto" w:fill="auto"/>
                  <w:vAlign w:val="center"/>
                </w:tcPr>
                <w:p w14:paraId="53F3C305">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686" w:type="dxa"/>
                  <w:tcBorders>
                    <w:tl2br w:val="nil"/>
                    <w:tr2bl w:val="nil"/>
                  </w:tcBorders>
                  <w:vAlign w:val="center"/>
                </w:tcPr>
                <w:p w14:paraId="194008BD">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1478" w:type="dxa"/>
                  <w:vMerge w:val="continue"/>
                  <w:tcBorders>
                    <w:tl2br w:val="nil"/>
                    <w:tr2bl w:val="nil"/>
                  </w:tcBorders>
                  <w:vAlign w:val="center"/>
                </w:tcPr>
                <w:p w14:paraId="4A5B3F0D">
                  <w:pPr>
                    <w:pStyle w:val="48"/>
                    <w:tabs>
                      <w:tab w:val="left" w:pos="0"/>
                    </w:tabs>
                    <w:rPr>
                      <w:rFonts w:ascii="Times New Roman" w:hAnsi="Times New Roman" w:eastAsia="宋体"/>
                      <w:b w:val="0"/>
                      <w:bCs w:val="0"/>
                      <w:color w:val="auto"/>
                      <w:sz w:val="21"/>
                      <w:szCs w:val="21"/>
                      <w:highlight w:val="none"/>
                    </w:rPr>
                  </w:pPr>
                </w:p>
              </w:tc>
            </w:tr>
            <w:tr w14:paraId="113E7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3015" w:type="dxa"/>
                  <w:gridSpan w:val="3"/>
                  <w:tcBorders>
                    <w:tl2br w:val="nil"/>
                    <w:tr2bl w:val="nil"/>
                  </w:tcBorders>
                  <w:vAlign w:val="center"/>
                </w:tcPr>
                <w:p w14:paraId="4056B840">
                  <w:pPr>
                    <w:pStyle w:val="48"/>
                    <w:tabs>
                      <w:tab w:val="left" w:pos="0"/>
                    </w:tabs>
                    <w:ind w:left="0" w:leftChars="0" w:firstLine="0" w:firstLineChars="0"/>
                    <w:rPr>
                      <w:rFonts w:hint="eastAsia" w:ascii="Times New Roman" w:hAnsi="Times New Roman" w:eastAsia="宋体"/>
                      <w:b w:val="0"/>
                      <w:bCs w:val="0"/>
                      <w:color w:val="auto"/>
                      <w:sz w:val="21"/>
                      <w:szCs w:val="21"/>
                      <w:highlight w:val="none"/>
                      <w:lang w:eastAsia="zh-CN"/>
                    </w:rPr>
                  </w:pPr>
                  <w:r>
                    <w:rPr>
                      <w:rFonts w:ascii="Times New Roman" w:hAnsi="Times New Roman" w:eastAsia="宋体"/>
                      <w:b w:val="0"/>
                      <w:bCs w:val="0"/>
                      <w:color w:val="auto"/>
                      <w:sz w:val="21"/>
                      <w:szCs w:val="21"/>
                      <w:highlight w:val="none"/>
                    </w:rPr>
                    <w:t>一般工业固废合计</w:t>
                  </w:r>
                  <w:r>
                    <w:rPr>
                      <w:rFonts w:hint="eastAsia" w:ascii="Times New Roman" w:hAnsi="Times New Roman" w:eastAsia="宋体"/>
                      <w:b w:val="0"/>
                      <w:bCs w:val="0"/>
                      <w:color w:val="auto"/>
                      <w:sz w:val="21"/>
                      <w:szCs w:val="21"/>
                      <w:highlight w:val="none"/>
                      <w:lang w:eastAsia="zh-CN"/>
                    </w:rPr>
                    <w:t>（</w:t>
                  </w:r>
                  <w:r>
                    <w:rPr>
                      <w:rFonts w:ascii="Times New Roman" w:hAnsi="Times New Roman" w:eastAsia="宋体"/>
                      <w:b w:val="0"/>
                      <w:bCs w:val="0"/>
                      <w:color w:val="auto"/>
                      <w:sz w:val="21"/>
                      <w:szCs w:val="21"/>
                      <w:highlight w:val="none"/>
                    </w:rPr>
                    <w:t>t/a</w:t>
                  </w:r>
                  <w:r>
                    <w:rPr>
                      <w:rFonts w:hint="eastAsia" w:ascii="Times New Roman" w:hAnsi="Times New Roman" w:eastAsia="宋体"/>
                      <w:b w:val="0"/>
                      <w:bCs w:val="0"/>
                      <w:color w:val="auto"/>
                      <w:sz w:val="21"/>
                      <w:szCs w:val="21"/>
                      <w:highlight w:val="none"/>
                      <w:lang w:eastAsia="zh-CN"/>
                    </w:rPr>
                    <w:t>）</w:t>
                  </w:r>
                </w:p>
              </w:tc>
              <w:tc>
                <w:tcPr>
                  <w:tcW w:w="5909" w:type="dxa"/>
                  <w:gridSpan w:val="7"/>
                  <w:tcBorders>
                    <w:tl2br w:val="nil"/>
                    <w:tr2bl w:val="nil"/>
                  </w:tcBorders>
                  <w:shd w:val="clear" w:color="auto" w:fill="auto"/>
                  <w:vAlign w:val="center"/>
                </w:tcPr>
                <w:p w14:paraId="6C52A1C9">
                  <w:pPr>
                    <w:pStyle w:val="48"/>
                    <w:tabs>
                      <w:tab w:val="left" w:pos="0"/>
                    </w:tabs>
                    <w:ind w:left="0" w:leftChars="0" w:firstLine="0" w:firstLineChars="0"/>
                    <w:rPr>
                      <w:rFonts w:hint="default" w:ascii="Times New Roman" w:hAnsi="Times New Roman" w:eastAsia="宋体" w:cs="宋体"/>
                      <w:i w:val="0"/>
                      <w:iCs w:val="0"/>
                      <w:color w:val="auto"/>
                      <w:kern w:val="2"/>
                      <w:sz w:val="21"/>
                      <w:szCs w:val="22"/>
                      <w:highlight w:val="none"/>
                      <w:u w:val="none"/>
                      <w:lang w:val="en-US" w:eastAsia="zh-CN" w:bidi="ar-SA"/>
                    </w:rPr>
                  </w:pPr>
                  <w:r>
                    <w:rPr>
                      <w:rFonts w:hint="eastAsia" w:ascii="Times New Roman" w:hAnsi="Times New Roman" w:eastAsia="宋体" w:cs="宋体"/>
                      <w:i w:val="0"/>
                      <w:iCs w:val="0"/>
                      <w:color w:val="auto"/>
                      <w:kern w:val="2"/>
                      <w:sz w:val="21"/>
                      <w:szCs w:val="22"/>
                      <w:highlight w:val="none"/>
                      <w:u w:val="none"/>
                      <w:lang w:val="en-US" w:eastAsia="zh-CN" w:bidi="ar-SA"/>
                    </w:rPr>
                    <w:t>15.25</w:t>
                  </w:r>
                </w:p>
              </w:tc>
            </w:tr>
            <w:tr w14:paraId="01068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1699" w:type="dxa"/>
                  <w:gridSpan w:val="2"/>
                  <w:tcBorders>
                    <w:tl2br w:val="nil"/>
                    <w:tr2bl w:val="nil"/>
                  </w:tcBorders>
                  <w:vAlign w:val="center"/>
                </w:tcPr>
                <w:p w14:paraId="2393A445">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生活</w:t>
                  </w:r>
                </w:p>
                <w:p w14:paraId="6711676B">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垃圾</w:t>
                  </w:r>
                </w:p>
              </w:tc>
              <w:tc>
                <w:tcPr>
                  <w:tcW w:w="1316" w:type="dxa"/>
                  <w:tcBorders>
                    <w:tl2br w:val="nil"/>
                    <w:tr2bl w:val="nil"/>
                  </w:tcBorders>
                  <w:vAlign w:val="center"/>
                </w:tcPr>
                <w:p w14:paraId="746EF89F">
                  <w:pPr>
                    <w:pStyle w:val="48"/>
                    <w:tabs>
                      <w:tab w:val="left" w:pos="0"/>
                    </w:tabs>
                    <w:ind w:left="0" w:leftChars="0" w:firstLine="0" w:firstLineChars="0"/>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val="en-US" w:eastAsia="zh-CN"/>
                    </w:rPr>
                    <w:t>/</w:t>
                  </w:r>
                </w:p>
              </w:tc>
              <w:tc>
                <w:tcPr>
                  <w:tcW w:w="768" w:type="dxa"/>
                  <w:tcBorders>
                    <w:tl2br w:val="nil"/>
                    <w:tr2bl w:val="nil"/>
                  </w:tcBorders>
                  <w:vAlign w:val="center"/>
                </w:tcPr>
                <w:p w14:paraId="7A30D2D2">
                  <w:pPr>
                    <w:pStyle w:val="48"/>
                    <w:tabs>
                      <w:tab w:val="left" w:pos="0"/>
                    </w:tabs>
                    <w:ind w:left="0" w:leftChars="0" w:firstLine="0" w:firstLineChars="0"/>
                    <w:rPr>
                      <w:rFonts w:hint="default" w:ascii="Times New Roman" w:hAnsi="Times New Roman" w:eastAsia="宋体"/>
                      <w:b w:val="0"/>
                      <w:bCs w:val="0"/>
                      <w:color w:val="auto"/>
                      <w:sz w:val="21"/>
                      <w:szCs w:val="21"/>
                      <w:highlight w:val="none"/>
                      <w:lang w:val="en-US"/>
                    </w:rPr>
                  </w:pPr>
                  <w:r>
                    <w:rPr>
                      <w:rFonts w:hint="eastAsia" w:ascii="Times New Roman" w:hAnsi="Times New Roman" w:eastAsia="宋体"/>
                      <w:b w:val="0"/>
                      <w:bCs w:val="0"/>
                      <w:color w:val="auto"/>
                      <w:sz w:val="21"/>
                      <w:szCs w:val="21"/>
                      <w:highlight w:val="none"/>
                      <w:lang w:val="en-US" w:eastAsia="zh-CN"/>
                    </w:rPr>
                    <w:t>5.4</w:t>
                  </w:r>
                </w:p>
              </w:tc>
              <w:tc>
                <w:tcPr>
                  <w:tcW w:w="966" w:type="dxa"/>
                  <w:tcBorders>
                    <w:tl2br w:val="nil"/>
                    <w:tr2bl w:val="nil"/>
                  </w:tcBorders>
                  <w:vAlign w:val="center"/>
                </w:tcPr>
                <w:p w14:paraId="0AB516B4">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员工</w:t>
                  </w:r>
                </w:p>
                <w:p w14:paraId="128C0255">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生活</w:t>
                  </w:r>
                </w:p>
              </w:tc>
              <w:tc>
                <w:tcPr>
                  <w:tcW w:w="602" w:type="dxa"/>
                  <w:tcBorders>
                    <w:tl2br w:val="nil"/>
                    <w:tr2bl w:val="nil"/>
                  </w:tcBorders>
                  <w:vAlign w:val="center"/>
                </w:tcPr>
                <w:p w14:paraId="570D66D2">
                  <w:pPr>
                    <w:pStyle w:val="48"/>
                    <w:tabs>
                      <w:tab w:val="left" w:pos="0"/>
                    </w:tabs>
                    <w:ind w:left="0" w:leftChars="0" w:firstLine="0" w:firstLineChars="0"/>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736" w:type="dxa"/>
                  <w:tcBorders>
                    <w:tl2br w:val="nil"/>
                    <w:tr2bl w:val="nil"/>
                  </w:tcBorders>
                  <w:vAlign w:val="center"/>
                </w:tcPr>
                <w:p w14:paraId="1FDA7665">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果皮、纸屑</w:t>
                  </w:r>
                </w:p>
              </w:tc>
              <w:tc>
                <w:tcPr>
                  <w:tcW w:w="673" w:type="dxa"/>
                  <w:tcBorders>
                    <w:tl2br w:val="nil"/>
                    <w:tr2bl w:val="nil"/>
                  </w:tcBorders>
                  <w:vAlign w:val="center"/>
                </w:tcPr>
                <w:p w14:paraId="3BDE31D2">
                  <w:pPr>
                    <w:pStyle w:val="48"/>
                    <w:tabs>
                      <w:tab w:val="left" w:pos="0"/>
                    </w:tabs>
                    <w:ind w:left="0" w:leftChars="0" w:firstLine="0" w:firstLineChars="0"/>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w:t>
                  </w:r>
                </w:p>
              </w:tc>
              <w:tc>
                <w:tcPr>
                  <w:tcW w:w="686" w:type="dxa"/>
                  <w:tcBorders>
                    <w:tl2br w:val="nil"/>
                    <w:tr2bl w:val="nil"/>
                  </w:tcBorders>
                  <w:vAlign w:val="center"/>
                </w:tcPr>
                <w:p w14:paraId="7F895AA2">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持续</w:t>
                  </w:r>
                </w:p>
              </w:tc>
              <w:tc>
                <w:tcPr>
                  <w:tcW w:w="1478" w:type="dxa"/>
                  <w:tcBorders>
                    <w:tl2br w:val="nil"/>
                    <w:tr2bl w:val="nil"/>
                  </w:tcBorders>
                  <w:vAlign w:val="center"/>
                </w:tcPr>
                <w:p w14:paraId="5C16E534">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委托环卫部门统一清运处置</w:t>
                  </w:r>
                </w:p>
              </w:tc>
            </w:tr>
          </w:tbl>
          <w:p w14:paraId="574AD74E">
            <w:pPr>
              <w:pStyle w:val="44"/>
              <w:keepNext/>
              <w:keepLines/>
              <w:pageBreakBefore w:val="0"/>
              <w:widowControl w:val="0"/>
              <w:numPr>
                <w:ilvl w:val="7"/>
                <w:numId w:val="17"/>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危险</w:t>
            </w:r>
            <w:r>
              <w:rPr>
                <w:rFonts w:hint="eastAsia" w:ascii="Times New Roman" w:hAnsi="Times New Roman" w:eastAsia="宋体" w:cs="Times New Roman"/>
                <w:color w:val="auto"/>
                <w:highlight w:val="none"/>
                <w:lang w:val="en-US" w:eastAsia="zh-CN"/>
              </w:rPr>
              <w:t>固废产生情况及处置一览表</w:t>
            </w:r>
          </w:p>
          <w:tbl>
            <w:tblPr>
              <w:tblStyle w:val="86"/>
              <w:tblW w:w="89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3"/>
              <w:gridCol w:w="744"/>
              <w:gridCol w:w="639"/>
              <w:gridCol w:w="1050"/>
              <w:gridCol w:w="646"/>
              <w:gridCol w:w="818"/>
              <w:gridCol w:w="350"/>
              <w:gridCol w:w="562"/>
              <w:gridCol w:w="1170"/>
              <w:gridCol w:w="397"/>
              <w:gridCol w:w="834"/>
              <w:gridCol w:w="1426"/>
            </w:tblGrid>
            <w:tr w14:paraId="50F48A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bottom w:val="single" w:color="000000" w:sz="12" w:space="0"/>
                  </w:tcBorders>
                  <w:textDirection w:val="tbRlV"/>
                  <w:vAlign w:val="center"/>
                </w:tcPr>
                <w:p w14:paraId="647CC9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7"/>
                      <w:sz w:val="21"/>
                      <w:highlight w:val="none"/>
                    </w:rPr>
                    <w:t>序号</w:t>
                  </w:r>
                </w:p>
              </w:tc>
              <w:tc>
                <w:tcPr>
                  <w:tcW w:w="744" w:type="dxa"/>
                  <w:tcBorders>
                    <w:bottom w:val="single" w:color="000000" w:sz="12" w:space="0"/>
                  </w:tcBorders>
                  <w:vAlign w:val="center"/>
                </w:tcPr>
                <w:p w14:paraId="7E770C5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3FB3636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物名称</w:t>
                  </w:r>
                </w:p>
              </w:tc>
              <w:tc>
                <w:tcPr>
                  <w:tcW w:w="639" w:type="dxa"/>
                  <w:tcBorders>
                    <w:bottom w:val="single" w:color="000000" w:sz="12" w:space="0"/>
                  </w:tcBorders>
                  <w:vAlign w:val="center"/>
                </w:tcPr>
                <w:p w14:paraId="3ED6F85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5480844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物类别</w:t>
                  </w:r>
                </w:p>
              </w:tc>
              <w:tc>
                <w:tcPr>
                  <w:tcW w:w="1050" w:type="dxa"/>
                  <w:tcBorders>
                    <w:bottom w:val="single" w:color="000000" w:sz="12" w:space="0"/>
                  </w:tcBorders>
                  <w:vAlign w:val="center"/>
                </w:tcPr>
                <w:p w14:paraId="0646F9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363AF09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物代码</w:t>
                  </w:r>
                </w:p>
              </w:tc>
              <w:tc>
                <w:tcPr>
                  <w:tcW w:w="646" w:type="dxa"/>
                  <w:tcBorders>
                    <w:bottom w:val="single" w:color="000000" w:sz="12" w:space="0"/>
                  </w:tcBorders>
                  <w:vAlign w:val="center"/>
                </w:tcPr>
                <w:p w14:paraId="5F1FD84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产生量</w:t>
                  </w:r>
                </w:p>
                <w:p w14:paraId="43EF2F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818" w:type="dxa"/>
                  <w:tcBorders>
                    <w:bottom w:val="single" w:color="000000" w:sz="12" w:space="0"/>
                  </w:tcBorders>
                  <w:vAlign w:val="center"/>
                </w:tcPr>
                <w:p w14:paraId="3939E81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产生工</w:t>
                  </w:r>
                </w:p>
                <w:p w14:paraId="54C8AEC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序及装</w:t>
                  </w:r>
                </w:p>
                <w:p w14:paraId="4AF983A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z w:val="21"/>
                      <w:highlight w:val="none"/>
                    </w:rPr>
                    <w:t>置</w:t>
                  </w:r>
                </w:p>
              </w:tc>
              <w:tc>
                <w:tcPr>
                  <w:tcW w:w="350" w:type="dxa"/>
                  <w:tcBorders>
                    <w:bottom w:val="single" w:color="000000" w:sz="12" w:space="0"/>
                  </w:tcBorders>
                  <w:vAlign w:val="center"/>
                </w:tcPr>
                <w:p w14:paraId="1C8B3B8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2"/>
                      <w:sz w:val="21"/>
                      <w:highlight w:val="none"/>
                    </w:rPr>
                    <w:t>形态</w:t>
                  </w:r>
                </w:p>
              </w:tc>
              <w:tc>
                <w:tcPr>
                  <w:tcW w:w="562" w:type="dxa"/>
                  <w:tcBorders>
                    <w:bottom w:val="single" w:color="000000" w:sz="12" w:space="0"/>
                  </w:tcBorders>
                  <w:vAlign w:val="center"/>
                </w:tcPr>
                <w:p w14:paraId="01C5B83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主要</w:t>
                  </w:r>
                </w:p>
                <w:p w14:paraId="46E77D1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成分</w:t>
                  </w:r>
                </w:p>
              </w:tc>
              <w:tc>
                <w:tcPr>
                  <w:tcW w:w="1170" w:type="dxa"/>
                  <w:tcBorders>
                    <w:bottom w:val="single" w:color="000000" w:sz="12" w:space="0"/>
                  </w:tcBorders>
                  <w:vAlign w:val="center"/>
                </w:tcPr>
                <w:p w14:paraId="76CD254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有害</w:t>
                  </w:r>
                </w:p>
                <w:p w14:paraId="0A07A7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成分</w:t>
                  </w:r>
                </w:p>
              </w:tc>
              <w:tc>
                <w:tcPr>
                  <w:tcW w:w="397" w:type="dxa"/>
                  <w:tcBorders>
                    <w:bottom w:val="single" w:color="000000" w:sz="12" w:space="0"/>
                  </w:tcBorders>
                  <w:vAlign w:val="center"/>
                </w:tcPr>
                <w:p w14:paraId="23A4F84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产废</w:t>
                  </w:r>
                </w:p>
                <w:p w14:paraId="1B4DE02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周期</w:t>
                  </w:r>
                </w:p>
              </w:tc>
              <w:tc>
                <w:tcPr>
                  <w:tcW w:w="834" w:type="dxa"/>
                  <w:tcBorders>
                    <w:bottom w:val="single" w:color="000000" w:sz="12" w:space="0"/>
                  </w:tcBorders>
                  <w:vAlign w:val="center"/>
                </w:tcPr>
                <w:p w14:paraId="4F62593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2"/>
                      <w:sz w:val="21"/>
                      <w:highlight w:val="none"/>
                    </w:rPr>
                    <w:t>危险</w:t>
                  </w:r>
                </w:p>
                <w:p w14:paraId="2DE5FED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特性</w:t>
                  </w:r>
                </w:p>
              </w:tc>
              <w:tc>
                <w:tcPr>
                  <w:tcW w:w="1426" w:type="dxa"/>
                  <w:tcBorders>
                    <w:bottom w:val="single" w:color="000000" w:sz="12" w:space="0"/>
                  </w:tcBorders>
                  <w:vAlign w:val="center"/>
                </w:tcPr>
                <w:p w14:paraId="49E7C90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污染防治措</w:t>
                  </w:r>
                </w:p>
                <w:p w14:paraId="0AAA007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1"/>
                      <w:sz w:val="21"/>
                      <w:highlight w:val="none"/>
                    </w:rPr>
                    <w:t>施</w:t>
                  </w:r>
                </w:p>
              </w:tc>
            </w:tr>
            <w:tr w14:paraId="7A23F2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op w:val="single" w:color="000000" w:sz="12" w:space="0"/>
                    <w:tl2br w:val="nil"/>
                    <w:tr2bl w:val="nil"/>
                  </w:tcBorders>
                  <w:vAlign w:val="center"/>
                </w:tcPr>
                <w:p w14:paraId="6E5F3A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744" w:type="dxa"/>
                  <w:tcBorders>
                    <w:top w:val="single" w:color="000000" w:sz="12" w:space="0"/>
                    <w:tl2br w:val="nil"/>
                    <w:tr2bl w:val="nil"/>
                  </w:tcBorders>
                  <w:vAlign w:val="center"/>
                </w:tcPr>
                <w:p w14:paraId="584AF40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废化学</w:t>
                  </w:r>
                </w:p>
                <w:p w14:paraId="3A78937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品包装</w:t>
                  </w:r>
                </w:p>
              </w:tc>
              <w:tc>
                <w:tcPr>
                  <w:tcW w:w="639" w:type="dxa"/>
                  <w:tcBorders>
                    <w:top w:val="single" w:color="000000" w:sz="12" w:space="0"/>
                    <w:tl2br w:val="nil"/>
                    <w:tr2bl w:val="nil"/>
                  </w:tcBorders>
                  <w:vAlign w:val="center"/>
                </w:tcPr>
                <w:p w14:paraId="1DA23E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op w:val="single" w:color="000000" w:sz="12" w:space="0"/>
                    <w:tl2br w:val="nil"/>
                    <w:tr2bl w:val="nil"/>
                  </w:tcBorders>
                  <w:vAlign w:val="center"/>
                </w:tcPr>
                <w:p w14:paraId="701426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2A5FED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op w:val="single" w:color="000000" w:sz="12" w:space="0"/>
                    <w:tl2br w:val="nil"/>
                    <w:tr2bl w:val="nil"/>
                  </w:tcBorders>
                  <w:vAlign w:val="center"/>
                </w:tcPr>
                <w:p w14:paraId="68A012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0.2</w:t>
                  </w:r>
                </w:p>
              </w:tc>
              <w:tc>
                <w:tcPr>
                  <w:tcW w:w="818" w:type="dxa"/>
                  <w:tcBorders>
                    <w:top w:val="single" w:color="000000" w:sz="12" w:space="0"/>
                    <w:tl2br w:val="nil"/>
                    <w:tr2bl w:val="nil"/>
                  </w:tcBorders>
                  <w:vAlign w:val="center"/>
                </w:tcPr>
                <w:p w14:paraId="32A0080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包装过</w:t>
                  </w:r>
                </w:p>
                <w:p w14:paraId="0968447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程</w:t>
                  </w:r>
                </w:p>
              </w:tc>
              <w:tc>
                <w:tcPr>
                  <w:tcW w:w="350" w:type="dxa"/>
                  <w:tcBorders>
                    <w:top w:val="single" w:color="000000" w:sz="12" w:space="0"/>
                    <w:tl2br w:val="nil"/>
                    <w:tr2bl w:val="nil"/>
                  </w:tcBorders>
                  <w:vAlign w:val="center"/>
                </w:tcPr>
                <w:p w14:paraId="42266A5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op w:val="single" w:color="000000" w:sz="12" w:space="0"/>
                    <w:tl2br w:val="nil"/>
                    <w:tr2bl w:val="nil"/>
                  </w:tcBorders>
                  <w:vAlign w:val="center"/>
                </w:tcPr>
                <w:p w14:paraId="2121949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沾有</w:t>
                  </w:r>
                </w:p>
                <w:p w14:paraId="502B2AF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化学</w:t>
                  </w:r>
                </w:p>
                <w:p w14:paraId="2CE6F73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品的</w:t>
                  </w:r>
                </w:p>
                <w:p w14:paraId="7BE27A5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包装</w:t>
                  </w:r>
                  <w:r>
                    <w:rPr>
                      <w:rFonts w:ascii="Times New Roman" w:hAnsi="Times New Roman" w:eastAsia="宋体"/>
                      <w:color w:val="auto"/>
                      <w:sz w:val="21"/>
                      <w:highlight w:val="none"/>
                    </w:rPr>
                    <w:t>物</w:t>
                  </w:r>
                </w:p>
              </w:tc>
              <w:tc>
                <w:tcPr>
                  <w:tcW w:w="1170" w:type="dxa"/>
                  <w:tcBorders>
                    <w:top w:val="single" w:color="000000" w:sz="12" w:space="0"/>
                    <w:tl2br w:val="nil"/>
                    <w:tr2bl w:val="nil"/>
                  </w:tcBorders>
                  <w:vAlign w:val="center"/>
                </w:tcPr>
                <w:p w14:paraId="413DD59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废化</w:t>
                  </w:r>
                </w:p>
                <w:p w14:paraId="5FA9C92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学品</w:t>
                  </w:r>
                </w:p>
              </w:tc>
              <w:tc>
                <w:tcPr>
                  <w:tcW w:w="397" w:type="dxa"/>
                  <w:tcBorders>
                    <w:top w:val="single" w:color="000000" w:sz="12" w:space="0"/>
                    <w:tl2br w:val="nil"/>
                    <w:tr2bl w:val="nil"/>
                  </w:tcBorders>
                  <w:vAlign w:val="center"/>
                </w:tcPr>
                <w:p w14:paraId="29BF53A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个月</w:t>
                  </w:r>
                </w:p>
              </w:tc>
              <w:tc>
                <w:tcPr>
                  <w:tcW w:w="834" w:type="dxa"/>
                  <w:tcBorders>
                    <w:top w:val="single" w:color="000000" w:sz="12" w:space="0"/>
                    <w:tl2br w:val="nil"/>
                    <w:tr2bl w:val="nil"/>
                  </w:tcBorders>
                  <w:vAlign w:val="center"/>
                </w:tcPr>
                <w:p w14:paraId="1C20B2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426" w:type="dxa"/>
                  <w:vMerge w:val="restart"/>
                  <w:tcBorders>
                    <w:top w:val="single" w:color="000000" w:sz="12" w:space="0"/>
                    <w:tl2br w:val="nil"/>
                    <w:tr2bl w:val="nil"/>
                  </w:tcBorders>
                  <w:vAlign w:val="center"/>
                </w:tcPr>
                <w:p w14:paraId="786958E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暂存于危废</w:t>
                  </w:r>
                  <w:r>
                    <w:rPr>
                      <w:rFonts w:ascii="Times New Roman" w:hAnsi="Times New Roman" w:eastAsia="宋体"/>
                      <w:color w:val="auto"/>
                      <w:spacing w:val="-6"/>
                      <w:sz w:val="21"/>
                      <w:highlight w:val="none"/>
                    </w:rPr>
                    <w:t>暂存库内，委</w:t>
                  </w:r>
                  <w:r>
                    <w:rPr>
                      <w:rFonts w:ascii="Times New Roman" w:hAnsi="Times New Roman" w:eastAsia="宋体"/>
                      <w:color w:val="auto"/>
                      <w:spacing w:val="19"/>
                      <w:sz w:val="21"/>
                      <w:highlight w:val="none"/>
                    </w:rPr>
                    <w:t>托有危废处</w:t>
                  </w:r>
                </w:p>
                <w:p w14:paraId="6A2792B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置资质单位</w:t>
                  </w:r>
                </w:p>
                <w:p w14:paraId="58A60E8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进行处理</w:t>
                  </w:r>
                </w:p>
              </w:tc>
            </w:tr>
            <w:tr w14:paraId="6EBA36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1A8F97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744" w:type="dxa"/>
                  <w:tcBorders>
                    <w:tl2br w:val="nil"/>
                    <w:tr2bl w:val="nil"/>
                  </w:tcBorders>
                  <w:vAlign w:val="center"/>
                </w:tcPr>
                <w:p w14:paraId="74D9BD0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废过滤</w:t>
                  </w:r>
                </w:p>
                <w:p w14:paraId="11ED19B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物</w:t>
                  </w:r>
                </w:p>
              </w:tc>
              <w:tc>
                <w:tcPr>
                  <w:tcW w:w="639" w:type="dxa"/>
                  <w:tcBorders>
                    <w:tl2br w:val="nil"/>
                    <w:tr2bl w:val="nil"/>
                  </w:tcBorders>
                  <w:vAlign w:val="center"/>
                </w:tcPr>
                <w:p w14:paraId="018B32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49</w:t>
                  </w:r>
                </w:p>
              </w:tc>
              <w:tc>
                <w:tcPr>
                  <w:tcW w:w="1050" w:type="dxa"/>
                  <w:tcBorders>
                    <w:tl2br w:val="nil"/>
                    <w:tr2bl w:val="nil"/>
                  </w:tcBorders>
                  <w:vAlign w:val="center"/>
                </w:tcPr>
                <w:p w14:paraId="631C0B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602E6A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l2br w:val="nil"/>
                    <w:tr2bl w:val="nil"/>
                  </w:tcBorders>
                  <w:vAlign w:val="center"/>
                </w:tcPr>
                <w:p w14:paraId="2912C7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0.8</w:t>
                  </w:r>
                </w:p>
              </w:tc>
              <w:tc>
                <w:tcPr>
                  <w:tcW w:w="818" w:type="dxa"/>
                  <w:tcBorders>
                    <w:tl2br w:val="nil"/>
                    <w:tr2bl w:val="nil"/>
                  </w:tcBorders>
                  <w:vAlign w:val="center"/>
                </w:tcPr>
                <w:p w14:paraId="3EEE1E9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脱脂过</w:t>
                  </w:r>
                  <w:r>
                    <w:rPr>
                      <w:rFonts w:ascii="Times New Roman" w:hAnsi="Times New Roman" w:eastAsia="宋体"/>
                      <w:color w:val="auto"/>
                      <w:spacing w:val="1"/>
                      <w:sz w:val="21"/>
                      <w:highlight w:val="none"/>
                    </w:rPr>
                    <w:t>程</w:t>
                  </w:r>
                </w:p>
              </w:tc>
              <w:tc>
                <w:tcPr>
                  <w:tcW w:w="350" w:type="dxa"/>
                  <w:tcBorders>
                    <w:tl2br w:val="nil"/>
                    <w:tr2bl w:val="nil"/>
                  </w:tcBorders>
                  <w:vAlign w:val="center"/>
                </w:tcPr>
                <w:p w14:paraId="441FF57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1E84C09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02F9736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280FBF2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滤杂</w:t>
                  </w:r>
                </w:p>
                <w:p w14:paraId="7981130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物的</w:t>
                  </w:r>
                </w:p>
                <w:p w14:paraId="69DC22C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36D5E54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滤袋</w:t>
                  </w:r>
                  <w:r>
                    <w:rPr>
                      <w:rFonts w:ascii="Times New Roman" w:hAnsi="Times New Roman" w:eastAsia="宋体"/>
                      <w:color w:val="auto"/>
                      <w:sz w:val="21"/>
                      <w:highlight w:val="none"/>
                    </w:rPr>
                    <w:t>等</w:t>
                  </w:r>
                </w:p>
              </w:tc>
              <w:tc>
                <w:tcPr>
                  <w:tcW w:w="1170" w:type="dxa"/>
                  <w:tcBorders>
                    <w:tl2br w:val="nil"/>
                    <w:tr2bl w:val="nil"/>
                  </w:tcBorders>
                  <w:vAlign w:val="center"/>
                </w:tcPr>
                <w:p w14:paraId="1F40770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447D01F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滤物</w:t>
                  </w:r>
                </w:p>
              </w:tc>
              <w:tc>
                <w:tcPr>
                  <w:tcW w:w="397" w:type="dxa"/>
                  <w:tcBorders>
                    <w:tl2br w:val="nil"/>
                    <w:tr2bl w:val="nil"/>
                  </w:tcBorders>
                  <w:vAlign w:val="center"/>
                </w:tcPr>
                <w:p w14:paraId="6611195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34" w:type="dxa"/>
                  <w:tcBorders>
                    <w:tl2br w:val="nil"/>
                    <w:tr2bl w:val="nil"/>
                  </w:tcBorders>
                  <w:vAlign w:val="center"/>
                </w:tcPr>
                <w:p w14:paraId="3B6671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426" w:type="dxa"/>
                  <w:vMerge w:val="continue"/>
                  <w:tcBorders>
                    <w:tl2br w:val="nil"/>
                    <w:tr2bl w:val="nil"/>
                  </w:tcBorders>
                  <w:vAlign w:val="center"/>
                </w:tcPr>
                <w:p w14:paraId="116875C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34581A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26358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3</w:t>
                  </w:r>
                </w:p>
              </w:tc>
              <w:tc>
                <w:tcPr>
                  <w:tcW w:w="744" w:type="dxa"/>
                  <w:tcBorders>
                    <w:tl2br w:val="nil"/>
                    <w:tr2bl w:val="nil"/>
                  </w:tcBorders>
                  <w:vAlign w:val="center"/>
                </w:tcPr>
                <w:p w14:paraId="5825E1E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废水处</w:t>
                  </w:r>
                </w:p>
                <w:p w14:paraId="17274EE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理污泥</w:t>
                  </w:r>
                </w:p>
              </w:tc>
              <w:tc>
                <w:tcPr>
                  <w:tcW w:w="639" w:type="dxa"/>
                  <w:tcBorders>
                    <w:tl2br w:val="nil"/>
                    <w:tr2bl w:val="nil"/>
                  </w:tcBorders>
                  <w:vAlign w:val="center"/>
                </w:tcPr>
                <w:p w14:paraId="625F2C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17</w:t>
                  </w:r>
                </w:p>
              </w:tc>
              <w:tc>
                <w:tcPr>
                  <w:tcW w:w="1050" w:type="dxa"/>
                  <w:tcBorders>
                    <w:tl2br w:val="nil"/>
                    <w:tr2bl w:val="nil"/>
                  </w:tcBorders>
                  <w:vAlign w:val="center"/>
                </w:tcPr>
                <w:p w14:paraId="6E4848A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336-064-</w:t>
                  </w:r>
                </w:p>
                <w:p w14:paraId="20A93E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17</w:t>
                  </w:r>
                </w:p>
              </w:tc>
              <w:tc>
                <w:tcPr>
                  <w:tcW w:w="646" w:type="dxa"/>
                  <w:tcBorders>
                    <w:tl2br w:val="nil"/>
                    <w:tr2bl w:val="nil"/>
                  </w:tcBorders>
                  <w:vAlign w:val="center"/>
                </w:tcPr>
                <w:p w14:paraId="37E0F3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2"/>
                      <w:sz w:val="21"/>
                      <w:szCs w:val="20"/>
                      <w:highlight w:val="none"/>
                    </w:rPr>
                    <w:t>0.95</w:t>
                  </w:r>
                </w:p>
              </w:tc>
              <w:tc>
                <w:tcPr>
                  <w:tcW w:w="818" w:type="dxa"/>
                  <w:tcBorders>
                    <w:tl2br w:val="nil"/>
                    <w:tr2bl w:val="nil"/>
                  </w:tcBorders>
                  <w:vAlign w:val="center"/>
                </w:tcPr>
                <w:p w14:paraId="7C3C407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废水处</w:t>
                  </w:r>
                </w:p>
                <w:p w14:paraId="4C382E2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理</w:t>
                  </w:r>
                </w:p>
              </w:tc>
              <w:tc>
                <w:tcPr>
                  <w:tcW w:w="350" w:type="dxa"/>
                  <w:tcBorders>
                    <w:tl2br w:val="nil"/>
                    <w:tr2bl w:val="nil"/>
                  </w:tcBorders>
                  <w:vAlign w:val="center"/>
                </w:tcPr>
                <w:p w14:paraId="0A5525F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5F0DCC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污泥</w:t>
                  </w:r>
                </w:p>
              </w:tc>
              <w:tc>
                <w:tcPr>
                  <w:tcW w:w="1170" w:type="dxa"/>
                  <w:tcBorders>
                    <w:tl2br w:val="nil"/>
                    <w:tr2bl w:val="nil"/>
                  </w:tcBorders>
                  <w:vAlign w:val="center"/>
                </w:tcPr>
                <w:p w14:paraId="34CC95C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污泥</w:t>
                  </w:r>
                </w:p>
              </w:tc>
              <w:tc>
                <w:tcPr>
                  <w:tcW w:w="397" w:type="dxa"/>
                  <w:tcBorders>
                    <w:tl2br w:val="nil"/>
                    <w:tr2bl w:val="nil"/>
                  </w:tcBorders>
                  <w:vAlign w:val="center"/>
                </w:tcPr>
                <w:p w14:paraId="289C2ED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34" w:type="dxa"/>
                  <w:tcBorders>
                    <w:tl2br w:val="nil"/>
                    <w:tr2bl w:val="nil"/>
                  </w:tcBorders>
                  <w:vAlign w:val="center"/>
                </w:tcPr>
                <w:p w14:paraId="6F804F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T/C</w:t>
                  </w:r>
                </w:p>
              </w:tc>
              <w:tc>
                <w:tcPr>
                  <w:tcW w:w="1426" w:type="dxa"/>
                  <w:vMerge w:val="continue"/>
                  <w:tcBorders>
                    <w:tl2br w:val="nil"/>
                    <w:tr2bl w:val="nil"/>
                  </w:tcBorders>
                  <w:vAlign w:val="center"/>
                </w:tcPr>
                <w:p w14:paraId="5F17B81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6F7A67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6B5A55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4</w:t>
                  </w:r>
                </w:p>
              </w:tc>
              <w:tc>
                <w:tcPr>
                  <w:tcW w:w="744" w:type="dxa"/>
                  <w:tcBorders>
                    <w:tl2br w:val="nil"/>
                    <w:tr2bl w:val="nil"/>
                  </w:tcBorders>
                  <w:vAlign w:val="center"/>
                </w:tcPr>
                <w:p w14:paraId="17D451E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废活性</w:t>
                  </w:r>
                </w:p>
                <w:p w14:paraId="187B893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炭</w:t>
                  </w:r>
                </w:p>
              </w:tc>
              <w:tc>
                <w:tcPr>
                  <w:tcW w:w="639" w:type="dxa"/>
                  <w:tcBorders>
                    <w:tl2br w:val="nil"/>
                    <w:tr2bl w:val="nil"/>
                  </w:tcBorders>
                  <w:vAlign w:val="center"/>
                </w:tcPr>
                <w:p w14:paraId="5FB48B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49</w:t>
                  </w:r>
                </w:p>
              </w:tc>
              <w:tc>
                <w:tcPr>
                  <w:tcW w:w="1050" w:type="dxa"/>
                  <w:tcBorders>
                    <w:tl2br w:val="nil"/>
                    <w:tr2bl w:val="nil"/>
                  </w:tcBorders>
                  <w:vAlign w:val="center"/>
                </w:tcPr>
                <w:p w14:paraId="453AAD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900-039-</w:t>
                  </w:r>
                </w:p>
                <w:p w14:paraId="003560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l2br w:val="nil"/>
                    <w:tr2bl w:val="nil"/>
                  </w:tcBorders>
                  <w:vAlign w:val="center"/>
                </w:tcPr>
                <w:p w14:paraId="62E2CE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pacing w:val="3"/>
                      <w:position w:val="2"/>
                      <w:sz w:val="21"/>
                      <w:szCs w:val="20"/>
                      <w:highlight w:val="none"/>
                      <w:lang w:val="en-US" w:eastAsia="zh-CN"/>
                    </w:rPr>
                    <w:t>7.9599</w:t>
                  </w:r>
                </w:p>
              </w:tc>
              <w:tc>
                <w:tcPr>
                  <w:tcW w:w="818" w:type="dxa"/>
                  <w:tcBorders>
                    <w:tl2br w:val="nil"/>
                    <w:tr2bl w:val="nil"/>
                  </w:tcBorders>
                  <w:vAlign w:val="center"/>
                </w:tcPr>
                <w:p w14:paraId="08A2EB5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活性炭</w:t>
                  </w:r>
                  <w:r>
                    <w:rPr>
                      <w:rFonts w:ascii="Times New Roman" w:hAnsi="Times New Roman" w:eastAsia="宋体"/>
                      <w:color w:val="auto"/>
                      <w:sz w:val="21"/>
                      <w:highlight w:val="none"/>
                    </w:rPr>
                    <w:t>吸附</w:t>
                  </w:r>
                </w:p>
              </w:tc>
              <w:tc>
                <w:tcPr>
                  <w:tcW w:w="350" w:type="dxa"/>
                  <w:tcBorders>
                    <w:tl2br w:val="nil"/>
                    <w:tr2bl w:val="nil"/>
                  </w:tcBorders>
                  <w:vAlign w:val="center"/>
                </w:tcPr>
                <w:p w14:paraId="550FF66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59D8360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吸附</w:t>
                  </w:r>
                </w:p>
                <w:p w14:paraId="3514691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废气</w:t>
                  </w:r>
                </w:p>
                <w:p w14:paraId="1B5845B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的活</w:t>
                  </w:r>
                </w:p>
                <w:p w14:paraId="69E7E46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性炭</w:t>
                  </w:r>
                </w:p>
              </w:tc>
              <w:tc>
                <w:tcPr>
                  <w:tcW w:w="1170" w:type="dxa"/>
                  <w:tcBorders>
                    <w:tl2br w:val="nil"/>
                    <w:tr2bl w:val="nil"/>
                  </w:tcBorders>
                  <w:vAlign w:val="center"/>
                </w:tcPr>
                <w:p w14:paraId="100154C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有机</w:t>
                  </w:r>
                  <w:r>
                    <w:rPr>
                      <w:rFonts w:ascii="Times New Roman" w:hAnsi="Times New Roman" w:eastAsia="宋体"/>
                      <w:color w:val="auto"/>
                      <w:sz w:val="21"/>
                      <w:highlight w:val="none"/>
                    </w:rPr>
                    <w:t>物</w:t>
                  </w:r>
                </w:p>
              </w:tc>
              <w:tc>
                <w:tcPr>
                  <w:tcW w:w="397" w:type="dxa"/>
                  <w:tcBorders>
                    <w:tl2br w:val="nil"/>
                    <w:tr2bl w:val="nil"/>
                  </w:tcBorders>
                  <w:vAlign w:val="center"/>
                </w:tcPr>
                <w:p w14:paraId="6EC354B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一年</w:t>
                  </w:r>
                </w:p>
              </w:tc>
              <w:tc>
                <w:tcPr>
                  <w:tcW w:w="834" w:type="dxa"/>
                  <w:tcBorders>
                    <w:tl2br w:val="nil"/>
                    <w:tr2bl w:val="nil"/>
                  </w:tcBorders>
                  <w:vAlign w:val="center"/>
                </w:tcPr>
                <w:p w14:paraId="35B5B6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T</w:t>
                  </w:r>
                </w:p>
              </w:tc>
              <w:tc>
                <w:tcPr>
                  <w:tcW w:w="1426" w:type="dxa"/>
                  <w:vMerge w:val="continue"/>
                  <w:tcBorders>
                    <w:tl2br w:val="nil"/>
                    <w:tr2bl w:val="nil"/>
                  </w:tcBorders>
                  <w:vAlign w:val="center"/>
                </w:tcPr>
                <w:p w14:paraId="22B9E929">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2CD1F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5B64A4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5</w:t>
                  </w:r>
                </w:p>
              </w:tc>
              <w:tc>
                <w:tcPr>
                  <w:tcW w:w="744" w:type="dxa"/>
                  <w:tcBorders>
                    <w:tl2br w:val="nil"/>
                    <w:tr2bl w:val="nil"/>
                  </w:tcBorders>
                  <w:vAlign w:val="center"/>
                </w:tcPr>
                <w:p w14:paraId="37D8211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废机油</w:t>
                  </w:r>
                </w:p>
              </w:tc>
              <w:tc>
                <w:tcPr>
                  <w:tcW w:w="639" w:type="dxa"/>
                  <w:tcBorders>
                    <w:tl2br w:val="nil"/>
                    <w:tr2bl w:val="nil"/>
                  </w:tcBorders>
                  <w:vAlign w:val="center"/>
                </w:tcPr>
                <w:p w14:paraId="39F40B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08</w:t>
                  </w:r>
                </w:p>
              </w:tc>
              <w:tc>
                <w:tcPr>
                  <w:tcW w:w="1050" w:type="dxa"/>
                  <w:tcBorders>
                    <w:tl2br w:val="nil"/>
                    <w:tr2bl w:val="nil"/>
                  </w:tcBorders>
                  <w:vAlign w:val="center"/>
                </w:tcPr>
                <w:p w14:paraId="41D6B8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900-249-</w:t>
                  </w:r>
                </w:p>
                <w:p w14:paraId="087AAD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08</w:t>
                  </w:r>
                </w:p>
              </w:tc>
              <w:tc>
                <w:tcPr>
                  <w:tcW w:w="646" w:type="dxa"/>
                  <w:tcBorders>
                    <w:tl2br w:val="nil"/>
                    <w:tr2bl w:val="nil"/>
                  </w:tcBorders>
                  <w:vAlign w:val="center"/>
                </w:tcPr>
                <w:p w14:paraId="3600BF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0.2</w:t>
                  </w:r>
                </w:p>
              </w:tc>
              <w:tc>
                <w:tcPr>
                  <w:tcW w:w="818" w:type="dxa"/>
                  <w:tcBorders>
                    <w:tl2br w:val="nil"/>
                    <w:tr2bl w:val="nil"/>
                  </w:tcBorders>
                  <w:vAlign w:val="center"/>
                </w:tcPr>
                <w:p w14:paraId="672D5A0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机械保</w:t>
                  </w:r>
                </w:p>
                <w:p w14:paraId="4FE8F15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养</w:t>
                  </w:r>
                </w:p>
              </w:tc>
              <w:tc>
                <w:tcPr>
                  <w:tcW w:w="350" w:type="dxa"/>
                  <w:tcBorders>
                    <w:tl2br w:val="nil"/>
                    <w:tr2bl w:val="nil"/>
                  </w:tcBorders>
                  <w:vAlign w:val="center"/>
                </w:tcPr>
                <w:p w14:paraId="239291E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液</w:t>
                  </w:r>
                </w:p>
              </w:tc>
              <w:tc>
                <w:tcPr>
                  <w:tcW w:w="562" w:type="dxa"/>
                  <w:tcBorders>
                    <w:tl2br w:val="nil"/>
                    <w:tr2bl w:val="nil"/>
                  </w:tcBorders>
                  <w:vAlign w:val="center"/>
                </w:tcPr>
                <w:p w14:paraId="15B4D5D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矿物</w:t>
                  </w:r>
                </w:p>
                <w:p w14:paraId="38B6F0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质油</w:t>
                  </w:r>
                </w:p>
              </w:tc>
              <w:tc>
                <w:tcPr>
                  <w:tcW w:w="1170" w:type="dxa"/>
                  <w:tcBorders>
                    <w:tl2br w:val="nil"/>
                    <w:tr2bl w:val="nil"/>
                  </w:tcBorders>
                  <w:vAlign w:val="center"/>
                </w:tcPr>
                <w:p w14:paraId="7C8537D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97" w:type="dxa"/>
                  <w:tcBorders>
                    <w:tl2br w:val="nil"/>
                    <w:tr2bl w:val="nil"/>
                  </w:tcBorders>
                  <w:vAlign w:val="center"/>
                </w:tcPr>
                <w:p w14:paraId="4F61E90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34" w:type="dxa"/>
                  <w:tcBorders>
                    <w:tl2br w:val="nil"/>
                    <w:tr2bl w:val="nil"/>
                  </w:tcBorders>
                  <w:vAlign w:val="center"/>
                </w:tcPr>
                <w:p w14:paraId="165BEDE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pacing w:val="-3"/>
                      <w:sz w:val="21"/>
                      <w:highlight w:val="none"/>
                    </w:rPr>
                    <w:t>T</w:t>
                  </w:r>
                  <w:r>
                    <w:rPr>
                      <w:rFonts w:hint="eastAsia" w:ascii="Times New Roman" w:hAnsi="Times New Roman" w:cs="Times New Roman"/>
                      <w:color w:val="auto"/>
                      <w:spacing w:val="-3"/>
                      <w:sz w:val="21"/>
                      <w:highlight w:val="none"/>
                      <w:lang w:eastAsia="zh-CN"/>
                    </w:rPr>
                    <w:t xml:space="preserve">, </w:t>
                  </w:r>
                  <w:r>
                    <w:rPr>
                      <w:rFonts w:ascii="Times New Roman" w:hAnsi="Times New Roman" w:eastAsia="宋体" w:cs="Times New Roman"/>
                      <w:color w:val="auto"/>
                      <w:spacing w:val="-3"/>
                      <w:sz w:val="21"/>
                      <w:highlight w:val="none"/>
                    </w:rPr>
                    <w:t>I</w:t>
                  </w:r>
                </w:p>
              </w:tc>
              <w:tc>
                <w:tcPr>
                  <w:tcW w:w="1426" w:type="dxa"/>
                  <w:vMerge w:val="continue"/>
                  <w:tcBorders>
                    <w:tl2br w:val="nil"/>
                    <w:tr2bl w:val="nil"/>
                  </w:tcBorders>
                  <w:vAlign w:val="center"/>
                </w:tcPr>
                <w:p w14:paraId="231C6E5F">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7D3881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075C8C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6</w:t>
                  </w:r>
                </w:p>
              </w:tc>
              <w:tc>
                <w:tcPr>
                  <w:tcW w:w="744" w:type="dxa"/>
                  <w:tcBorders>
                    <w:tl2br w:val="nil"/>
                    <w:tr2bl w:val="nil"/>
                  </w:tcBorders>
                  <w:vAlign w:val="center"/>
                </w:tcPr>
                <w:p w14:paraId="039685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废油桶</w:t>
                  </w:r>
                </w:p>
              </w:tc>
              <w:tc>
                <w:tcPr>
                  <w:tcW w:w="639" w:type="dxa"/>
                  <w:tcBorders>
                    <w:tl2br w:val="nil"/>
                    <w:tr2bl w:val="nil"/>
                  </w:tcBorders>
                  <w:vAlign w:val="center"/>
                </w:tcPr>
                <w:p w14:paraId="2AF95B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08</w:t>
                  </w:r>
                </w:p>
              </w:tc>
              <w:tc>
                <w:tcPr>
                  <w:tcW w:w="1050" w:type="dxa"/>
                  <w:tcBorders>
                    <w:tl2br w:val="nil"/>
                    <w:tr2bl w:val="nil"/>
                  </w:tcBorders>
                  <w:vAlign w:val="center"/>
                </w:tcPr>
                <w:p w14:paraId="1B5F6D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900-249-</w:t>
                  </w:r>
                </w:p>
                <w:p w14:paraId="642639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08</w:t>
                  </w:r>
                </w:p>
              </w:tc>
              <w:tc>
                <w:tcPr>
                  <w:tcW w:w="646" w:type="dxa"/>
                  <w:tcBorders>
                    <w:tl2br w:val="nil"/>
                    <w:tr2bl w:val="nil"/>
                  </w:tcBorders>
                  <w:vAlign w:val="center"/>
                </w:tcPr>
                <w:p w14:paraId="7F7C98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0.2</w:t>
                  </w:r>
                </w:p>
              </w:tc>
              <w:tc>
                <w:tcPr>
                  <w:tcW w:w="818" w:type="dxa"/>
                  <w:tcBorders>
                    <w:tl2br w:val="nil"/>
                    <w:tr2bl w:val="nil"/>
                  </w:tcBorders>
                  <w:vAlign w:val="center"/>
                </w:tcPr>
                <w:p w14:paraId="0838566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装配、设</w:t>
                  </w:r>
                </w:p>
                <w:p w14:paraId="20AFE1C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备维护</w:t>
                  </w:r>
                </w:p>
                <w:p w14:paraId="4231DAC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保养</w:t>
                  </w:r>
                </w:p>
              </w:tc>
              <w:tc>
                <w:tcPr>
                  <w:tcW w:w="350" w:type="dxa"/>
                  <w:tcBorders>
                    <w:tl2br w:val="nil"/>
                    <w:tr2bl w:val="nil"/>
                  </w:tcBorders>
                  <w:vAlign w:val="center"/>
                </w:tcPr>
                <w:p w14:paraId="3282555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36406FA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10CB5A9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机油</w:t>
                  </w:r>
                </w:p>
                <w:p w14:paraId="359A427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的包</w:t>
                  </w:r>
                </w:p>
                <w:p w14:paraId="1F3B32B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装物</w:t>
                  </w:r>
                </w:p>
              </w:tc>
              <w:tc>
                <w:tcPr>
                  <w:tcW w:w="1170" w:type="dxa"/>
                  <w:tcBorders>
                    <w:tl2br w:val="nil"/>
                    <w:tr2bl w:val="nil"/>
                  </w:tcBorders>
                  <w:vAlign w:val="center"/>
                </w:tcPr>
                <w:p w14:paraId="145A6F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97" w:type="dxa"/>
                  <w:tcBorders>
                    <w:tl2br w:val="nil"/>
                    <w:tr2bl w:val="nil"/>
                  </w:tcBorders>
                  <w:vAlign w:val="center"/>
                </w:tcPr>
                <w:p w14:paraId="7DA3857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34" w:type="dxa"/>
                  <w:tcBorders>
                    <w:tl2br w:val="nil"/>
                    <w:tr2bl w:val="nil"/>
                  </w:tcBorders>
                  <w:vAlign w:val="center"/>
                </w:tcPr>
                <w:p w14:paraId="42694B1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pacing w:val="-3"/>
                      <w:sz w:val="21"/>
                      <w:highlight w:val="none"/>
                    </w:rPr>
                    <w:t>T</w:t>
                  </w:r>
                  <w:r>
                    <w:rPr>
                      <w:rFonts w:hint="eastAsia" w:ascii="Times New Roman" w:hAnsi="Times New Roman" w:cs="Times New Roman"/>
                      <w:color w:val="auto"/>
                      <w:spacing w:val="-3"/>
                      <w:sz w:val="21"/>
                      <w:highlight w:val="none"/>
                      <w:lang w:eastAsia="zh-CN"/>
                    </w:rPr>
                    <w:t xml:space="preserve">, </w:t>
                  </w:r>
                  <w:r>
                    <w:rPr>
                      <w:rFonts w:ascii="Times New Roman" w:hAnsi="Times New Roman" w:eastAsia="宋体" w:cs="Times New Roman"/>
                      <w:color w:val="auto"/>
                      <w:spacing w:val="-3"/>
                      <w:sz w:val="21"/>
                      <w:highlight w:val="none"/>
                    </w:rPr>
                    <w:t>I</w:t>
                  </w:r>
                </w:p>
              </w:tc>
              <w:tc>
                <w:tcPr>
                  <w:tcW w:w="1426" w:type="dxa"/>
                  <w:vMerge w:val="continue"/>
                  <w:tcBorders>
                    <w:tl2br w:val="nil"/>
                    <w:tr2bl w:val="nil"/>
                  </w:tcBorders>
                  <w:vAlign w:val="center"/>
                </w:tcPr>
                <w:p w14:paraId="5D7CAD42">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12472E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2500C5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7</w:t>
                  </w:r>
                </w:p>
              </w:tc>
              <w:tc>
                <w:tcPr>
                  <w:tcW w:w="744" w:type="dxa"/>
                  <w:tcBorders>
                    <w:tl2br w:val="nil"/>
                    <w:tr2bl w:val="nil"/>
                  </w:tcBorders>
                  <w:vAlign w:val="center"/>
                </w:tcPr>
                <w:p w14:paraId="3479ACE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废含油</w:t>
                  </w:r>
                </w:p>
                <w:p w14:paraId="30E1DD9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抹布手</w:t>
                  </w:r>
                </w:p>
                <w:p w14:paraId="06FE401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套</w:t>
                  </w:r>
                </w:p>
              </w:tc>
              <w:tc>
                <w:tcPr>
                  <w:tcW w:w="639" w:type="dxa"/>
                  <w:tcBorders>
                    <w:tl2br w:val="nil"/>
                    <w:tr2bl w:val="nil"/>
                  </w:tcBorders>
                  <w:vAlign w:val="center"/>
                </w:tcPr>
                <w:p w14:paraId="55A918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l2br w:val="nil"/>
                    <w:tr2bl w:val="nil"/>
                  </w:tcBorders>
                  <w:vAlign w:val="center"/>
                </w:tcPr>
                <w:p w14:paraId="4D5FB2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61E517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l2br w:val="nil"/>
                    <w:tr2bl w:val="nil"/>
                  </w:tcBorders>
                  <w:vAlign w:val="center"/>
                </w:tcPr>
                <w:p w14:paraId="639EB3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0.4</w:t>
                  </w:r>
                </w:p>
              </w:tc>
              <w:tc>
                <w:tcPr>
                  <w:tcW w:w="818" w:type="dxa"/>
                  <w:tcBorders>
                    <w:tl2br w:val="nil"/>
                    <w:tr2bl w:val="nil"/>
                  </w:tcBorders>
                  <w:vAlign w:val="center"/>
                </w:tcPr>
                <w:p w14:paraId="4CBD71E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装配、设</w:t>
                  </w:r>
                </w:p>
                <w:p w14:paraId="19202EC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备维护</w:t>
                  </w:r>
                </w:p>
                <w:p w14:paraId="784989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保养</w:t>
                  </w:r>
                </w:p>
              </w:tc>
              <w:tc>
                <w:tcPr>
                  <w:tcW w:w="350" w:type="dxa"/>
                  <w:tcBorders>
                    <w:tl2br w:val="nil"/>
                    <w:tr2bl w:val="nil"/>
                  </w:tcBorders>
                  <w:vAlign w:val="center"/>
                </w:tcPr>
                <w:p w14:paraId="0E99087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00F1CB3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4134C79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机油</w:t>
                  </w:r>
                </w:p>
                <w:p w14:paraId="3A09BC4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的抹</w:t>
                  </w:r>
                </w:p>
                <w:p w14:paraId="760DC42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布、</w:t>
                  </w:r>
                </w:p>
                <w:p w14:paraId="239B54D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手套</w:t>
                  </w:r>
                </w:p>
              </w:tc>
              <w:tc>
                <w:tcPr>
                  <w:tcW w:w="1170" w:type="dxa"/>
                  <w:tcBorders>
                    <w:tl2br w:val="nil"/>
                    <w:tr2bl w:val="nil"/>
                  </w:tcBorders>
                  <w:vAlign w:val="center"/>
                </w:tcPr>
                <w:p w14:paraId="67FAF1D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97" w:type="dxa"/>
                  <w:tcBorders>
                    <w:tl2br w:val="nil"/>
                    <w:tr2bl w:val="nil"/>
                  </w:tcBorders>
                  <w:vAlign w:val="center"/>
                </w:tcPr>
                <w:p w14:paraId="0AA5F39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34" w:type="dxa"/>
                  <w:tcBorders>
                    <w:tl2br w:val="nil"/>
                    <w:tr2bl w:val="nil"/>
                  </w:tcBorders>
                  <w:vAlign w:val="center"/>
                </w:tcPr>
                <w:p w14:paraId="76D5A0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426" w:type="dxa"/>
                  <w:vMerge w:val="continue"/>
                  <w:tcBorders>
                    <w:tl2br w:val="nil"/>
                    <w:tr2bl w:val="nil"/>
                  </w:tcBorders>
                  <w:vAlign w:val="center"/>
                </w:tcPr>
                <w:p w14:paraId="60054B6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6ECD6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1A26E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8</w:t>
                  </w:r>
                </w:p>
              </w:tc>
              <w:tc>
                <w:tcPr>
                  <w:tcW w:w="744" w:type="dxa"/>
                  <w:tcBorders>
                    <w:tl2br w:val="nil"/>
                    <w:tr2bl w:val="nil"/>
                  </w:tcBorders>
                  <w:vAlign w:val="center"/>
                </w:tcPr>
                <w:p w14:paraId="2B81A99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废弃纯</w:t>
                  </w:r>
                </w:p>
                <w:p w14:paraId="3C2737B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水制备</w:t>
                  </w:r>
                  <w:r>
                    <w:rPr>
                      <w:rFonts w:ascii="Times New Roman" w:hAnsi="Times New Roman" w:eastAsia="宋体"/>
                      <w:color w:val="auto"/>
                      <w:spacing w:val="4"/>
                      <w:sz w:val="21"/>
                      <w:highlight w:val="none"/>
                    </w:rPr>
                    <w:t>耗材</w:t>
                  </w:r>
                </w:p>
              </w:tc>
              <w:tc>
                <w:tcPr>
                  <w:tcW w:w="639" w:type="dxa"/>
                  <w:tcBorders>
                    <w:tl2br w:val="nil"/>
                    <w:tr2bl w:val="nil"/>
                  </w:tcBorders>
                  <w:vAlign w:val="center"/>
                </w:tcPr>
                <w:p w14:paraId="6C5D30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l2br w:val="nil"/>
                    <w:tr2bl w:val="nil"/>
                  </w:tcBorders>
                  <w:vAlign w:val="center"/>
                </w:tcPr>
                <w:p w14:paraId="50B844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1EE93F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l2br w:val="nil"/>
                    <w:tr2bl w:val="nil"/>
                  </w:tcBorders>
                  <w:vAlign w:val="center"/>
                </w:tcPr>
                <w:p w14:paraId="7ED7A1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0.1</w:t>
                  </w:r>
                </w:p>
              </w:tc>
              <w:tc>
                <w:tcPr>
                  <w:tcW w:w="818" w:type="dxa"/>
                  <w:tcBorders>
                    <w:tl2br w:val="nil"/>
                    <w:tr2bl w:val="nil"/>
                  </w:tcBorders>
                  <w:vAlign w:val="center"/>
                </w:tcPr>
                <w:p w14:paraId="4D41401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纯水制</w:t>
                  </w:r>
                </w:p>
                <w:p w14:paraId="736D45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备</w:t>
                  </w:r>
                </w:p>
              </w:tc>
              <w:tc>
                <w:tcPr>
                  <w:tcW w:w="350" w:type="dxa"/>
                  <w:tcBorders>
                    <w:tl2br w:val="nil"/>
                    <w:tr2bl w:val="nil"/>
                  </w:tcBorders>
                  <w:vAlign w:val="center"/>
                </w:tcPr>
                <w:p w14:paraId="7FAD081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0888769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3DD6DBD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杂质</w:t>
                  </w:r>
                </w:p>
                <w:p w14:paraId="73C79AA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的滤</w:t>
                  </w:r>
                  <w:r>
                    <w:rPr>
                      <w:rFonts w:ascii="Times New Roman" w:hAnsi="Times New Roman" w:eastAsia="宋体"/>
                      <w:color w:val="auto"/>
                      <w:spacing w:val="1"/>
                      <w:sz w:val="21"/>
                      <w:highlight w:val="none"/>
                    </w:rPr>
                    <w:t>膜</w:t>
                  </w:r>
                </w:p>
              </w:tc>
              <w:tc>
                <w:tcPr>
                  <w:tcW w:w="1170" w:type="dxa"/>
                  <w:tcBorders>
                    <w:tl2br w:val="nil"/>
                    <w:tr2bl w:val="nil"/>
                  </w:tcBorders>
                  <w:vAlign w:val="center"/>
                </w:tcPr>
                <w:p w14:paraId="3144BEC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2"/>
                      <w:sz w:val="21"/>
                      <w:highlight w:val="none"/>
                    </w:rPr>
                    <w:t>膜</w:t>
                  </w:r>
                  <w:r>
                    <w:rPr>
                      <w:rFonts w:ascii="Times New Roman" w:hAnsi="Times New Roman" w:eastAsia="宋体"/>
                      <w:color w:val="auto"/>
                      <w:spacing w:val="-11"/>
                      <w:sz w:val="21"/>
                      <w:highlight w:val="none"/>
                    </w:rPr>
                    <w:t>、</w:t>
                  </w:r>
                  <w:r>
                    <w:rPr>
                      <w:rFonts w:ascii="Times New Roman" w:hAnsi="Times New Roman" w:eastAsia="宋体"/>
                      <w:color w:val="auto"/>
                      <w:spacing w:val="-10"/>
                      <w:sz w:val="21"/>
                      <w:highlight w:val="none"/>
                    </w:rPr>
                    <w:t>树</w:t>
                  </w:r>
                  <w:r>
                    <w:rPr>
                      <w:rFonts w:ascii="Times New Roman" w:hAnsi="Times New Roman" w:eastAsia="宋体"/>
                      <w:color w:val="auto"/>
                      <w:sz w:val="21"/>
                      <w:highlight w:val="none"/>
                    </w:rPr>
                    <w:t>脂</w:t>
                  </w:r>
                </w:p>
              </w:tc>
              <w:tc>
                <w:tcPr>
                  <w:tcW w:w="397" w:type="dxa"/>
                  <w:tcBorders>
                    <w:tl2br w:val="nil"/>
                    <w:tr2bl w:val="nil"/>
                  </w:tcBorders>
                  <w:vAlign w:val="center"/>
                </w:tcPr>
                <w:p w14:paraId="45DE0C9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34" w:type="dxa"/>
                  <w:tcBorders>
                    <w:tl2br w:val="nil"/>
                    <w:tr2bl w:val="nil"/>
                  </w:tcBorders>
                  <w:vAlign w:val="center"/>
                </w:tcPr>
                <w:p w14:paraId="01C639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426" w:type="dxa"/>
                  <w:vMerge w:val="continue"/>
                  <w:tcBorders>
                    <w:tl2br w:val="nil"/>
                    <w:tr2bl w:val="nil"/>
                  </w:tcBorders>
                  <w:vAlign w:val="center"/>
                </w:tcPr>
                <w:p w14:paraId="36A233A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6608FA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41B527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9</w:t>
                  </w:r>
                </w:p>
              </w:tc>
              <w:tc>
                <w:tcPr>
                  <w:tcW w:w="744" w:type="dxa"/>
                  <w:tcBorders>
                    <w:tl2br w:val="nil"/>
                    <w:tr2bl w:val="nil"/>
                  </w:tcBorders>
                  <w:vAlign w:val="center"/>
                </w:tcPr>
                <w:p w14:paraId="267948B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废滤膜</w:t>
                  </w:r>
                </w:p>
              </w:tc>
              <w:tc>
                <w:tcPr>
                  <w:tcW w:w="639" w:type="dxa"/>
                  <w:tcBorders>
                    <w:tl2br w:val="nil"/>
                    <w:tr2bl w:val="nil"/>
                  </w:tcBorders>
                  <w:vAlign w:val="center"/>
                </w:tcPr>
                <w:p w14:paraId="24BBF8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l2br w:val="nil"/>
                    <w:tr2bl w:val="nil"/>
                  </w:tcBorders>
                  <w:vAlign w:val="center"/>
                </w:tcPr>
                <w:p w14:paraId="6DB644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66B501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6" w:type="dxa"/>
                  <w:tcBorders>
                    <w:tl2br w:val="nil"/>
                    <w:tr2bl w:val="nil"/>
                  </w:tcBorders>
                  <w:vAlign w:val="center"/>
                </w:tcPr>
                <w:p w14:paraId="5C4BFC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0.4</w:t>
                  </w:r>
                </w:p>
              </w:tc>
              <w:tc>
                <w:tcPr>
                  <w:tcW w:w="818" w:type="dxa"/>
                  <w:tcBorders>
                    <w:tl2br w:val="nil"/>
                    <w:tr2bl w:val="nil"/>
                  </w:tcBorders>
                  <w:vAlign w:val="center"/>
                </w:tcPr>
                <w:p w14:paraId="3324BC2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超滤系</w:t>
                  </w:r>
                </w:p>
                <w:p w14:paraId="458D2DD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统</w:t>
                  </w:r>
                </w:p>
              </w:tc>
              <w:tc>
                <w:tcPr>
                  <w:tcW w:w="350" w:type="dxa"/>
                  <w:tcBorders>
                    <w:tl2br w:val="nil"/>
                    <w:tr2bl w:val="nil"/>
                  </w:tcBorders>
                  <w:vAlign w:val="center"/>
                </w:tcPr>
                <w:p w14:paraId="2B2BABE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62" w:type="dxa"/>
                  <w:tcBorders>
                    <w:tl2br w:val="nil"/>
                    <w:tr2bl w:val="nil"/>
                  </w:tcBorders>
                  <w:vAlign w:val="center"/>
                </w:tcPr>
                <w:p w14:paraId="1E8E124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4FDABC9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杂质</w:t>
                  </w:r>
                </w:p>
                <w:p w14:paraId="5A37333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的滤</w:t>
                  </w:r>
                  <w:r>
                    <w:rPr>
                      <w:rFonts w:ascii="Times New Roman" w:hAnsi="Times New Roman" w:eastAsia="宋体"/>
                      <w:color w:val="auto"/>
                      <w:spacing w:val="1"/>
                      <w:sz w:val="21"/>
                      <w:highlight w:val="none"/>
                    </w:rPr>
                    <w:t>膜</w:t>
                  </w:r>
                </w:p>
              </w:tc>
              <w:tc>
                <w:tcPr>
                  <w:tcW w:w="1170" w:type="dxa"/>
                  <w:tcBorders>
                    <w:tl2br w:val="nil"/>
                    <w:tr2bl w:val="nil"/>
                  </w:tcBorders>
                  <w:vAlign w:val="center"/>
                </w:tcPr>
                <w:p w14:paraId="05C6998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1778F62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滤物</w:t>
                  </w:r>
                </w:p>
              </w:tc>
              <w:tc>
                <w:tcPr>
                  <w:tcW w:w="397" w:type="dxa"/>
                  <w:tcBorders>
                    <w:tl2br w:val="nil"/>
                    <w:tr2bl w:val="nil"/>
                  </w:tcBorders>
                  <w:vAlign w:val="center"/>
                </w:tcPr>
                <w:p w14:paraId="663E4FE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34" w:type="dxa"/>
                  <w:tcBorders>
                    <w:tl2br w:val="nil"/>
                    <w:tr2bl w:val="nil"/>
                  </w:tcBorders>
                  <w:vAlign w:val="center"/>
                </w:tcPr>
                <w:p w14:paraId="765E16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426" w:type="dxa"/>
                  <w:vMerge w:val="continue"/>
                  <w:tcBorders>
                    <w:tl2br w:val="nil"/>
                    <w:tr2bl w:val="nil"/>
                  </w:tcBorders>
                  <w:vAlign w:val="center"/>
                </w:tcPr>
                <w:p w14:paraId="1B7A0602">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57531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AD832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10</w:t>
                  </w:r>
                </w:p>
              </w:tc>
              <w:tc>
                <w:tcPr>
                  <w:tcW w:w="744" w:type="dxa"/>
                  <w:tcBorders>
                    <w:tl2br w:val="nil"/>
                    <w:tr2bl w:val="nil"/>
                  </w:tcBorders>
                  <w:vAlign w:val="center"/>
                </w:tcPr>
                <w:p w14:paraId="278A9E0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废涂料桶</w:t>
                  </w:r>
                </w:p>
              </w:tc>
              <w:tc>
                <w:tcPr>
                  <w:tcW w:w="639" w:type="dxa"/>
                  <w:tcBorders>
                    <w:tl2br w:val="nil"/>
                    <w:tr2bl w:val="nil"/>
                  </w:tcBorders>
                  <w:vAlign w:val="center"/>
                </w:tcPr>
                <w:p w14:paraId="6BE2D5B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hint="eastAsia" w:ascii="Times New Roman" w:hAnsi="Times New Roman" w:eastAsia="宋体" w:cs="宋体"/>
                      <w:color w:val="auto"/>
                      <w:spacing w:val="6"/>
                      <w:sz w:val="21"/>
                      <w:highlight w:val="none"/>
                      <w:lang w:val="en-US" w:eastAsia="zh-CN"/>
                    </w:rPr>
                    <w:t>HW49</w:t>
                  </w:r>
                </w:p>
              </w:tc>
              <w:tc>
                <w:tcPr>
                  <w:tcW w:w="1050" w:type="dxa"/>
                  <w:tcBorders>
                    <w:tl2br w:val="nil"/>
                    <w:tr2bl w:val="nil"/>
                  </w:tcBorders>
                  <w:vAlign w:val="center"/>
                </w:tcPr>
                <w:p w14:paraId="1B9F11C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hint="eastAsia" w:ascii="Times New Roman" w:hAnsi="Times New Roman" w:eastAsia="宋体" w:cs="宋体"/>
                      <w:color w:val="auto"/>
                      <w:spacing w:val="6"/>
                      <w:sz w:val="21"/>
                      <w:highlight w:val="none"/>
                      <w:lang w:val="en-US" w:eastAsia="zh-CN"/>
                    </w:rPr>
                    <w:t>900-041-49</w:t>
                  </w:r>
                </w:p>
              </w:tc>
              <w:tc>
                <w:tcPr>
                  <w:tcW w:w="646" w:type="dxa"/>
                  <w:tcBorders>
                    <w:tl2br w:val="nil"/>
                    <w:tr2bl w:val="nil"/>
                  </w:tcBorders>
                  <w:vAlign w:val="center"/>
                </w:tcPr>
                <w:p w14:paraId="5DB3BAB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hint="eastAsia" w:ascii="Times New Roman" w:hAnsi="Times New Roman" w:eastAsia="宋体" w:cs="宋体"/>
                      <w:color w:val="auto"/>
                      <w:spacing w:val="6"/>
                      <w:sz w:val="21"/>
                      <w:highlight w:val="none"/>
                      <w:lang w:val="en-US" w:eastAsia="zh-CN"/>
                    </w:rPr>
                    <w:t>0.4</w:t>
                  </w:r>
                </w:p>
              </w:tc>
              <w:tc>
                <w:tcPr>
                  <w:tcW w:w="818" w:type="dxa"/>
                  <w:tcBorders>
                    <w:tl2br w:val="nil"/>
                    <w:tr2bl w:val="nil"/>
                  </w:tcBorders>
                  <w:vAlign w:val="center"/>
                </w:tcPr>
                <w:p w14:paraId="364959D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废涂料桶</w:t>
                  </w:r>
                </w:p>
              </w:tc>
              <w:tc>
                <w:tcPr>
                  <w:tcW w:w="350" w:type="dxa"/>
                  <w:tcBorders>
                    <w:tl2br w:val="nil"/>
                    <w:tr2bl w:val="nil"/>
                  </w:tcBorders>
                  <w:vAlign w:val="center"/>
                </w:tcPr>
                <w:p w14:paraId="7BE088A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固</w:t>
                  </w:r>
                </w:p>
              </w:tc>
              <w:tc>
                <w:tcPr>
                  <w:tcW w:w="562" w:type="dxa"/>
                  <w:tcBorders>
                    <w:tl2br w:val="nil"/>
                    <w:tr2bl w:val="nil"/>
                  </w:tcBorders>
                  <w:vAlign w:val="center"/>
                </w:tcPr>
                <w:p w14:paraId="03D065D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沾有</w:t>
                  </w:r>
                </w:p>
                <w:p w14:paraId="6FB06BE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化学</w:t>
                  </w:r>
                </w:p>
                <w:p w14:paraId="45B3BC2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品的</w:t>
                  </w:r>
                </w:p>
                <w:p w14:paraId="6E22F4A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包装物</w:t>
                  </w:r>
                </w:p>
              </w:tc>
              <w:tc>
                <w:tcPr>
                  <w:tcW w:w="1170" w:type="dxa"/>
                  <w:tcBorders>
                    <w:tl2br w:val="nil"/>
                    <w:tr2bl w:val="nil"/>
                  </w:tcBorders>
                  <w:vAlign w:val="center"/>
                </w:tcPr>
                <w:p w14:paraId="4EE3479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有机溶剂</w:t>
                  </w:r>
                </w:p>
              </w:tc>
              <w:tc>
                <w:tcPr>
                  <w:tcW w:w="397" w:type="dxa"/>
                  <w:tcBorders>
                    <w:tl2br w:val="nil"/>
                    <w:tr2bl w:val="nil"/>
                  </w:tcBorders>
                  <w:vAlign w:val="center"/>
                </w:tcPr>
                <w:p w14:paraId="69355F5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3个月</w:t>
                  </w:r>
                </w:p>
              </w:tc>
              <w:tc>
                <w:tcPr>
                  <w:tcW w:w="834" w:type="dxa"/>
                  <w:tcBorders>
                    <w:tl2br w:val="nil"/>
                    <w:tr2bl w:val="nil"/>
                  </w:tcBorders>
                  <w:vAlign w:val="center"/>
                </w:tcPr>
                <w:p w14:paraId="401EBB8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T/I/C</w:t>
                  </w:r>
                </w:p>
              </w:tc>
              <w:tc>
                <w:tcPr>
                  <w:tcW w:w="1426" w:type="dxa"/>
                  <w:vMerge w:val="continue"/>
                  <w:tcBorders>
                    <w:tl2br w:val="nil"/>
                    <w:tr2bl w:val="nil"/>
                  </w:tcBorders>
                  <w:vAlign w:val="center"/>
                </w:tcPr>
                <w:p w14:paraId="273E8FB9">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759D7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48724F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11</w:t>
                  </w:r>
                </w:p>
              </w:tc>
              <w:tc>
                <w:tcPr>
                  <w:tcW w:w="744" w:type="dxa"/>
                  <w:tcBorders>
                    <w:tl2br w:val="nil"/>
                    <w:tr2bl w:val="nil"/>
                  </w:tcBorders>
                  <w:vAlign w:val="center"/>
                </w:tcPr>
                <w:p w14:paraId="66C0E53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废滤筒滤芯</w:t>
                  </w:r>
                </w:p>
              </w:tc>
              <w:tc>
                <w:tcPr>
                  <w:tcW w:w="639" w:type="dxa"/>
                  <w:tcBorders>
                    <w:tl2br w:val="nil"/>
                    <w:tr2bl w:val="nil"/>
                  </w:tcBorders>
                  <w:shd w:val="clear" w:color="auto" w:fill="auto"/>
                  <w:vAlign w:val="center"/>
                </w:tcPr>
                <w:p w14:paraId="78D7B4F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HW49</w:t>
                  </w:r>
                </w:p>
              </w:tc>
              <w:tc>
                <w:tcPr>
                  <w:tcW w:w="1050" w:type="dxa"/>
                  <w:tcBorders>
                    <w:tl2br w:val="nil"/>
                    <w:tr2bl w:val="nil"/>
                  </w:tcBorders>
                  <w:shd w:val="clear" w:color="auto" w:fill="auto"/>
                  <w:vAlign w:val="center"/>
                </w:tcPr>
                <w:p w14:paraId="3686BD4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900-04</w:t>
                  </w:r>
                  <w:r>
                    <w:rPr>
                      <w:rFonts w:hint="eastAsia" w:ascii="Times New Roman" w:hAnsi="Times New Roman" w:eastAsia="宋体" w:cs="宋体"/>
                      <w:color w:val="auto"/>
                      <w:spacing w:val="6"/>
                      <w:sz w:val="21"/>
                      <w:highlight w:val="none"/>
                      <w:lang w:val="en-US" w:eastAsia="zh-CN"/>
                    </w:rPr>
                    <w:t>1</w:t>
                  </w:r>
                  <w:r>
                    <w:rPr>
                      <w:rFonts w:ascii="Times New Roman" w:hAnsi="Times New Roman" w:eastAsia="宋体" w:cs="宋体"/>
                      <w:color w:val="auto"/>
                      <w:spacing w:val="6"/>
                      <w:sz w:val="21"/>
                      <w:highlight w:val="none"/>
                    </w:rPr>
                    <w:t>-49</w:t>
                  </w:r>
                </w:p>
              </w:tc>
              <w:tc>
                <w:tcPr>
                  <w:tcW w:w="646" w:type="dxa"/>
                  <w:tcBorders>
                    <w:tl2br w:val="nil"/>
                    <w:tr2bl w:val="nil"/>
                  </w:tcBorders>
                  <w:shd w:val="clear" w:color="auto" w:fill="auto"/>
                  <w:vAlign w:val="center"/>
                </w:tcPr>
                <w:p w14:paraId="759CD11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2.0</w:t>
                  </w:r>
                </w:p>
              </w:tc>
              <w:tc>
                <w:tcPr>
                  <w:tcW w:w="818" w:type="dxa"/>
                  <w:tcBorders>
                    <w:tl2br w:val="nil"/>
                    <w:tr2bl w:val="nil"/>
                  </w:tcBorders>
                  <w:shd w:val="clear" w:color="auto" w:fill="auto"/>
                  <w:vAlign w:val="center"/>
                </w:tcPr>
                <w:p w14:paraId="7D9F623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喷粉粉尘治理</w:t>
                  </w:r>
                </w:p>
              </w:tc>
              <w:tc>
                <w:tcPr>
                  <w:tcW w:w="350" w:type="dxa"/>
                  <w:tcBorders>
                    <w:tl2br w:val="nil"/>
                    <w:tr2bl w:val="nil"/>
                  </w:tcBorders>
                  <w:shd w:val="clear" w:color="auto" w:fill="auto"/>
                  <w:vAlign w:val="center"/>
                </w:tcPr>
                <w:p w14:paraId="1D3BD44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固态</w:t>
                  </w:r>
                </w:p>
              </w:tc>
              <w:tc>
                <w:tcPr>
                  <w:tcW w:w="562" w:type="dxa"/>
                  <w:tcBorders>
                    <w:tl2br w:val="nil"/>
                    <w:tr2bl w:val="nil"/>
                  </w:tcBorders>
                  <w:shd w:val="clear" w:color="auto" w:fill="auto"/>
                  <w:vAlign w:val="center"/>
                </w:tcPr>
                <w:p w14:paraId="682EBEF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有机物等</w:t>
                  </w:r>
                </w:p>
              </w:tc>
              <w:tc>
                <w:tcPr>
                  <w:tcW w:w="1170" w:type="dxa"/>
                  <w:tcBorders>
                    <w:tl2br w:val="nil"/>
                    <w:tr2bl w:val="nil"/>
                  </w:tcBorders>
                  <w:shd w:val="clear" w:color="auto" w:fill="auto"/>
                  <w:vAlign w:val="center"/>
                </w:tcPr>
                <w:p w14:paraId="4A706BE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有机物等</w:t>
                  </w:r>
                </w:p>
              </w:tc>
              <w:tc>
                <w:tcPr>
                  <w:tcW w:w="397" w:type="dxa"/>
                  <w:tcBorders>
                    <w:tl2br w:val="nil"/>
                    <w:tr2bl w:val="nil"/>
                  </w:tcBorders>
                  <w:shd w:val="clear" w:color="auto" w:fill="auto"/>
                  <w:vAlign w:val="center"/>
                </w:tcPr>
                <w:p w14:paraId="4B168B3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每季</w:t>
                  </w:r>
                </w:p>
              </w:tc>
              <w:tc>
                <w:tcPr>
                  <w:tcW w:w="834" w:type="dxa"/>
                  <w:tcBorders>
                    <w:tl2br w:val="nil"/>
                    <w:tr2bl w:val="nil"/>
                  </w:tcBorders>
                  <w:shd w:val="clear" w:color="auto" w:fill="auto"/>
                  <w:vAlign w:val="center"/>
                </w:tcPr>
                <w:p w14:paraId="1C6E55D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T</w:t>
                  </w:r>
                  <w:r>
                    <w:rPr>
                      <w:rFonts w:hint="eastAsia" w:ascii="Times New Roman" w:hAnsi="Times New Roman" w:eastAsia="宋体" w:cs="宋体"/>
                      <w:color w:val="auto"/>
                      <w:spacing w:val="6"/>
                      <w:sz w:val="21"/>
                      <w:highlight w:val="none"/>
                    </w:rPr>
                    <w:t>/In</w:t>
                  </w:r>
                  <w:r>
                    <w:rPr>
                      <w:rFonts w:ascii="Times New Roman" w:hAnsi="Times New Roman" w:eastAsia="宋体" w:cs="宋体"/>
                      <w:color w:val="auto"/>
                      <w:spacing w:val="6"/>
                      <w:sz w:val="21"/>
                      <w:highlight w:val="none"/>
                    </w:rPr>
                    <w:t xml:space="preserve"> </w:t>
                  </w:r>
                </w:p>
              </w:tc>
              <w:tc>
                <w:tcPr>
                  <w:tcW w:w="1426" w:type="dxa"/>
                  <w:vMerge w:val="continue"/>
                  <w:tcBorders>
                    <w:tl2br w:val="nil"/>
                    <w:tr2bl w:val="nil"/>
                  </w:tcBorders>
                  <w:vAlign w:val="center"/>
                </w:tcPr>
                <w:p w14:paraId="19CFEBB7">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4F1E1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6239C4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12</w:t>
                  </w:r>
                </w:p>
              </w:tc>
              <w:tc>
                <w:tcPr>
                  <w:tcW w:w="744" w:type="dxa"/>
                  <w:tcBorders>
                    <w:tl2br w:val="nil"/>
                    <w:tr2bl w:val="nil"/>
                  </w:tcBorders>
                  <w:vAlign w:val="center"/>
                </w:tcPr>
                <w:p w14:paraId="6AE1208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浮油</w:t>
                  </w:r>
                </w:p>
              </w:tc>
              <w:tc>
                <w:tcPr>
                  <w:tcW w:w="639" w:type="dxa"/>
                  <w:tcBorders>
                    <w:tl2br w:val="nil"/>
                    <w:tr2bl w:val="nil"/>
                  </w:tcBorders>
                  <w:shd w:val="clear" w:color="auto" w:fill="auto"/>
                  <w:vAlign w:val="center"/>
                </w:tcPr>
                <w:p w14:paraId="651EE2B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default" w:ascii="Times New Roman" w:hAnsi="Times New Roman" w:eastAsia="宋体" w:cs="宋体"/>
                      <w:color w:val="auto"/>
                      <w:spacing w:val="6"/>
                      <w:sz w:val="21"/>
                      <w:highlight w:val="none"/>
                      <w:lang w:val="en-US" w:eastAsia="zh-CN"/>
                    </w:rPr>
                    <w:t>HW08</w:t>
                  </w:r>
                </w:p>
              </w:tc>
              <w:tc>
                <w:tcPr>
                  <w:tcW w:w="1050" w:type="dxa"/>
                  <w:tcBorders>
                    <w:tl2br w:val="nil"/>
                    <w:tr2bl w:val="nil"/>
                  </w:tcBorders>
                  <w:shd w:val="clear" w:color="auto" w:fill="auto"/>
                  <w:vAlign w:val="center"/>
                </w:tcPr>
                <w:p w14:paraId="7008006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default" w:ascii="Times New Roman" w:hAnsi="Times New Roman" w:eastAsia="宋体" w:cs="宋体"/>
                      <w:color w:val="auto"/>
                      <w:spacing w:val="6"/>
                      <w:sz w:val="21"/>
                      <w:highlight w:val="none"/>
                      <w:lang w:val="en-US" w:eastAsia="zh-CN"/>
                    </w:rPr>
                    <w:t>900-2</w:t>
                  </w:r>
                  <w:r>
                    <w:rPr>
                      <w:rFonts w:hint="eastAsia" w:ascii="Times New Roman" w:hAnsi="Times New Roman" w:eastAsia="宋体" w:cs="宋体"/>
                      <w:color w:val="auto"/>
                      <w:spacing w:val="6"/>
                      <w:sz w:val="21"/>
                      <w:highlight w:val="none"/>
                      <w:lang w:val="en-US" w:eastAsia="zh-CN"/>
                    </w:rPr>
                    <w:t>10</w:t>
                  </w:r>
                  <w:r>
                    <w:rPr>
                      <w:rFonts w:hint="default" w:ascii="Times New Roman" w:hAnsi="Times New Roman" w:eastAsia="宋体" w:cs="宋体"/>
                      <w:color w:val="auto"/>
                      <w:spacing w:val="6"/>
                      <w:sz w:val="21"/>
                      <w:highlight w:val="none"/>
                      <w:lang w:val="en-US" w:eastAsia="zh-CN"/>
                    </w:rPr>
                    <w:t>-08</w:t>
                  </w:r>
                </w:p>
              </w:tc>
              <w:tc>
                <w:tcPr>
                  <w:tcW w:w="646" w:type="dxa"/>
                  <w:tcBorders>
                    <w:tl2br w:val="nil"/>
                    <w:tr2bl w:val="nil"/>
                  </w:tcBorders>
                  <w:shd w:val="clear" w:color="auto" w:fill="auto"/>
                  <w:vAlign w:val="center"/>
                </w:tcPr>
                <w:p w14:paraId="1522E41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0.2</w:t>
                  </w:r>
                </w:p>
              </w:tc>
              <w:tc>
                <w:tcPr>
                  <w:tcW w:w="818" w:type="dxa"/>
                  <w:tcBorders>
                    <w:tl2br w:val="nil"/>
                    <w:tr2bl w:val="nil"/>
                  </w:tcBorders>
                  <w:shd w:val="clear" w:color="auto" w:fill="auto"/>
                  <w:vAlign w:val="center"/>
                </w:tcPr>
                <w:p w14:paraId="2A9615F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油水分离装置</w:t>
                  </w:r>
                </w:p>
              </w:tc>
              <w:tc>
                <w:tcPr>
                  <w:tcW w:w="350" w:type="dxa"/>
                  <w:tcBorders>
                    <w:tl2br w:val="nil"/>
                    <w:tr2bl w:val="nil"/>
                  </w:tcBorders>
                  <w:shd w:val="clear" w:color="auto" w:fill="auto"/>
                  <w:vAlign w:val="center"/>
                </w:tcPr>
                <w:p w14:paraId="4F54EFC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液态</w:t>
                  </w:r>
                </w:p>
              </w:tc>
              <w:tc>
                <w:tcPr>
                  <w:tcW w:w="562" w:type="dxa"/>
                  <w:tcBorders>
                    <w:tl2br w:val="nil"/>
                    <w:tr2bl w:val="nil"/>
                  </w:tcBorders>
                  <w:shd w:val="clear" w:color="auto" w:fill="auto"/>
                  <w:vAlign w:val="center"/>
                </w:tcPr>
                <w:p w14:paraId="2FFC900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矿物油</w:t>
                  </w:r>
                </w:p>
              </w:tc>
              <w:tc>
                <w:tcPr>
                  <w:tcW w:w="1170" w:type="dxa"/>
                  <w:tcBorders>
                    <w:tl2br w:val="nil"/>
                    <w:tr2bl w:val="nil"/>
                  </w:tcBorders>
                  <w:shd w:val="clear" w:color="auto" w:fill="auto"/>
                  <w:vAlign w:val="center"/>
                </w:tcPr>
                <w:p w14:paraId="51F931D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矿物油</w:t>
                  </w:r>
                </w:p>
              </w:tc>
              <w:tc>
                <w:tcPr>
                  <w:tcW w:w="397" w:type="dxa"/>
                  <w:tcBorders>
                    <w:tl2br w:val="nil"/>
                    <w:tr2bl w:val="nil"/>
                  </w:tcBorders>
                  <w:shd w:val="clear" w:color="auto" w:fill="auto"/>
                  <w:vAlign w:val="center"/>
                </w:tcPr>
                <w:p w14:paraId="1A79289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每</w:t>
                  </w:r>
                  <w:r>
                    <w:rPr>
                      <w:rFonts w:hint="eastAsia" w:ascii="Times New Roman" w:hAnsi="Times New Roman" w:eastAsia="宋体" w:cs="宋体"/>
                      <w:color w:val="auto"/>
                      <w:spacing w:val="6"/>
                      <w:sz w:val="21"/>
                      <w:highlight w:val="none"/>
                      <w:lang w:val="en-US" w:eastAsia="zh-CN"/>
                    </w:rPr>
                    <w:t>月</w:t>
                  </w:r>
                </w:p>
              </w:tc>
              <w:tc>
                <w:tcPr>
                  <w:tcW w:w="834" w:type="dxa"/>
                  <w:tcBorders>
                    <w:tl2br w:val="nil"/>
                    <w:tr2bl w:val="nil"/>
                  </w:tcBorders>
                  <w:shd w:val="clear" w:color="auto" w:fill="auto"/>
                  <w:vAlign w:val="center"/>
                </w:tcPr>
                <w:p w14:paraId="2DE835D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T</w:t>
                  </w:r>
                  <w:r>
                    <w:rPr>
                      <w:rFonts w:hint="eastAsia" w:ascii="Times New Roman" w:hAnsi="Times New Roman" w:cs="宋体"/>
                      <w:color w:val="auto"/>
                      <w:spacing w:val="6"/>
                      <w:sz w:val="21"/>
                      <w:highlight w:val="none"/>
                      <w:lang w:eastAsia="zh-CN"/>
                    </w:rPr>
                    <w:t xml:space="preserve">, </w:t>
                  </w:r>
                  <w:r>
                    <w:rPr>
                      <w:rFonts w:ascii="Times New Roman" w:hAnsi="Times New Roman" w:eastAsia="宋体" w:cs="宋体"/>
                      <w:color w:val="auto"/>
                      <w:spacing w:val="6"/>
                      <w:sz w:val="21"/>
                      <w:highlight w:val="none"/>
                    </w:rPr>
                    <w:t>I</w:t>
                  </w:r>
                </w:p>
              </w:tc>
              <w:tc>
                <w:tcPr>
                  <w:tcW w:w="1426" w:type="dxa"/>
                  <w:vMerge w:val="continue"/>
                  <w:tcBorders>
                    <w:tl2br w:val="nil"/>
                    <w:tr2bl w:val="nil"/>
                  </w:tcBorders>
                  <w:vAlign w:val="center"/>
                </w:tcPr>
                <w:p w14:paraId="5740FBC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4B0F9D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0E223F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13</w:t>
                  </w:r>
                </w:p>
              </w:tc>
              <w:tc>
                <w:tcPr>
                  <w:tcW w:w="744" w:type="dxa"/>
                  <w:tcBorders>
                    <w:tl2br w:val="nil"/>
                    <w:tr2bl w:val="nil"/>
                  </w:tcBorders>
                  <w:vAlign w:val="center"/>
                </w:tcPr>
                <w:p w14:paraId="25C9DF8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废漆渣</w:t>
                  </w:r>
                </w:p>
              </w:tc>
              <w:tc>
                <w:tcPr>
                  <w:tcW w:w="639" w:type="dxa"/>
                  <w:tcBorders>
                    <w:tl2br w:val="nil"/>
                    <w:tr2bl w:val="nil"/>
                  </w:tcBorders>
                  <w:vAlign w:val="center"/>
                </w:tcPr>
                <w:p w14:paraId="7AA05AA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HW</w:t>
                  </w:r>
                  <w:r>
                    <w:rPr>
                      <w:rFonts w:hint="eastAsia" w:ascii="Times New Roman" w:hAnsi="Times New Roman" w:eastAsia="宋体" w:cs="宋体"/>
                      <w:color w:val="auto"/>
                      <w:spacing w:val="6"/>
                      <w:sz w:val="21"/>
                      <w:highlight w:val="none"/>
                      <w:lang w:val="en-US" w:eastAsia="zh-CN"/>
                    </w:rPr>
                    <w:t>12</w:t>
                  </w:r>
                </w:p>
              </w:tc>
              <w:tc>
                <w:tcPr>
                  <w:tcW w:w="1050" w:type="dxa"/>
                  <w:tcBorders>
                    <w:tl2br w:val="nil"/>
                    <w:tr2bl w:val="nil"/>
                  </w:tcBorders>
                  <w:vAlign w:val="center"/>
                </w:tcPr>
                <w:p w14:paraId="6A6BAE8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default" w:ascii="Times New Roman" w:hAnsi="Times New Roman" w:eastAsia="宋体" w:cs="宋体"/>
                      <w:color w:val="auto"/>
                      <w:spacing w:val="6"/>
                      <w:sz w:val="21"/>
                      <w:highlight w:val="none"/>
                      <w:lang w:val="en-US" w:eastAsia="zh-CN"/>
                    </w:rPr>
                    <w:t>900-2</w:t>
                  </w:r>
                  <w:r>
                    <w:rPr>
                      <w:rFonts w:hint="eastAsia" w:ascii="Times New Roman" w:hAnsi="Times New Roman" w:eastAsia="宋体" w:cs="宋体"/>
                      <w:color w:val="auto"/>
                      <w:spacing w:val="6"/>
                      <w:sz w:val="21"/>
                      <w:highlight w:val="none"/>
                      <w:lang w:val="en-US" w:eastAsia="zh-CN"/>
                    </w:rPr>
                    <w:t>52-12</w:t>
                  </w:r>
                </w:p>
              </w:tc>
              <w:tc>
                <w:tcPr>
                  <w:tcW w:w="646" w:type="dxa"/>
                  <w:tcBorders>
                    <w:tl2br w:val="nil"/>
                    <w:tr2bl w:val="nil"/>
                  </w:tcBorders>
                  <w:vAlign w:val="center"/>
                </w:tcPr>
                <w:p w14:paraId="419E6A0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1.6524</w:t>
                  </w:r>
                </w:p>
              </w:tc>
              <w:tc>
                <w:tcPr>
                  <w:tcW w:w="818" w:type="dxa"/>
                  <w:tcBorders>
                    <w:tl2br w:val="nil"/>
                    <w:tr2bl w:val="nil"/>
                  </w:tcBorders>
                  <w:vAlign w:val="center"/>
                </w:tcPr>
                <w:p w14:paraId="2B78ACE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废气治理设施</w:t>
                  </w:r>
                </w:p>
              </w:tc>
              <w:tc>
                <w:tcPr>
                  <w:tcW w:w="350" w:type="dxa"/>
                  <w:tcBorders>
                    <w:tl2br w:val="nil"/>
                    <w:tr2bl w:val="nil"/>
                  </w:tcBorders>
                  <w:vAlign w:val="center"/>
                </w:tcPr>
                <w:p w14:paraId="61D8505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固态</w:t>
                  </w:r>
                </w:p>
              </w:tc>
              <w:tc>
                <w:tcPr>
                  <w:tcW w:w="562" w:type="dxa"/>
                  <w:tcBorders>
                    <w:tl2br w:val="nil"/>
                    <w:tr2bl w:val="nil"/>
                  </w:tcBorders>
                  <w:vAlign w:val="center"/>
                </w:tcPr>
                <w:p w14:paraId="0CD01F9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有机物</w:t>
                  </w:r>
                </w:p>
              </w:tc>
              <w:tc>
                <w:tcPr>
                  <w:tcW w:w="1170" w:type="dxa"/>
                  <w:tcBorders>
                    <w:tl2br w:val="nil"/>
                    <w:tr2bl w:val="nil"/>
                  </w:tcBorders>
                  <w:vAlign w:val="center"/>
                </w:tcPr>
                <w:p w14:paraId="66B83A2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有机物</w:t>
                  </w:r>
                </w:p>
              </w:tc>
              <w:tc>
                <w:tcPr>
                  <w:tcW w:w="397" w:type="dxa"/>
                  <w:tcBorders>
                    <w:tl2br w:val="nil"/>
                    <w:tr2bl w:val="nil"/>
                  </w:tcBorders>
                  <w:vAlign w:val="center"/>
                </w:tcPr>
                <w:p w14:paraId="7E9599A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每月</w:t>
                  </w:r>
                </w:p>
              </w:tc>
              <w:tc>
                <w:tcPr>
                  <w:tcW w:w="834" w:type="dxa"/>
                  <w:tcBorders>
                    <w:tl2br w:val="nil"/>
                    <w:tr2bl w:val="nil"/>
                  </w:tcBorders>
                  <w:vAlign w:val="center"/>
                </w:tcPr>
                <w:p w14:paraId="58928DB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T</w:t>
                  </w:r>
                  <w:r>
                    <w:rPr>
                      <w:rFonts w:hint="eastAsia" w:ascii="Times New Roman" w:hAnsi="Times New Roman" w:cs="宋体"/>
                      <w:color w:val="auto"/>
                      <w:spacing w:val="6"/>
                      <w:sz w:val="21"/>
                      <w:highlight w:val="none"/>
                      <w:lang w:eastAsia="zh-CN"/>
                    </w:rPr>
                    <w:t xml:space="preserve">, </w:t>
                  </w:r>
                  <w:r>
                    <w:rPr>
                      <w:rFonts w:ascii="Times New Roman" w:hAnsi="Times New Roman" w:eastAsia="宋体" w:cs="宋体"/>
                      <w:color w:val="auto"/>
                      <w:spacing w:val="6"/>
                      <w:sz w:val="21"/>
                      <w:highlight w:val="none"/>
                    </w:rPr>
                    <w:t>I</w:t>
                  </w:r>
                </w:p>
              </w:tc>
              <w:tc>
                <w:tcPr>
                  <w:tcW w:w="1426" w:type="dxa"/>
                  <w:vMerge w:val="continue"/>
                  <w:tcBorders>
                    <w:tl2br w:val="nil"/>
                    <w:tr2bl w:val="nil"/>
                  </w:tcBorders>
                  <w:vAlign w:val="center"/>
                </w:tcPr>
                <w:p w14:paraId="478F992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761E9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2571F3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14</w:t>
                  </w:r>
                </w:p>
              </w:tc>
              <w:tc>
                <w:tcPr>
                  <w:tcW w:w="744" w:type="dxa"/>
                  <w:tcBorders>
                    <w:tl2br w:val="nil"/>
                    <w:tr2bl w:val="nil"/>
                  </w:tcBorders>
                  <w:vAlign w:val="center"/>
                </w:tcPr>
                <w:p w14:paraId="38517E2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废槽液</w:t>
                  </w:r>
                </w:p>
              </w:tc>
              <w:tc>
                <w:tcPr>
                  <w:tcW w:w="639" w:type="dxa"/>
                  <w:tcBorders>
                    <w:tl2br w:val="nil"/>
                    <w:tr2bl w:val="nil"/>
                  </w:tcBorders>
                  <w:vAlign w:val="center"/>
                </w:tcPr>
                <w:p w14:paraId="60D8185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cs="宋体"/>
                      <w:color w:val="auto"/>
                      <w:spacing w:val="6"/>
                      <w:sz w:val="21"/>
                      <w:highlight w:val="none"/>
                      <w:lang w:val="en-US" w:eastAsia="zh-CN"/>
                    </w:rPr>
                    <w:t>HW17</w:t>
                  </w:r>
                </w:p>
              </w:tc>
              <w:tc>
                <w:tcPr>
                  <w:tcW w:w="1050" w:type="dxa"/>
                  <w:tcBorders>
                    <w:tl2br w:val="nil"/>
                    <w:tr2bl w:val="nil"/>
                  </w:tcBorders>
                  <w:vAlign w:val="center"/>
                </w:tcPr>
                <w:p w14:paraId="307DEFA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cs="宋体"/>
                      <w:color w:val="auto"/>
                      <w:spacing w:val="6"/>
                      <w:sz w:val="21"/>
                      <w:highlight w:val="none"/>
                      <w:lang w:val="en-US" w:eastAsia="zh-CN"/>
                    </w:rPr>
                    <w:t>336-064-17</w:t>
                  </w:r>
                </w:p>
              </w:tc>
              <w:tc>
                <w:tcPr>
                  <w:tcW w:w="646" w:type="dxa"/>
                  <w:tcBorders>
                    <w:tl2br w:val="nil"/>
                    <w:tr2bl w:val="nil"/>
                  </w:tcBorders>
                  <w:vAlign w:val="center"/>
                </w:tcPr>
                <w:p w14:paraId="524DF1D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cs="宋体"/>
                      <w:color w:val="auto"/>
                      <w:spacing w:val="6"/>
                      <w:sz w:val="21"/>
                      <w:highlight w:val="none"/>
                      <w:lang w:val="en-US" w:eastAsia="zh-CN"/>
                    </w:rPr>
                    <w:t>83.18</w:t>
                  </w:r>
                </w:p>
              </w:tc>
              <w:tc>
                <w:tcPr>
                  <w:tcW w:w="818" w:type="dxa"/>
                  <w:tcBorders>
                    <w:tl2br w:val="nil"/>
                    <w:tr2bl w:val="nil"/>
                  </w:tcBorders>
                  <w:vAlign w:val="center"/>
                </w:tcPr>
                <w:p w14:paraId="72A489D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cs="宋体"/>
                      <w:color w:val="auto"/>
                      <w:spacing w:val="6"/>
                      <w:sz w:val="21"/>
                      <w:highlight w:val="none"/>
                      <w:lang w:val="en-US" w:eastAsia="zh-CN"/>
                    </w:rPr>
                    <w:t>电泳</w:t>
                  </w:r>
                </w:p>
              </w:tc>
              <w:tc>
                <w:tcPr>
                  <w:tcW w:w="350" w:type="dxa"/>
                  <w:tcBorders>
                    <w:tl2br w:val="nil"/>
                    <w:tr2bl w:val="nil"/>
                  </w:tcBorders>
                  <w:vAlign w:val="center"/>
                </w:tcPr>
                <w:p w14:paraId="4E9C74E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ascii="Times New Roman" w:hAnsi="Times New Roman" w:eastAsia="宋体" w:cs="宋体"/>
                      <w:color w:val="auto"/>
                      <w:spacing w:val="6"/>
                      <w:sz w:val="21"/>
                      <w:highlight w:val="none"/>
                    </w:rPr>
                    <w:t>液态</w:t>
                  </w:r>
                </w:p>
              </w:tc>
              <w:tc>
                <w:tcPr>
                  <w:tcW w:w="562" w:type="dxa"/>
                  <w:tcBorders>
                    <w:tl2br w:val="nil"/>
                    <w:tr2bl w:val="nil"/>
                  </w:tcBorders>
                  <w:vAlign w:val="center"/>
                </w:tcPr>
                <w:p w14:paraId="10F5E3A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有机物</w:t>
                  </w:r>
                </w:p>
              </w:tc>
              <w:tc>
                <w:tcPr>
                  <w:tcW w:w="1170" w:type="dxa"/>
                  <w:tcBorders>
                    <w:tl2br w:val="nil"/>
                    <w:tr2bl w:val="nil"/>
                  </w:tcBorders>
                  <w:vAlign w:val="center"/>
                </w:tcPr>
                <w:p w14:paraId="07C0E10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有机物等</w:t>
                  </w:r>
                </w:p>
              </w:tc>
              <w:tc>
                <w:tcPr>
                  <w:tcW w:w="397" w:type="dxa"/>
                  <w:tcBorders>
                    <w:tl2br w:val="nil"/>
                    <w:tr2bl w:val="nil"/>
                  </w:tcBorders>
                  <w:vAlign w:val="center"/>
                </w:tcPr>
                <w:p w14:paraId="0B3F8A1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spacing w:val="6"/>
                      <w:sz w:val="21"/>
                      <w:highlight w:val="none"/>
                      <w:lang w:val="en-US" w:eastAsia="zh-CN"/>
                    </w:rPr>
                  </w:pPr>
                  <w:r>
                    <w:rPr>
                      <w:rFonts w:hint="eastAsia" w:ascii="Times New Roman" w:hAnsi="Times New Roman" w:eastAsia="宋体" w:cs="宋体"/>
                      <w:color w:val="auto"/>
                      <w:spacing w:val="6"/>
                      <w:sz w:val="21"/>
                      <w:highlight w:val="none"/>
                      <w:lang w:val="en-US" w:eastAsia="zh-CN"/>
                    </w:rPr>
                    <w:t>每2年</w:t>
                  </w:r>
                </w:p>
              </w:tc>
              <w:tc>
                <w:tcPr>
                  <w:tcW w:w="834" w:type="dxa"/>
                  <w:tcBorders>
                    <w:tl2br w:val="nil"/>
                    <w:tr2bl w:val="nil"/>
                  </w:tcBorders>
                  <w:vAlign w:val="center"/>
                </w:tcPr>
                <w:p w14:paraId="7205B7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T/C</w:t>
                  </w:r>
                </w:p>
              </w:tc>
              <w:tc>
                <w:tcPr>
                  <w:tcW w:w="1426" w:type="dxa"/>
                  <w:tcBorders>
                    <w:tl2br w:val="nil"/>
                    <w:tr2bl w:val="nil"/>
                  </w:tcBorders>
                  <w:vAlign w:val="center"/>
                </w:tcPr>
                <w:p w14:paraId="67F2A16C">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bookmarkEnd w:id="56"/>
            <w:bookmarkEnd w:id="57"/>
          </w:tbl>
          <w:p w14:paraId="72A5BBC9">
            <w:pPr>
              <w:pStyle w:val="4"/>
              <w:numPr>
                <w:ilvl w:val="2"/>
                <w:numId w:val="1"/>
              </w:numPr>
              <w:bidi w:val="0"/>
              <w:ind w:left="720" w:leftChars="0" w:hanging="72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环境管理要求</w:t>
            </w:r>
          </w:p>
          <w:p w14:paraId="7D4DEBE7">
            <w:pPr>
              <w:pStyle w:val="30"/>
              <w:widowControl w:val="0"/>
              <w:spacing w:before="0" w:beforeAutospacing="0" w:after="0" w:afterAutospacing="0" w:line="360" w:lineRule="auto"/>
              <w:ind w:firstLine="480" w:firstLineChars="200"/>
              <w:jc w:val="both"/>
              <w:rPr>
                <w:color w:val="auto"/>
                <w:highlight w:val="none"/>
              </w:rPr>
            </w:pPr>
            <w:r>
              <w:rPr>
                <w:rFonts w:hint="eastAsia" w:ascii="Times New Roman" w:hAnsi="Times New Roman" w:cs="宋体"/>
                <w:color w:val="auto"/>
                <w:kern w:val="2"/>
                <w:szCs w:val="24"/>
                <w:highlight w:val="none"/>
                <w:lang w:bidi="ar"/>
              </w:rPr>
              <w:t>固体废物的收集方式强调采用分类收集，即各种垃圾按不同性质，分别收集处置。</w:t>
            </w:r>
          </w:p>
          <w:p w14:paraId="33B74DDE">
            <w:pPr>
              <w:pStyle w:val="30"/>
              <w:widowControl w:val="0"/>
              <w:spacing w:before="0" w:beforeAutospacing="0" w:after="0" w:afterAutospacing="0" w:line="360" w:lineRule="auto"/>
              <w:ind w:firstLine="480" w:firstLineChars="200"/>
              <w:jc w:val="both"/>
              <w:rPr>
                <w:color w:val="auto"/>
                <w:highlight w:val="none"/>
              </w:rPr>
            </w:pPr>
            <w:r>
              <w:rPr>
                <w:rFonts w:hint="eastAsia"/>
                <w:color w:val="auto"/>
                <w:kern w:val="2"/>
                <w:szCs w:val="24"/>
                <w:highlight w:val="none"/>
                <w:lang w:eastAsia="zh-CN" w:bidi="ar"/>
              </w:rPr>
              <w:t>（</w:t>
            </w:r>
            <w:r>
              <w:rPr>
                <w:rFonts w:hint="eastAsia"/>
                <w:color w:val="auto"/>
                <w:kern w:val="2"/>
                <w:szCs w:val="24"/>
                <w:highlight w:val="none"/>
                <w:lang w:val="en-US" w:eastAsia="zh-CN" w:bidi="ar"/>
              </w:rPr>
              <w:t>1</w:t>
            </w:r>
            <w:r>
              <w:rPr>
                <w:rFonts w:hint="eastAsia"/>
                <w:color w:val="auto"/>
                <w:kern w:val="2"/>
                <w:szCs w:val="24"/>
                <w:highlight w:val="none"/>
                <w:lang w:eastAsia="zh-CN" w:bidi="ar"/>
              </w:rPr>
              <w:t>）</w:t>
            </w:r>
            <w:r>
              <w:rPr>
                <w:rFonts w:hint="eastAsia" w:ascii="Times New Roman" w:hAnsi="Times New Roman" w:cs="宋体"/>
                <w:color w:val="auto"/>
                <w:kern w:val="2"/>
                <w:szCs w:val="24"/>
                <w:highlight w:val="none"/>
                <w:lang w:bidi="ar"/>
              </w:rPr>
              <w:t>生活垃圾处置措施</w:t>
            </w:r>
          </w:p>
          <w:p w14:paraId="4B17492E">
            <w:pPr>
              <w:pStyle w:val="30"/>
              <w:widowControl w:val="0"/>
              <w:spacing w:before="0" w:beforeAutospacing="0" w:after="0" w:afterAutospacing="0" w:line="360" w:lineRule="auto"/>
              <w:ind w:firstLine="480" w:firstLineChars="200"/>
              <w:jc w:val="both"/>
              <w:rPr>
                <w:color w:val="auto"/>
                <w:highlight w:val="none"/>
              </w:rPr>
            </w:pPr>
            <w:r>
              <w:rPr>
                <w:rFonts w:hint="eastAsia" w:ascii="Times New Roman" w:hAnsi="Times New Roman" w:cs="宋体"/>
                <w:color w:val="auto"/>
                <w:kern w:val="2"/>
                <w:szCs w:val="24"/>
                <w:highlight w:val="none"/>
                <w:lang w:bidi="ar"/>
              </w:rPr>
              <w:t>生活垃圾极易腐败发臭，必须定点收集，及时清运或处理。可在厂区生产区和办公生活区设置一些垃圾收集桶。厂区应配备专职的清洁人员和必要的工具，负责清扫厂区，维持清洁卫生，生活垃圾收集后委托环卫部门处理。</w:t>
            </w:r>
          </w:p>
          <w:p w14:paraId="303744AA">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auto"/>
                <w:kern w:val="2"/>
                <w:szCs w:val="24"/>
                <w:highlight w:val="none"/>
                <w:lang w:bidi="ar"/>
              </w:rPr>
            </w:pPr>
            <w:r>
              <w:rPr>
                <w:rFonts w:hint="eastAsia" w:cs="宋体"/>
                <w:color w:val="auto"/>
                <w:kern w:val="2"/>
                <w:szCs w:val="24"/>
                <w:highlight w:val="none"/>
                <w:lang w:eastAsia="zh-CN" w:bidi="ar"/>
              </w:rPr>
              <w:t>（</w:t>
            </w:r>
            <w:r>
              <w:rPr>
                <w:rFonts w:hint="eastAsia" w:cs="宋体"/>
                <w:color w:val="auto"/>
                <w:kern w:val="2"/>
                <w:szCs w:val="24"/>
                <w:highlight w:val="none"/>
                <w:lang w:val="en-US" w:eastAsia="zh-CN" w:bidi="ar"/>
              </w:rPr>
              <w:t>2</w:t>
            </w:r>
            <w:r>
              <w:rPr>
                <w:rFonts w:hint="eastAsia" w:cs="宋体"/>
                <w:color w:val="auto"/>
                <w:kern w:val="2"/>
                <w:szCs w:val="24"/>
                <w:highlight w:val="none"/>
                <w:lang w:eastAsia="zh-CN" w:bidi="ar"/>
              </w:rPr>
              <w:t>）</w:t>
            </w:r>
            <w:r>
              <w:rPr>
                <w:rFonts w:hint="eastAsia" w:ascii="Times New Roman" w:hAnsi="Times New Roman" w:cs="宋体"/>
                <w:color w:val="auto"/>
                <w:kern w:val="2"/>
                <w:szCs w:val="24"/>
                <w:highlight w:val="none"/>
                <w:lang w:bidi="ar"/>
              </w:rPr>
              <w:t>一般工业固体废物管理要求</w:t>
            </w:r>
          </w:p>
          <w:p w14:paraId="3B6417BB">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t>厂区内一般固体废物临时贮存应采取以下措施：</w:t>
            </w:r>
          </w:p>
          <w:p w14:paraId="3115697B">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1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①</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一般工业固体废物应按Ⅰ类和Ⅱ类废物分别储存，建立分类收集房。不允许将危险废物和生活垃圾混入。</w:t>
            </w:r>
          </w:p>
          <w:p w14:paraId="56E137ED">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2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②</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尽量将可利用的一般工业固体废物回收、利用。</w:t>
            </w:r>
          </w:p>
          <w:p w14:paraId="3873CC56">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3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③</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加强企业内部对固体废物的管理，对固体废物实行从产生、收集、运输、贮存直至最终处理实行全过程管理，加强固体废物运输过程的事故风险防范，建立固体废物产生、外运、处置及最终去向的详细台账。</w:t>
            </w:r>
          </w:p>
          <w:p w14:paraId="38C876D8">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4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④</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14:paraId="55FD0573">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5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⑤</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为加强管理监督，贮存</w:t>
            </w:r>
            <w:r>
              <w:rPr>
                <w:rFonts w:hint="eastAsia" w:cs="宋体"/>
                <w:color w:val="auto"/>
                <w:kern w:val="2"/>
                <w:szCs w:val="24"/>
                <w:highlight w:val="none"/>
                <w:lang w:eastAsia="zh-CN" w:bidi="ar"/>
              </w:rPr>
              <w:t>场所</w:t>
            </w:r>
            <w:r>
              <w:rPr>
                <w:rFonts w:hint="eastAsia" w:ascii="Times New Roman" w:hAnsi="Times New Roman" w:eastAsia="宋体" w:cs="宋体"/>
                <w:color w:val="auto"/>
                <w:kern w:val="2"/>
                <w:szCs w:val="24"/>
                <w:highlight w:val="none"/>
                <w:lang w:bidi="ar"/>
              </w:rPr>
              <w:t>应按《</w:t>
            </w:r>
            <w:r>
              <w:rPr>
                <w:rFonts w:hint="eastAsia" w:cs="宋体"/>
                <w:color w:val="auto"/>
                <w:kern w:val="2"/>
                <w:szCs w:val="24"/>
                <w:highlight w:val="none"/>
                <w:lang w:eastAsia="zh-CN" w:bidi="ar"/>
              </w:rPr>
              <w:t>环境保护图形标志 固体废物贮存（处置）场</w:t>
            </w:r>
            <w:r>
              <w:rPr>
                <w:rFonts w:hint="eastAsia" w:ascii="Times New Roman" w:hAnsi="Times New Roman" w:eastAsia="宋体" w:cs="宋体"/>
                <w:color w:val="auto"/>
                <w:kern w:val="2"/>
                <w:szCs w:val="24"/>
                <w:highlight w:val="none"/>
                <w:lang w:bidi="ar"/>
              </w:rPr>
              <w:t>》（GB15562.2-1995）</w:t>
            </w:r>
            <w:r>
              <w:rPr>
                <w:rFonts w:hint="eastAsia" w:cs="宋体"/>
                <w:color w:val="auto"/>
                <w:kern w:val="2"/>
                <w:szCs w:val="24"/>
                <w:highlight w:val="none"/>
                <w:lang w:val="en-US" w:eastAsia="zh-CN" w:bidi="ar"/>
              </w:rPr>
              <w:t>修改单</w:t>
            </w:r>
            <w:r>
              <w:rPr>
                <w:rFonts w:hint="eastAsia" w:ascii="Times New Roman" w:hAnsi="Times New Roman" w:eastAsia="宋体" w:cs="宋体"/>
                <w:color w:val="auto"/>
                <w:kern w:val="2"/>
                <w:szCs w:val="24"/>
                <w:highlight w:val="none"/>
                <w:lang w:bidi="ar"/>
              </w:rPr>
              <w:t>设置环境保护图形标志。</w:t>
            </w:r>
          </w:p>
          <w:p w14:paraId="46A12DEF">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t>采取以上措施后一般固体废物对周边环境影响小，因此措施可行。</w:t>
            </w:r>
          </w:p>
          <w:p w14:paraId="781EC7FA">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auto"/>
                <w:kern w:val="2"/>
                <w:szCs w:val="24"/>
                <w:highlight w:val="none"/>
                <w:lang w:bidi="ar"/>
              </w:rPr>
            </w:pPr>
            <w:r>
              <w:rPr>
                <w:rFonts w:hint="eastAsia" w:cs="宋体"/>
                <w:color w:val="auto"/>
                <w:kern w:val="2"/>
                <w:szCs w:val="24"/>
                <w:highlight w:val="none"/>
                <w:lang w:eastAsia="zh-CN" w:bidi="ar"/>
              </w:rPr>
              <w:t>（</w:t>
            </w:r>
            <w:r>
              <w:rPr>
                <w:rFonts w:hint="eastAsia" w:cs="宋体"/>
                <w:color w:val="auto"/>
                <w:kern w:val="2"/>
                <w:szCs w:val="24"/>
                <w:highlight w:val="none"/>
                <w:lang w:val="en-US" w:eastAsia="zh-CN" w:bidi="ar"/>
              </w:rPr>
              <w:t>3</w:t>
            </w:r>
            <w:r>
              <w:rPr>
                <w:rFonts w:hint="eastAsia" w:cs="宋体"/>
                <w:color w:val="auto"/>
                <w:kern w:val="2"/>
                <w:szCs w:val="24"/>
                <w:highlight w:val="none"/>
                <w:lang w:eastAsia="zh-CN" w:bidi="ar"/>
              </w:rPr>
              <w:t>）</w:t>
            </w:r>
            <w:r>
              <w:rPr>
                <w:rFonts w:hint="eastAsia" w:ascii="Times New Roman" w:hAnsi="Times New Roman" w:cs="宋体"/>
                <w:color w:val="auto"/>
                <w:kern w:val="2"/>
                <w:szCs w:val="24"/>
                <w:highlight w:val="none"/>
                <w:lang w:bidi="ar"/>
              </w:rPr>
              <w:t>危险废物管理要求</w:t>
            </w:r>
          </w:p>
          <w:p w14:paraId="198A00F5">
            <w:pPr>
              <w:pStyle w:val="118"/>
              <w:spacing w:line="360" w:lineRule="auto"/>
              <w:ind w:firstLine="31680"/>
              <w:jc w:val="both"/>
              <w:rPr>
                <w:rFonts w:ascii="Times New Roman" w:hAnsi="Times New Roman" w:eastAsia="宋体"/>
                <w:color w:val="auto"/>
                <w:highlight w:val="none"/>
              </w:rPr>
            </w:pPr>
            <w:r>
              <w:rPr>
                <w:rFonts w:hint="eastAsia" w:ascii="Times New Roman" w:hAnsi="Times New Roman" w:eastAsia="宋体"/>
                <w:color w:val="auto"/>
                <w:highlight w:val="none"/>
              </w:rPr>
              <w:t>危险废物的收集和贮存应遵循以下要求：</w:t>
            </w:r>
          </w:p>
          <w:p w14:paraId="793191D8">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①危险废物的收集容器和临时贮存场所应严格按照《危险废物贮存污染控制标准》（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）中的有关规定执行。贮存区必须按</w:t>
            </w:r>
            <w:r>
              <w:rPr>
                <w:rFonts w:ascii="Times New Roman" w:hAnsi="Times New Roman" w:eastAsia="宋体"/>
                <w:color w:val="auto"/>
                <w:highlight w:val="none"/>
              </w:rPr>
              <w:t>GB15562.2</w:t>
            </w:r>
            <w:r>
              <w:rPr>
                <w:rFonts w:hint="eastAsia" w:ascii="Times New Roman" w:hAnsi="Times New Roman" w:eastAsia="宋体"/>
                <w:color w:val="auto"/>
                <w:highlight w:val="none"/>
              </w:rPr>
              <w:t>的规定设置警示标志，并具有防雨淋、防日晒、防渗漏措施</w:t>
            </w:r>
            <w:r>
              <w:rPr>
                <w:rFonts w:hint="eastAsia"/>
                <w:color w:val="auto"/>
                <w:highlight w:val="none"/>
                <w:lang w:eastAsia="zh-CN"/>
              </w:rPr>
              <w:t>且</w:t>
            </w:r>
            <w:r>
              <w:rPr>
                <w:rFonts w:hint="eastAsia" w:ascii="Times New Roman" w:hAnsi="Times New Roman" w:eastAsia="宋体"/>
                <w:color w:val="auto"/>
                <w:highlight w:val="none"/>
              </w:rPr>
              <w:t>危险废物要有专用的收集容器，定期对所贮存的危险废物贮存设施进行检查，发现破损，应及时采取措施。</w:t>
            </w:r>
            <w:r>
              <w:rPr>
                <w:rFonts w:hint="eastAsia"/>
                <w:color w:val="auto"/>
                <w:highlight w:val="none"/>
                <w:lang w:val="en-US" w:eastAsia="zh-CN"/>
              </w:rPr>
              <w:t>建设单位应</w:t>
            </w:r>
            <w:r>
              <w:rPr>
                <w:rFonts w:hint="eastAsia" w:ascii="Times New Roman" w:hAnsi="Times New Roman" w:eastAsia="宋体"/>
                <w:color w:val="auto"/>
                <w:highlight w:val="none"/>
              </w:rPr>
              <w:t>按照《危险废物污染防治技术政策》（环发</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2001</w:t>
            </w:r>
            <w:r>
              <w:rPr>
                <w:rFonts w:hint="eastAsia" w:ascii="Times New Roman" w:hAnsi="Times New Roman" w:eastAsia="宋体"/>
                <w:color w:val="auto"/>
                <w:sz w:val="24"/>
                <w:highlight w:val="none"/>
              </w:rPr>
              <w:t>〕</w:t>
            </w:r>
            <w:r>
              <w:rPr>
                <w:rFonts w:ascii="Times New Roman" w:hAnsi="Times New Roman" w:eastAsia="宋体"/>
                <w:color w:val="auto"/>
                <w:highlight w:val="none"/>
              </w:rPr>
              <w:t>199</w:t>
            </w:r>
            <w:r>
              <w:rPr>
                <w:rFonts w:hint="eastAsia" w:ascii="Times New Roman" w:hAnsi="Times New Roman" w:eastAsia="宋体"/>
                <w:color w:val="auto"/>
                <w:highlight w:val="none"/>
              </w:rPr>
              <w:t>号）、《危险废物贮存污染控制标准》（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）及《建设项目危险废物环境影响评价指南》（</w:t>
            </w:r>
            <w:r>
              <w:rPr>
                <w:rFonts w:ascii="Times New Roman" w:hAnsi="Times New Roman" w:eastAsia="宋体"/>
                <w:color w:val="auto"/>
                <w:highlight w:val="none"/>
              </w:rPr>
              <w:t>2017.10.1</w:t>
            </w:r>
            <w:r>
              <w:rPr>
                <w:rFonts w:hint="eastAsia" w:ascii="Times New Roman" w:hAnsi="Times New Roman" w:eastAsia="宋体"/>
                <w:color w:val="auto"/>
                <w:highlight w:val="none"/>
              </w:rPr>
              <w:t>实施）等文件、技术规范要求设置危险废物临时贮存间。</w:t>
            </w:r>
          </w:p>
          <w:p w14:paraId="75DDBA18">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危险废物临时贮存的几点要求：</w:t>
            </w:r>
          </w:p>
          <w:p w14:paraId="39B94FEB">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危险废物在收集时，应清楚废物的类别及主要成分，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14:paraId="458D9738">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B</w:t>
            </w:r>
            <w:r>
              <w:rPr>
                <w:rFonts w:hint="eastAsia"/>
                <w:color w:val="auto"/>
                <w:highlight w:val="none"/>
                <w:lang w:eastAsia="zh-CN"/>
              </w:rPr>
              <w:t>.</w:t>
            </w:r>
            <w:r>
              <w:rPr>
                <w:rFonts w:hint="eastAsia" w:ascii="Times New Roman" w:hAnsi="Times New Roman" w:eastAsia="宋体"/>
                <w:color w:val="auto"/>
                <w:highlight w:val="none"/>
              </w:rPr>
              <w:t>按《</w:t>
            </w:r>
            <w:r>
              <w:rPr>
                <w:rFonts w:hint="eastAsia"/>
                <w:color w:val="auto"/>
                <w:highlight w:val="none"/>
                <w:lang w:eastAsia="zh-CN"/>
              </w:rPr>
              <w:t>环境保护图形标志 固体废物贮存（处置）场</w:t>
            </w:r>
            <w:r>
              <w:rPr>
                <w:rFonts w:hint="eastAsia" w:ascii="Times New Roman" w:hAnsi="Times New Roman" w:eastAsia="宋体"/>
                <w:color w:val="auto"/>
                <w:highlight w:val="none"/>
              </w:rPr>
              <w:t>》（</w:t>
            </w:r>
            <w:r>
              <w:rPr>
                <w:rFonts w:hint="eastAsia"/>
                <w:color w:val="auto"/>
                <w:highlight w:val="none"/>
                <w:lang w:eastAsia="zh-CN"/>
              </w:rPr>
              <w:t>GB 15562.2-1995）</w:t>
            </w:r>
            <w:r>
              <w:rPr>
                <w:rFonts w:hint="eastAsia"/>
                <w:color w:val="auto"/>
                <w:highlight w:val="none"/>
                <w:lang w:val="en-US" w:eastAsia="zh-CN"/>
              </w:rPr>
              <w:t>修改单</w:t>
            </w:r>
            <w:r>
              <w:rPr>
                <w:rFonts w:hint="eastAsia" w:ascii="Times New Roman" w:hAnsi="Times New Roman" w:eastAsia="宋体" w:cs="Times New Roman"/>
                <w:color w:val="auto"/>
                <w:highlight w:val="none"/>
              </w:rPr>
              <w:t>《危险废物识别标志设置技术规范》（HJ 1276-2022）</w:t>
            </w:r>
            <w:r>
              <w:rPr>
                <w:rFonts w:hint="eastAsia" w:ascii="Times New Roman" w:hAnsi="Times New Roman" w:eastAsia="宋体"/>
                <w:color w:val="auto"/>
                <w:highlight w:val="none"/>
              </w:rPr>
              <w:t>在收集场所醒目的地方设置危险废物警告标识。</w:t>
            </w:r>
          </w:p>
          <w:p w14:paraId="5B5BAC33">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C</w:t>
            </w:r>
            <w:r>
              <w:rPr>
                <w:rFonts w:hint="eastAsia"/>
                <w:color w:val="auto"/>
                <w:highlight w:val="none"/>
                <w:lang w:eastAsia="zh-CN"/>
              </w:rPr>
              <w:t>.</w:t>
            </w:r>
            <w:r>
              <w:rPr>
                <w:rFonts w:hint="eastAsia" w:ascii="Times New Roman" w:hAnsi="Times New Roman" w:eastAsia="宋体"/>
                <w:color w:val="auto"/>
                <w:highlight w:val="none"/>
              </w:rPr>
              <w:t>由专人负责管理。危险废物按不同名录分类分区堆放，并做好隔离、防水、防晒、防雨、防渗、防火处理。</w:t>
            </w:r>
          </w:p>
          <w:p w14:paraId="2AD342FF">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D</w:t>
            </w:r>
            <w:r>
              <w:rPr>
                <w:rFonts w:hint="eastAsia"/>
                <w:color w:val="auto"/>
                <w:highlight w:val="none"/>
                <w:lang w:eastAsia="zh-CN"/>
              </w:rPr>
              <w:t>.</w:t>
            </w:r>
            <w:r>
              <w:rPr>
                <w:rFonts w:hint="eastAsia" w:ascii="Times New Roman" w:hAnsi="Times New Roman" w:eastAsia="宋体"/>
                <w:color w:val="auto"/>
                <w:highlight w:val="none"/>
              </w:rPr>
              <w:t>应配备通讯设备、照明设施、安全防护服装及工具，并设有报警装置和应急防护设施。</w:t>
            </w:r>
          </w:p>
          <w:p w14:paraId="4CF54517">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E</w:t>
            </w:r>
            <w:r>
              <w:rPr>
                <w:rFonts w:hint="eastAsia"/>
                <w:color w:val="auto"/>
                <w:highlight w:val="none"/>
                <w:lang w:eastAsia="zh-CN"/>
              </w:rPr>
              <w:t>.</w:t>
            </w:r>
            <w:r>
              <w:rPr>
                <w:rFonts w:hint="eastAsia" w:ascii="Times New Roman" w:hAnsi="Times New Roman" w:eastAsia="宋体"/>
                <w:color w:val="auto"/>
                <w:highlight w:val="none"/>
              </w:rPr>
              <w:t>贮存区内禁止混放不相容危险废物；禁止危险废物混入非危险废物中贮存；危险废物按种类分别存放</w:t>
            </w:r>
            <w:r>
              <w:rPr>
                <w:rFonts w:hint="eastAsia"/>
                <w:color w:val="auto"/>
                <w:highlight w:val="none"/>
                <w:lang w:eastAsia="zh-CN"/>
              </w:rPr>
              <w:t>且</w:t>
            </w:r>
            <w:r>
              <w:rPr>
                <w:rFonts w:hint="eastAsia" w:ascii="Times New Roman" w:hAnsi="Times New Roman" w:eastAsia="宋体"/>
                <w:color w:val="auto"/>
                <w:highlight w:val="none"/>
              </w:rPr>
              <w:t>不同类废物间有明显的间隔（如过道等）。</w:t>
            </w:r>
          </w:p>
          <w:p w14:paraId="29C83ADE">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F</w:t>
            </w:r>
            <w:r>
              <w:rPr>
                <w:rFonts w:hint="eastAsia"/>
                <w:color w:val="auto"/>
                <w:highlight w:val="none"/>
                <w:lang w:eastAsia="zh-CN"/>
              </w:rPr>
              <w:t>.</w:t>
            </w:r>
            <w:r>
              <w:rPr>
                <w:rFonts w:hint="eastAsia" w:ascii="Times New Roman" w:hAnsi="Times New Roman" w:eastAsia="宋体"/>
                <w:color w:val="auto"/>
                <w:highlight w:val="none"/>
              </w:rPr>
              <w:t>危险废物临时贮存场所的地面和裙脚要用坚固、防渗的材料建造；该贮存场所的地面与裙脚围建一定的空间，该容积不低于堵截最大容器的最大储量或总储量的</w:t>
            </w:r>
            <w:r>
              <w:rPr>
                <w:rFonts w:ascii="Times New Roman" w:hAnsi="Times New Roman" w:eastAsia="宋体"/>
                <w:color w:val="auto"/>
                <w:highlight w:val="none"/>
              </w:rPr>
              <w:t>1/5</w:t>
            </w:r>
            <w:r>
              <w:rPr>
                <w:rFonts w:hint="eastAsia" w:ascii="Times New Roman" w:hAnsi="Times New Roman" w:eastAsia="宋体"/>
                <w:color w:val="auto"/>
                <w:highlight w:val="none"/>
              </w:rPr>
              <w:t>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w:t>
            </w:r>
            <w:r>
              <w:rPr>
                <w:rFonts w:ascii="Times New Roman" w:hAnsi="Times New Roman" w:eastAsia="宋体"/>
                <w:color w:val="auto"/>
                <w:highlight w:val="none"/>
              </w:rPr>
              <w:t>1m</w:t>
            </w:r>
            <w:r>
              <w:rPr>
                <w:rFonts w:hint="eastAsia" w:ascii="Times New Roman" w:hAnsi="Times New Roman" w:eastAsia="宋体"/>
                <w:color w:val="auto"/>
                <w:highlight w:val="none"/>
              </w:rPr>
              <w:t>厚黏土层（渗透系数≤</w:t>
            </w:r>
            <w:r>
              <w:rPr>
                <w:rFonts w:ascii="Times New Roman" w:hAnsi="Times New Roman" w:eastAsia="宋体"/>
                <w:color w:val="auto"/>
                <w:highlight w:val="none"/>
              </w:rPr>
              <w:t>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cm/s</w:t>
            </w:r>
            <w:r>
              <w:rPr>
                <w:rFonts w:hint="eastAsia" w:ascii="Times New Roman" w:hAnsi="Times New Roman" w:eastAsia="宋体"/>
                <w:color w:val="auto"/>
                <w:highlight w:val="none"/>
              </w:rPr>
              <w:t>），或</w:t>
            </w:r>
            <w:r>
              <w:rPr>
                <w:rFonts w:ascii="Times New Roman" w:hAnsi="Times New Roman" w:eastAsia="宋体"/>
                <w:color w:val="auto"/>
                <w:highlight w:val="none"/>
              </w:rPr>
              <w:t>2mm</w:t>
            </w:r>
            <w:r>
              <w:rPr>
                <w:rFonts w:hint="eastAsia" w:ascii="Times New Roman" w:hAnsi="Times New Roman" w:eastAsia="宋体"/>
                <w:color w:val="auto"/>
                <w:highlight w:val="none"/>
              </w:rPr>
              <w:t>厚高密度聚乙烯，或至少</w:t>
            </w:r>
            <w:r>
              <w:rPr>
                <w:rFonts w:ascii="Times New Roman" w:hAnsi="Times New Roman" w:eastAsia="宋体"/>
                <w:color w:val="auto"/>
                <w:highlight w:val="none"/>
              </w:rPr>
              <w:t>2mm</w:t>
            </w:r>
            <w:r>
              <w:rPr>
                <w:rFonts w:hint="eastAsia" w:ascii="Times New Roman" w:hAnsi="Times New Roman" w:eastAsia="宋体"/>
                <w:color w:val="auto"/>
                <w:highlight w:val="none"/>
              </w:rPr>
              <w:t>厚的其他人工材料，渗透系数≤</w:t>
            </w:r>
            <w:r>
              <w:rPr>
                <w:rFonts w:ascii="Times New Roman" w:hAnsi="Times New Roman" w:eastAsia="宋体"/>
                <w:color w:val="auto"/>
                <w:highlight w:val="none"/>
              </w:rPr>
              <w:t>10</w:t>
            </w:r>
            <w:r>
              <w:rPr>
                <w:rFonts w:ascii="Times New Roman" w:hAnsi="Times New Roman" w:eastAsia="宋体"/>
                <w:color w:val="auto"/>
                <w:highlight w:val="none"/>
                <w:vertAlign w:val="superscript"/>
              </w:rPr>
              <w:t>-10</w:t>
            </w:r>
            <w:r>
              <w:rPr>
                <w:rFonts w:ascii="Times New Roman" w:hAnsi="Times New Roman" w:eastAsia="宋体"/>
                <w:color w:val="auto"/>
                <w:highlight w:val="none"/>
              </w:rPr>
              <w:t>cm/s</w:t>
            </w:r>
            <w:r>
              <w:rPr>
                <w:rFonts w:hint="eastAsia" w:ascii="Times New Roman" w:hAnsi="Times New Roman" w:eastAsia="宋体"/>
                <w:color w:val="auto"/>
                <w:highlight w:val="none"/>
              </w:rPr>
              <w:t>。具体设计原则参见《危险废物贮存污染控制标准》（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w:t>
            </w:r>
          </w:p>
          <w:p w14:paraId="7DF8A05C">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②建立危险废物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）和《危险废物转移管理办法》要求执行。建设单位应强化废物产生、收集、贮放各环节的管理，各种固体废物按照类别分类存放，避免固体废物在厂区内散失、渗漏，达到无害化的目的，避免产生二次污染。</w:t>
            </w:r>
          </w:p>
          <w:p w14:paraId="4F28A410">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危险废物的运输采取危险废物转移“电子联单”制度，保证运输安全，防止非法转移和非法处置，保证危险废物的安全监控，防止危险废物污染事故发生。</w:t>
            </w:r>
          </w:p>
          <w:p w14:paraId="1CA2BEE3">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电子联单”应通过福建省固体废物环境监管平台申请电子联单，危险废物产生者及其他需要转移危险废物的单位在转移危险废物之前，须按照国家有关规定报批危险废物转移计划。经批准后，通过《信息系统》申请电子联单。</w:t>
            </w:r>
          </w:p>
          <w:p w14:paraId="4BE871FD">
            <w:pPr>
              <w:pStyle w:val="46"/>
              <w:ind w:firstLine="480"/>
              <w:rPr>
                <w:color w:val="auto"/>
                <w:highlight w:val="none"/>
              </w:rPr>
            </w:pPr>
            <w:r>
              <w:rPr>
                <w:rFonts w:hint="eastAsia" w:ascii="Times New Roman" w:hAnsi="Times New Roman" w:eastAsia="宋体"/>
                <w:color w:val="auto"/>
                <w:highlight w:val="none"/>
              </w:rPr>
              <w:t>③应将危险废物提供或者委托给有危险废物经营许可证的单位从事利用和处置，并签订处置合同。同时应加强对运输单位及处置单位的跟踪检查，控制运输过程中的环境风险</w:t>
            </w:r>
            <w:r>
              <w:rPr>
                <w:color w:val="auto"/>
                <w:highlight w:val="none"/>
              </w:rPr>
              <w:t>。</w:t>
            </w:r>
          </w:p>
          <w:p w14:paraId="21E4A772">
            <w:pPr>
              <w:pStyle w:val="46"/>
              <w:ind w:firstLine="480"/>
              <w:rPr>
                <w:color w:val="auto"/>
                <w:highlight w:val="none"/>
              </w:rPr>
            </w:pPr>
            <w:r>
              <w:rPr>
                <w:rFonts w:hint="eastAsia"/>
                <w:color w:val="auto"/>
                <w:highlight w:val="none"/>
              </w:rPr>
              <w:t>综上分析，采取以上措施后，项目各项固体废物均可得到妥善处理，对周边环境影响较小。</w:t>
            </w:r>
          </w:p>
          <w:p w14:paraId="6B8BB5F5">
            <w:pPr>
              <w:pStyle w:val="3"/>
              <w:numPr>
                <w:ilvl w:val="1"/>
                <w:numId w:val="1"/>
              </w:numPr>
              <w:bidi w:val="0"/>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地下水、土壤</w:t>
            </w:r>
          </w:p>
          <w:p w14:paraId="27356FAD">
            <w:pPr>
              <w:pStyle w:val="46"/>
              <w:bidi w:val="0"/>
              <w:rPr>
                <w:rFonts w:hint="default" w:ascii="Times New Roman" w:hAnsi="Times New Roman" w:eastAsia="宋体"/>
                <w:color w:val="auto"/>
                <w:highlight w:val="none"/>
                <w:lang w:val="en-US" w:eastAsia="zh-CN"/>
              </w:rPr>
            </w:pPr>
            <w:r>
              <w:rPr>
                <w:rFonts w:hint="eastAsia"/>
                <w:color w:val="auto"/>
                <w:highlight w:val="none"/>
              </w:rPr>
              <w:t>项目厂区固废贮存严格按照《一般工业固体废物贮存和填埋污染控制标准》（GB18599-2020）和《危险废物贮存污染控制标准》（GB 18597-2023）中有关规定进行落实，具备防风、防雨、防晒、防渗漏等要求，在正常工况，不会对评价区域内地下水、土壤环境产生不利影响。本次评价仅考虑在事故情况下液态物质泄漏，防渗层破损时对土壤和地下水造成污染。</w:t>
            </w:r>
            <w:r>
              <w:rPr>
                <w:rFonts w:hint="eastAsia" w:ascii="Times New Roman" w:hAnsi="Times New Roman" w:eastAsia="宋体"/>
                <w:color w:val="auto"/>
                <w:highlight w:val="none"/>
                <w:lang w:val="en-US" w:eastAsia="zh-CN"/>
              </w:rPr>
              <w:t>地下水、土壤污染物类型及污染途径详见下表。</w:t>
            </w:r>
          </w:p>
          <w:p w14:paraId="35BDFF00">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地下水、土壤污染途径情况一览表</w:t>
            </w:r>
          </w:p>
          <w:tbl>
            <w:tblPr>
              <w:tblStyle w:val="86"/>
              <w:tblW w:w="892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2409"/>
              <w:gridCol w:w="4856"/>
            </w:tblGrid>
            <w:tr w14:paraId="1B1B2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660" w:type="dxa"/>
                  <w:tcBorders>
                    <w:bottom w:val="single" w:color="000000" w:sz="12" w:space="0"/>
                  </w:tcBorders>
                  <w:vAlign w:val="center"/>
                </w:tcPr>
                <w:p w14:paraId="46F24CD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1"/>
                      <w:sz w:val="21"/>
                      <w:highlight w:val="none"/>
                    </w:rPr>
                    <w:t>防渗区</w:t>
                  </w:r>
                </w:p>
              </w:tc>
              <w:tc>
                <w:tcPr>
                  <w:tcW w:w="2409" w:type="dxa"/>
                  <w:tcBorders>
                    <w:bottom w:val="single" w:color="000000" w:sz="12" w:space="0"/>
                  </w:tcBorders>
                  <w:vAlign w:val="center"/>
                </w:tcPr>
                <w:p w14:paraId="24EE20A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构筑物名称</w:t>
                  </w:r>
                </w:p>
              </w:tc>
              <w:tc>
                <w:tcPr>
                  <w:tcW w:w="4856" w:type="dxa"/>
                  <w:tcBorders>
                    <w:bottom w:val="single" w:color="000000" w:sz="12" w:space="0"/>
                  </w:tcBorders>
                  <w:vAlign w:val="center"/>
                </w:tcPr>
                <w:p w14:paraId="4991C52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防渗技术要求</w:t>
                  </w:r>
                </w:p>
              </w:tc>
            </w:tr>
            <w:tr w14:paraId="7D663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1660" w:type="dxa"/>
                  <w:tcBorders>
                    <w:top w:val="single" w:color="000000" w:sz="12" w:space="0"/>
                    <w:tl2br w:val="nil"/>
                    <w:tr2bl w:val="nil"/>
                  </w:tcBorders>
                  <w:vAlign w:val="center"/>
                </w:tcPr>
                <w:p w14:paraId="3B8F93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重点防渗区</w:t>
                  </w:r>
                </w:p>
              </w:tc>
              <w:tc>
                <w:tcPr>
                  <w:tcW w:w="2409" w:type="dxa"/>
                  <w:tcBorders>
                    <w:top w:val="single" w:color="000000" w:sz="12" w:space="0"/>
                    <w:tl2br w:val="nil"/>
                    <w:tr2bl w:val="nil"/>
                  </w:tcBorders>
                  <w:vAlign w:val="center"/>
                </w:tcPr>
                <w:p w14:paraId="2E71712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化学品库、电泳线、</w:t>
                  </w:r>
                </w:p>
                <w:p w14:paraId="6496FB9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污水处理设施、危废</w:t>
                  </w:r>
                </w:p>
                <w:p w14:paraId="3019FF1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暂存间</w:t>
                  </w:r>
                </w:p>
              </w:tc>
              <w:tc>
                <w:tcPr>
                  <w:tcW w:w="4856" w:type="dxa"/>
                  <w:tcBorders>
                    <w:top w:val="single" w:color="000000" w:sz="12" w:space="0"/>
                    <w:tl2br w:val="nil"/>
                    <w:tr2bl w:val="nil"/>
                  </w:tcBorders>
                  <w:vAlign w:val="center"/>
                </w:tcPr>
                <w:p w14:paraId="5B09618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等效黏土防渗层</w:t>
                  </w:r>
                  <w:r>
                    <w:rPr>
                      <w:rFonts w:ascii="Times New Roman" w:hAnsi="Times New Roman" w:eastAsia="宋体" w:cs="Times New Roman"/>
                      <w:color w:val="auto"/>
                      <w:position w:val="1"/>
                      <w:sz w:val="21"/>
                      <w:highlight w:val="none"/>
                    </w:rPr>
                    <w:t>Mb</w:t>
                  </w:r>
                  <w:r>
                    <w:rPr>
                      <w:rFonts w:ascii="Times New Roman" w:hAnsi="Times New Roman" w:eastAsia="宋体" w:cs="Times New Roman"/>
                      <w:color w:val="auto"/>
                      <w:spacing w:val="6"/>
                      <w:position w:val="1"/>
                      <w:sz w:val="21"/>
                      <w:highlight w:val="none"/>
                    </w:rPr>
                    <w:t>≥6.0m</w:t>
                  </w:r>
                  <w:r>
                    <w:rPr>
                      <w:rFonts w:ascii="Times New Roman" w:hAnsi="Times New Roman" w:eastAsia="宋体"/>
                      <w:color w:val="auto"/>
                      <w:spacing w:val="6"/>
                      <w:position w:val="1"/>
                      <w:sz w:val="21"/>
                      <w:highlight w:val="none"/>
                    </w:rPr>
                    <w:t>，</w:t>
                  </w:r>
                  <w:r>
                    <w:rPr>
                      <w:rFonts w:ascii="Times New Roman" w:hAnsi="Times New Roman" w:eastAsia="宋体" w:cs="Times New Roman"/>
                      <w:color w:val="auto"/>
                      <w:spacing w:val="6"/>
                      <w:position w:val="1"/>
                      <w:sz w:val="21"/>
                      <w:highlight w:val="none"/>
                    </w:rPr>
                    <w:t>K≤10</w:t>
                  </w:r>
                  <w:r>
                    <w:rPr>
                      <w:rFonts w:ascii="Times New Roman" w:hAnsi="Times New Roman" w:eastAsia="宋体" w:cs="Times New Roman"/>
                      <w:color w:val="auto"/>
                      <w:spacing w:val="6"/>
                      <w:position w:val="1"/>
                      <w:sz w:val="21"/>
                      <w:szCs w:val="13"/>
                      <w:highlight w:val="none"/>
                      <w:vertAlign w:val="superscript"/>
                    </w:rPr>
                    <w:t>-7</w:t>
                  </w:r>
                  <w:r>
                    <w:rPr>
                      <w:rFonts w:ascii="Times New Roman" w:hAnsi="Times New Roman" w:eastAsia="宋体" w:cs="Times New Roman"/>
                      <w:color w:val="auto"/>
                      <w:position w:val="1"/>
                      <w:sz w:val="21"/>
                      <w:highlight w:val="none"/>
                    </w:rPr>
                    <w:t>cm</w:t>
                  </w:r>
                  <w:r>
                    <w:rPr>
                      <w:rFonts w:ascii="Times New Roman" w:hAnsi="Times New Roman" w:eastAsia="宋体" w:cs="Times New Roman"/>
                      <w:color w:val="auto"/>
                      <w:spacing w:val="6"/>
                      <w:position w:val="1"/>
                      <w:sz w:val="21"/>
                      <w:highlight w:val="none"/>
                    </w:rPr>
                    <w:t>/s</w:t>
                  </w:r>
                  <w:r>
                    <w:rPr>
                      <w:rFonts w:ascii="Times New Roman" w:hAnsi="Times New Roman" w:eastAsia="宋体"/>
                      <w:color w:val="auto"/>
                      <w:spacing w:val="6"/>
                      <w:position w:val="1"/>
                      <w:sz w:val="21"/>
                      <w:highlight w:val="none"/>
                    </w:rPr>
                    <w:t>或者</w:t>
                  </w:r>
                </w:p>
                <w:p w14:paraId="23F624E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参照</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6"/>
                      <w:position w:val="1"/>
                      <w:sz w:val="21"/>
                      <w:highlight w:val="none"/>
                    </w:rPr>
                    <w:t>18598</w:t>
                  </w:r>
                  <w:r>
                    <w:rPr>
                      <w:rFonts w:ascii="Times New Roman" w:hAnsi="Times New Roman" w:eastAsia="宋体"/>
                      <w:color w:val="auto"/>
                      <w:spacing w:val="6"/>
                      <w:position w:val="1"/>
                      <w:sz w:val="21"/>
                      <w:highlight w:val="none"/>
                    </w:rPr>
                    <w:t>执行</w:t>
                  </w:r>
                </w:p>
              </w:tc>
            </w:tr>
            <w:tr w14:paraId="1EA20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660" w:type="dxa"/>
                  <w:tcBorders>
                    <w:tl2br w:val="nil"/>
                    <w:tr2bl w:val="nil"/>
                  </w:tcBorders>
                  <w:vAlign w:val="center"/>
                </w:tcPr>
                <w:p w14:paraId="7A0AB8C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一般防渗区</w:t>
                  </w:r>
                </w:p>
              </w:tc>
              <w:tc>
                <w:tcPr>
                  <w:tcW w:w="2409" w:type="dxa"/>
                  <w:tcBorders>
                    <w:tl2br w:val="nil"/>
                    <w:tr2bl w:val="nil"/>
                  </w:tcBorders>
                  <w:vAlign w:val="center"/>
                </w:tcPr>
                <w:p w14:paraId="36FB9CA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一般固废暂存间、半</w:t>
                  </w:r>
                  <w:r>
                    <w:rPr>
                      <w:rFonts w:ascii="Times New Roman" w:hAnsi="Times New Roman" w:eastAsia="宋体"/>
                      <w:color w:val="auto"/>
                      <w:spacing w:val="8"/>
                      <w:sz w:val="21"/>
                      <w:highlight w:val="none"/>
                    </w:rPr>
                    <w:t>成品库、成品库</w:t>
                  </w:r>
                </w:p>
              </w:tc>
              <w:tc>
                <w:tcPr>
                  <w:tcW w:w="4856" w:type="dxa"/>
                  <w:tcBorders>
                    <w:tl2br w:val="nil"/>
                    <w:tr2bl w:val="nil"/>
                  </w:tcBorders>
                  <w:vAlign w:val="center"/>
                </w:tcPr>
                <w:p w14:paraId="0872D6E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position w:val="1"/>
                      <w:sz w:val="21"/>
                      <w:highlight w:val="none"/>
                    </w:rPr>
                    <w:t>等效黏土防渗层</w:t>
                  </w:r>
                  <w:r>
                    <w:rPr>
                      <w:rFonts w:ascii="Times New Roman" w:hAnsi="Times New Roman" w:eastAsia="宋体" w:cs="Times New Roman"/>
                      <w:color w:val="auto"/>
                      <w:position w:val="1"/>
                      <w:sz w:val="21"/>
                      <w:highlight w:val="none"/>
                    </w:rPr>
                    <w:t>Mb</w:t>
                  </w:r>
                  <w:r>
                    <w:rPr>
                      <w:rFonts w:ascii="Times New Roman" w:hAnsi="Times New Roman" w:eastAsia="宋体" w:cs="Times New Roman"/>
                      <w:color w:val="auto"/>
                      <w:spacing w:val="4"/>
                      <w:position w:val="1"/>
                      <w:sz w:val="21"/>
                      <w:highlight w:val="none"/>
                    </w:rPr>
                    <w:t>≥1.5m</w:t>
                  </w:r>
                  <w:r>
                    <w:rPr>
                      <w:rFonts w:ascii="Times New Roman" w:hAnsi="Times New Roman" w:eastAsia="宋体"/>
                      <w:color w:val="auto"/>
                      <w:spacing w:val="4"/>
                      <w:position w:val="1"/>
                      <w:sz w:val="21"/>
                      <w:highlight w:val="none"/>
                    </w:rPr>
                    <w:t>，</w:t>
                  </w:r>
                  <w:r>
                    <w:rPr>
                      <w:rFonts w:ascii="Times New Roman" w:hAnsi="Times New Roman" w:eastAsia="宋体" w:cs="Times New Roman"/>
                      <w:color w:val="auto"/>
                      <w:spacing w:val="4"/>
                      <w:position w:val="1"/>
                      <w:sz w:val="21"/>
                      <w:highlight w:val="none"/>
                    </w:rPr>
                    <w:t>K≤1×10</w:t>
                  </w:r>
                  <w:r>
                    <w:rPr>
                      <w:rFonts w:ascii="Times New Roman" w:hAnsi="Times New Roman" w:eastAsia="宋体" w:cs="Times New Roman"/>
                      <w:color w:val="auto"/>
                      <w:spacing w:val="4"/>
                      <w:position w:val="1"/>
                      <w:sz w:val="21"/>
                      <w:szCs w:val="13"/>
                      <w:highlight w:val="none"/>
                      <w:vertAlign w:val="superscript"/>
                    </w:rPr>
                    <w:t>-7</w:t>
                  </w:r>
                  <w:r>
                    <w:rPr>
                      <w:rFonts w:ascii="Times New Roman" w:hAnsi="Times New Roman" w:eastAsia="宋体" w:cs="Times New Roman"/>
                      <w:color w:val="auto"/>
                      <w:position w:val="1"/>
                      <w:sz w:val="21"/>
                      <w:highlight w:val="none"/>
                    </w:rPr>
                    <w:t>cm</w:t>
                  </w:r>
                  <w:r>
                    <w:rPr>
                      <w:rFonts w:ascii="Times New Roman" w:hAnsi="Times New Roman" w:eastAsia="宋体" w:cs="Times New Roman"/>
                      <w:color w:val="auto"/>
                      <w:spacing w:val="4"/>
                      <w:position w:val="1"/>
                      <w:sz w:val="21"/>
                      <w:highlight w:val="none"/>
                    </w:rPr>
                    <w:t>/s</w:t>
                  </w:r>
                  <w:r>
                    <w:rPr>
                      <w:rFonts w:ascii="Times New Roman" w:hAnsi="Times New Roman" w:eastAsia="宋体"/>
                      <w:color w:val="auto"/>
                      <w:spacing w:val="4"/>
                      <w:position w:val="1"/>
                      <w:sz w:val="21"/>
                      <w:highlight w:val="none"/>
                    </w:rPr>
                    <w:t>；</w:t>
                  </w:r>
                </w:p>
                <w:p w14:paraId="0684BC1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或参照</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6"/>
                      <w:position w:val="1"/>
                      <w:sz w:val="21"/>
                      <w:highlight w:val="none"/>
                    </w:rPr>
                    <w:t>16889</w:t>
                  </w:r>
                  <w:r>
                    <w:rPr>
                      <w:rFonts w:ascii="Times New Roman" w:hAnsi="Times New Roman" w:eastAsia="宋体"/>
                      <w:color w:val="auto"/>
                      <w:spacing w:val="6"/>
                      <w:position w:val="1"/>
                      <w:sz w:val="21"/>
                      <w:highlight w:val="none"/>
                    </w:rPr>
                    <w:t>执行</w:t>
                  </w:r>
                </w:p>
              </w:tc>
            </w:tr>
            <w:tr w14:paraId="5787D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60" w:type="dxa"/>
                  <w:tcBorders>
                    <w:tl2br w:val="nil"/>
                    <w:tr2bl w:val="nil"/>
                  </w:tcBorders>
                  <w:vAlign w:val="center"/>
                </w:tcPr>
                <w:p w14:paraId="2DE44E9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简单防渗区</w:t>
                  </w:r>
                </w:p>
              </w:tc>
              <w:tc>
                <w:tcPr>
                  <w:tcW w:w="2409" w:type="dxa"/>
                  <w:tcBorders>
                    <w:tl2br w:val="nil"/>
                    <w:tr2bl w:val="nil"/>
                  </w:tcBorders>
                  <w:vAlign w:val="center"/>
                </w:tcPr>
                <w:p w14:paraId="2353C29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办公区、厂内其他区</w:t>
                  </w:r>
                </w:p>
                <w:p w14:paraId="087432C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域</w:t>
                  </w:r>
                </w:p>
              </w:tc>
              <w:tc>
                <w:tcPr>
                  <w:tcW w:w="4856" w:type="dxa"/>
                  <w:tcBorders>
                    <w:tl2br w:val="nil"/>
                    <w:tr2bl w:val="nil"/>
                  </w:tcBorders>
                  <w:vAlign w:val="center"/>
                </w:tcPr>
                <w:p w14:paraId="478FB94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一般地面硬化</w:t>
                  </w:r>
                </w:p>
              </w:tc>
            </w:tr>
          </w:tbl>
          <w:p w14:paraId="1DB30C2B">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w:t>
            </w:r>
            <w:r>
              <w:rPr>
                <w:rFonts w:ascii="Times New Roman" w:hAnsi="Times New Roman" w:eastAsia="宋体"/>
                <w:color w:val="auto"/>
                <w:highlight w:val="none"/>
              </w:rPr>
              <w:t>1</w:t>
            </w:r>
            <w:r>
              <w:rPr>
                <w:rFonts w:hint="eastAsia" w:ascii="Times New Roman" w:hAnsi="Times New Roman" w:eastAsia="宋体"/>
                <w:color w:val="auto"/>
                <w:highlight w:val="none"/>
              </w:rPr>
              <w:t>）地下水、土壤环境影响分析</w:t>
            </w:r>
          </w:p>
          <w:p w14:paraId="37733756">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1）污水处理设施发生损坏和跑冒滴漏对地下水的影响</w:t>
            </w:r>
          </w:p>
          <w:p w14:paraId="15BE6194">
            <w:pPr>
              <w:pStyle w:val="46"/>
              <w:bidi w:val="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营运期可能对地下水环境造成影响的因素为</w:t>
            </w:r>
            <w:r>
              <w:rPr>
                <w:rFonts w:hint="eastAsia" w:ascii="Times New Roman" w:hAnsi="Times New Roman" w:eastAsia="宋体" w:cs="Times New Roman"/>
                <w:color w:val="auto"/>
                <w:sz w:val="24"/>
                <w:szCs w:val="22"/>
                <w:highlight w:val="none"/>
                <w:lang w:val="en-US" w:eastAsia="zh-CN"/>
              </w:rPr>
              <w:t>化粪池</w:t>
            </w:r>
            <w:r>
              <w:rPr>
                <w:rFonts w:hint="default" w:ascii="Times New Roman" w:hAnsi="Times New Roman" w:eastAsia="宋体" w:cs="Times New Roman"/>
                <w:color w:val="auto"/>
                <w:sz w:val="24"/>
                <w:szCs w:val="22"/>
                <w:highlight w:val="none"/>
                <w:lang w:val="en-US" w:eastAsia="zh-CN"/>
              </w:rPr>
              <w:t>渗漏、</w:t>
            </w:r>
            <w:r>
              <w:rPr>
                <w:rFonts w:hint="eastAsia" w:ascii="Times New Roman" w:hAnsi="Times New Roman" w:eastAsia="宋体" w:cs="Times New Roman"/>
                <w:color w:val="auto"/>
                <w:sz w:val="24"/>
                <w:szCs w:val="22"/>
                <w:highlight w:val="none"/>
                <w:lang w:val="en-US" w:eastAsia="zh-CN"/>
              </w:rPr>
              <w:t>生活</w:t>
            </w:r>
            <w:r>
              <w:rPr>
                <w:rFonts w:hint="default" w:ascii="Times New Roman" w:hAnsi="Times New Roman" w:eastAsia="宋体" w:cs="Times New Roman"/>
                <w:color w:val="auto"/>
                <w:sz w:val="24"/>
                <w:szCs w:val="22"/>
                <w:highlight w:val="none"/>
                <w:lang w:val="en-US" w:eastAsia="zh-CN"/>
              </w:rPr>
              <w:t>污水管道破裂</w:t>
            </w:r>
            <w:r>
              <w:rPr>
                <w:rFonts w:hint="eastAsia" w:ascii="Times New Roman" w:hAnsi="Times New Roman" w:eastAsia="宋体" w:cs="Times New Roman"/>
                <w:color w:val="auto"/>
                <w:sz w:val="24"/>
                <w:szCs w:val="22"/>
                <w:highlight w:val="none"/>
                <w:lang w:val="en-US" w:eastAsia="zh-CN"/>
              </w:rPr>
              <w:t>导致废水</w:t>
            </w:r>
            <w:r>
              <w:rPr>
                <w:rFonts w:hint="default" w:ascii="Times New Roman" w:hAnsi="Times New Roman" w:eastAsia="宋体" w:cs="Times New Roman"/>
                <w:color w:val="auto"/>
                <w:sz w:val="24"/>
                <w:szCs w:val="22"/>
                <w:highlight w:val="none"/>
                <w:lang w:val="en-US" w:eastAsia="zh-CN"/>
              </w:rPr>
              <w:t>渗漏等所造成的污水事故排放和渗漏。</w:t>
            </w:r>
          </w:p>
          <w:p w14:paraId="5EB4F265">
            <w:pPr>
              <w:pStyle w:val="46"/>
              <w:bidi w:val="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一般情况下，废水渗漏主要考虑废水容纳构筑物底部破损渗漏和排水管道渗漏两个方面。只要严格按照相应规范要求施工并在竣工验收时严把质量关，废水容纳构筑物底部破损渗漏对地下水产生影响的情况是可以避免的。</w:t>
            </w:r>
          </w:p>
          <w:p w14:paraId="70561C82">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对地下水的影响</w:t>
            </w:r>
          </w:p>
          <w:p w14:paraId="51C25DD9">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项目原料</w:t>
            </w:r>
            <w:r>
              <w:rPr>
                <w:rFonts w:hint="eastAsia" w:ascii="Times New Roman" w:hAnsi="Times New Roman" w:eastAsia="宋体" w:cs="Times New Roman"/>
                <w:color w:val="auto"/>
                <w:highlight w:val="none"/>
                <w:lang w:val="en-US" w:eastAsia="zh-CN"/>
              </w:rPr>
              <w:t>为</w:t>
            </w:r>
            <w:r>
              <w:rPr>
                <w:rFonts w:hint="eastAsia"/>
                <w:color w:val="auto"/>
                <w:highlight w:val="none"/>
                <w:lang w:val="en-US" w:eastAsia="zh-CN"/>
              </w:rPr>
              <w:t>机油、电泳涂料等</w:t>
            </w:r>
            <w:r>
              <w:rPr>
                <w:rFonts w:hint="default" w:ascii="Times New Roman" w:hAnsi="Times New Roman" w:eastAsia="宋体" w:cs="Times New Roman"/>
                <w:color w:val="auto"/>
                <w:highlight w:val="none"/>
                <w:lang w:val="en-US" w:eastAsia="zh-CN"/>
              </w:rPr>
              <w:t>，原料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均采用硬底化地面，因此项目原料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不会出现液体渗漏污染地下水情况。</w:t>
            </w:r>
          </w:p>
          <w:p w14:paraId="5A723598">
            <w:pPr>
              <w:pStyle w:val="46"/>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3）固体废物</w:t>
            </w:r>
            <w:r>
              <w:rPr>
                <w:rFonts w:hint="default" w:ascii="Times New Roman" w:hAnsi="Times New Roman" w:eastAsia="宋体" w:cs="Times New Roman"/>
                <w:color w:val="auto"/>
                <w:sz w:val="24"/>
                <w:szCs w:val="22"/>
                <w:highlight w:val="none"/>
                <w:lang w:val="en-US" w:eastAsia="zh-CN"/>
              </w:rPr>
              <w:t>淋溶对地下水的影响</w:t>
            </w:r>
          </w:p>
          <w:p w14:paraId="051480CF">
            <w:pPr>
              <w:pStyle w:val="90"/>
              <w:ind w:firstLine="316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在项目生产车间、原料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和</w:t>
            </w:r>
            <w:r>
              <w:rPr>
                <w:rFonts w:hint="eastAsia" w:cs="Times New Roman"/>
                <w:color w:val="auto"/>
                <w:highlight w:val="none"/>
                <w:lang w:val="en-US" w:eastAsia="zh-CN"/>
              </w:rPr>
              <w:t>固废堆存区</w:t>
            </w:r>
            <w:r>
              <w:rPr>
                <w:rFonts w:hint="default" w:ascii="Times New Roman" w:hAnsi="Times New Roman" w:eastAsia="宋体" w:cs="Times New Roman"/>
                <w:color w:val="auto"/>
                <w:highlight w:val="none"/>
                <w:lang w:val="en-US" w:eastAsia="zh-CN"/>
              </w:rPr>
              <w:t>所按要求做好地面防渗工作，加强日常管理维护，污染物不易发生渗漏。因此，区域内通过饱水带下渗污染地下水的可能性很小，对</w:t>
            </w:r>
            <w:r>
              <w:rPr>
                <w:rFonts w:hint="eastAsia" w:ascii="Times New Roman" w:hAnsi="Times New Roman" w:eastAsia="宋体" w:cs="Times New Roman"/>
                <w:color w:val="auto"/>
                <w:highlight w:val="none"/>
                <w:lang w:val="en-US" w:eastAsia="zh-CN"/>
              </w:rPr>
              <w:t>区域地下水</w:t>
            </w:r>
            <w:r>
              <w:rPr>
                <w:rFonts w:hint="default" w:ascii="Times New Roman" w:hAnsi="Times New Roman" w:eastAsia="宋体" w:cs="Times New Roman"/>
                <w:color w:val="auto"/>
                <w:highlight w:val="none"/>
                <w:lang w:val="en-US" w:eastAsia="zh-CN"/>
              </w:rPr>
              <w:t>环境影响不大</w:t>
            </w:r>
            <w:r>
              <w:rPr>
                <w:rFonts w:hint="eastAsia" w:ascii="Times New Roman" w:hAnsi="Times New Roman" w:eastAsia="宋体" w:cs="Times New Roman"/>
                <w:color w:val="auto"/>
                <w:highlight w:val="none"/>
                <w:lang w:val="en-US" w:eastAsia="zh-CN"/>
              </w:rPr>
              <w:t>。</w:t>
            </w:r>
          </w:p>
          <w:p w14:paraId="0842B5F4">
            <w:pPr>
              <w:pStyle w:val="90"/>
              <w:ind w:firstLine="31680"/>
              <w:rPr>
                <w:rFonts w:hint="default" w:ascii="Times New Roman" w:hAnsi="Times New Roman" w:eastAsia="宋体" w:cs="Times New Roman"/>
                <w:color w:val="auto"/>
                <w:highlight w:val="none"/>
                <w:lang w:val="en-US" w:eastAsia="zh-CN"/>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）污染防控措施</w:t>
            </w:r>
          </w:p>
          <w:p w14:paraId="2C4136CF">
            <w:pPr>
              <w:pStyle w:val="46"/>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本项目地下水及土壤污染防治措施按照</w:t>
            </w:r>
            <w:r>
              <w:rPr>
                <w:rFonts w:hint="eastAsia" w:ascii="Times New Roman" w:hAnsi="Times New Roman" w:eastAsia="宋体" w:cs="宋体"/>
                <w:color w:val="auto"/>
                <w:highlight w:val="none"/>
                <w:lang w:val="en-US" w:eastAsia="zh-CN"/>
              </w:rPr>
              <w:t>“源头控制、分区防治、污染监控、应急响应”相结</w:t>
            </w:r>
            <w:r>
              <w:rPr>
                <w:rFonts w:hint="default" w:ascii="Times New Roman" w:hAnsi="Times New Roman" w:eastAsia="宋体"/>
                <w:color w:val="auto"/>
                <w:highlight w:val="none"/>
                <w:lang w:val="en-US" w:eastAsia="zh-CN"/>
              </w:rPr>
              <w:t>合的原则，从污染物的产生、入渗、扩散、应急响应全方位进行控制。</w:t>
            </w:r>
          </w:p>
          <w:p w14:paraId="01985557">
            <w:pPr>
              <w:pStyle w:val="46"/>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1）源头控制措施</w:t>
            </w:r>
          </w:p>
          <w:p w14:paraId="308E4AF8">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w:t>
            </w:r>
            <w:r>
              <w:rPr>
                <w:rFonts w:hint="eastAsia"/>
                <w:color w:val="auto"/>
                <w:highlight w:val="none"/>
                <w:lang w:val="en-US" w:eastAsia="zh-CN"/>
              </w:rPr>
              <w:t>危废储存库</w:t>
            </w:r>
            <w:r>
              <w:rPr>
                <w:rFonts w:hint="default" w:ascii="Times New Roman" w:hAnsi="Times New Roman" w:eastAsia="宋体"/>
                <w:color w:val="auto"/>
                <w:highlight w:val="none"/>
                <w:lang w:val="en-US" w:eastAsia="zh-CN"/>
              </w:rPr>
              <w:t>区域进行防腐防渗措施，如地面采取防渗，并在</w:t>
            </w:r>
            <w:r>
              <w:rPr>
                <w:rFonts w:hint="eastAsia" w:ascii="Times New Roman" w:hAnsi="Times New Roman" w:eastAsia="宋体"/>
                <w:color w:val="auto"/>
                <w:highlight w:val="none"/>
                <w:lang w:val="en-US" w:eastAsia="zh-CN"/>
              </w:rPr>
              <w:t>危险废物</w:t>
            </w:r>
            <w:r>
              <w:rPr>
                <w:rFonts w:hint="default" w:ascii="Times New Roman" w:hAnsi="Times New Roman" w:eastAsia="宋体"/>
                <w:color w:val="auto"/>
                <w:highlight w:val="none"/>
                <w:lang w:val="en-US" w:eastAsia="zh-CN"/>
              </w:rPr>
              <w:t>设置托盘，防止液体滴落地面造成污染；</w:t>
            </w:r>
            <w:r>
              <w:rPr>
                <w:rFonts w:hint="eastAsia"/>
                <w:color w:val="auto"/>
                <w:highlight w:val="none"/>
                <w:lang w:val="en-US" w:eastAsia="zh-CN"/>
              </w:rPr>
              <w:t>废机油</w:t>
            </w:r>
            <w:r>
              <w:rPr>
                <w:rFonts w:hint="default" w:ascii="Times New Roman" w:hAnsi="Times New Roman" w:eastAsia="宋体"/>
                <w:color w:val="auto"/>
                <w:highlight w:val="none"/>
                <w:lang w:val="en-US" w:eastAsia="zh-CN"/>
              </w:rPr>
              <w:t>储存区设置围堰，并对围堰采取防腐、防渗处理。</w:t>
            </w:r>
          </w:p>
          <w:p w14:paraId="2B99FC3E">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②加强危废储存场地的检修、加固，防止渗漏，对地下水造成污染。</w:t>
            </w:r>
          </w:p>
          <w:p w14:paraId="6DF15D3F">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lang w:val="en-US" w:eastAsia="zh-CN"/>
              </w:rPr>
              <w:t>防渗分区防治及措施</w:t>
            </w:r>
          </w:p>
          <w:p w14:paraId="1532E6D3">
            <w:pPr>
              <w:pStyle w:val="120"/>
              <w:rPr>
                <w:rFonts w:hint="default" w:ascii="Times New Roman" w:hAnsi="Times New Roman" w:eastAsia="宋体"/>
                <w:smallCaps w:val="0"/>
                <w:color w:val="auto"/>
                <w:highlight w:val="none"/>
                <w:shd w:val="clear" w:color="auto" w:fill="auto"/>
                <w:lang w:val="en-US" w:eastAsia="zh-CN"/>
              </w:rPr>
            </w:pPr>
            <w:r>
              <w:rPr>
                <w:rFonts w:hint="default" w:ascii="Times New Roman" w:hAnsi="Times New Roman" w:eastAsia="宋体"/>
                <w:color w:val="auto"/>
                <w:highlight w:val="none"/>
                <w:lang w:val="en-US" w:eastAsia="zh-CN"/>
              </w:rPr>
              <w:t>根据防渗分区技术方法及本项目的工程分析，将</w:t>
            </w:r>
            <w:r>
              <w:rPr>
                <w:rFonts w:hint="eastAsia"/>
                <w:color w:val="auto"/>
                <w:highlight w:val="none"/>
                <w:lang w:val="en-US" w:eastAsia="zh-CN"/>
              </w:rPr>
              <w:t>危废储存库</w:t>
            </w:r>
            <w:r>
              <w:rPr>
                <w:rFonts w:hint="eastAsia" w:ascii="Times New Roman" w:hAnsi="Times New Roman" w:eastAsia="宋体"/>
                <w:color w:val="auto"/>
                <w:highlight w:val="none"/>
                <w:lang w:val="en-US" w:eastAsia="zh-CN"/>
              </w:rPr>
              <w:t>、</w:t>
            </w:r>
            <w:r>
              <w:rPr>
                <w:rFonts w:hint="eastAsia"/>
                <w:color w:val="auto"/>
                <w:highlight w:val="none"/>
                <w:lang w:val="en-US" w:eastAsia="zh-CN"/>
              </w:rPr>
              <w:t>污水处理站</w:t>
            </w:r>
            <w:r>
              <w:rPr>
                <w:rFonts w:hint="default" w:ascii="Times New Roman" w:hAnsi="Times New Roman" w:eastAsia="宋体"/>
                <w:color w:val="auto"/>
                <w:highlight w:val="none"/>
                <w:lang w:val="en-US" w:eastAsia="zh-CN"/>
              </w:rPr>
              <w:t>划分为重点防渗区；厂房其他生产区划分为一般防渗区</w:t>
            </w:r>
            <w:r>
              <w:rPr>
                <w:rFonts w:hint="eastAsia"/>
                <w:color w:val="auto"/>
                <w:highlight w:val="none"/>
                <w:lang w:eastAsia="zh-CN"/>
              </w:rPr>
              <w:t>，</w:t>
            </w:r>
            <w:r>
              <w:rPr>
                <w:rFonts w:hint="eastAsia"/>
                <w:color w:val="auto"/>
                <w:highlight w:val="none"/>
                <w:lang w:val="en-US" w:eastAsia="zh-CN"/>
              </w:rPr>
              <w:t>厂区道路设置为简单防渗区</w:t>
            </w:r>
            <w:r>
              <w:rPr>
                <w:rFonts w:hint="default" w:ascii="Times New Roman" w:hAnsi="Times New Roman" w:eastAsia="宋体"/>
                <w:color w:val="auto"/>
                <w:highlight w:val="none"/>
                <w:lang w:val="en-US" w:eastAsia="zh-CN"/>
              </w:rPr>
              <w:t>。</w:t>
            </w:r>
            <w:r>
              <w:rPr>
                <w:rFonts w:hint="eastAsia" w:ascii="Times New Roman" w:hAnsi="Times New Roman" w:eastAsia="宋体"/>
                <w:smallCaps w:val="0"/>
                <w:color w:val="auto"/>
                <w:highlight w:val="none"/>
                <w:shd w:val="clear" w:color="auto" w:fill="auto"/>
                <w:lang w:val="en-US" w:eastAsia="zh-CN"/>
              </w:rPr>
              <w:t>防渗要求如下：</w:t>
            </w:r>
          </w:p>
          <w:p w14:paraId="4AB2E608">
            <w:pPr>
              <w:pStyle w:val="46"/>
              <w:ind w:left="420" w:leftChars="200" w:firstLine="0" w:firstLineChars="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fldChar w:fldCharType="begin"/>
            </w:r>
            <w:r>
              <w:rPr>
                <w:rFonts w:ascii="Times New Roman" w:hAnsi="Times New Roman" w:eastAsia="宋体"/>
                <w:smallCaps w:val="0"/>
                <w:color w:val="auto"/>
                <w:highlight w:val="none"/>
                <w:shd w:val="clear" w:color="auto" w:fill="auto"/>
              </w:rPr>
              <w:instrText xml:space="preserve"> = 1 \* GB3 \* MERGEFORMAT </w:instrText>
            </w:r>
            <w:r>
              <w:rPr>
                <w:rFonts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①</w:t>
            </w:r>
            <w:r>
              <w:rPr>
                <w:rFonts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重点防渗区</w:t>
            </w:r>
          </w:p>
          <w:p w14:paraId="48C56F73">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指污染地下水环境的物料泄漏后，不容易被及时发现和处理的区域。本项目重点污染防治区主要包括危险废物暂存间。</w:t>
            </w:r>
          </w:p>
          <w:p w14:paraId="664B1E3B">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重点污染区防渗要求：</w:t>
            </w:r>
            <w:r>
              <w:rPr>
                <w:rFonts w:hint="eastAsia" w:ascii="Times New Roman" w:hAnsi="Times New Roman" w:eastAsia="宋体"/>
                <w:smallCaps w:val="0"/>
                <w:color w:val="auto"/>
                <w:highlight w:val="none"/>
                <w:shd w:val="clear" w:color="auto" w:fill="auto"/>
              </w:rPr>
              <w:t>防渗层为至少1m厚黏土层（</w:t>
            </w:r>
            <w:r>
              <w:rPr>
                <w:rFonts w:ascii="Times New Roman" w:hAnsi="Times New Roman" w:eastAsia="宋体"/>
                <w:smallCaps w:val="0"/>
                <w:color w:val="auto"/>
                <w:highlight w:val="none"/>
                <w:shd w:val="clear" w:color="auto" w:fill="auto"/>
              </w:rPr>
              <w:t>渗透系数≤10</w:t>
            </w:r>
            <w:r>
              <w:rPr>
                <w:rFonts w:ascii="Times New Roman" w:hAnsi="Times New Roman" w:eastAsia="宋体"/>
                <w:smallCaps w:val="0"/>
                <w:color w:val="auto"/>
                <w:highlight w:val="none"/>
                <w:shd w:val="clear" w:color="auto" w:fill="auto"/>
                <w:vertAlign w:val="superscript"/>
              </w:rPr>
              <w:t>-</w:t>
            </w:r>
            <w:r>
              <w:rPr>
                <w:rFonts w:hint="eastAsia" w:ascii="Times New Roman" w:hAnsi="Times New Roman" w:eastAsia="宋体"/>
                <w:smallCaps w:val="0"/>
                <w:color w:val="auto"/>
                <w:highlight w:val="none"/>
                <w:shd w:val="clear" w:color="auto" w:fill="auto"/>
                <w:vertAlign w:val="superscript"/>
              </w:rPr>
              <w:t>7</w:t>
            </w:r>
            <w:r>
              <w:rPr>
                <w:rFonts w:ascii="Times New Roman" w:hAnsi="Times New Roman" w:eastAsia="宋体"/>
                <w:smallCaps w:val="0"/>
                <w:color w:val="auto"/>
                <w:highlight w:val="none"/>
                <w:shd w:val="clear" w:color="auto" w:fill="auto"/>
              </w:rPr>
              <w:t>cm/s</w:t>
            </w:r>
            <w:r>
              <w:rPr>
                <w:rFonts w:hint="eastAsia" w:ascii="Times New Roman" w:hAnsi="Times New Roman" w:eastAsia="宋体"/>
                <w:smallCaps w:val="0"/>
                <w:color w:val="auto"/>
                <w:highlight w:val="none"/>
                <w:shd w:val="clear" w:color="auto" w:fill="auto"/>
              </w:rPr>
              <w:t>），或2mm厚高密度聚氯乙烯，或至少2mm厚</w:t>
            </w:r>
            <w:r>
              <w:rPr>
                <w:rFonts w:hint="eastAsia" w:ascii="Times New Roman" w:hAnsi="Times New Roman" w:eastAsia="宋体"/>
                <w:smallCaps w:val="0"/>
                <w:color w:val="auto"/>
                <w:highlight w:val="none"/>
                <w:shd w:val="clear" w:color="auto" w:fill="auto"/>
                <w:lang w:eastAsia="zh-CN"/>
              </w:rPr>
              <w:t>的其他</w:t>
            </w:r>
            <w:r>
              <w:rPr>
                <w:rFonts w:hint="eastAsia" w:ascii="Times New Roman" w:hAnsi="Times New Roman" w:eastAsia="宋体"/>
                <w:smallCaps w:val="0"/>
                <w:color w:val="auto"/>
                <w:highlight w:val="none"/>
                <w:shd w:val="clear" w:color="auto" w:fill="auto"/>
              </w:rPr>
              <w:t>人工材料，渗透系数</w:t>
            </w:r>
            <w:r>
              <w:rPr>
                <w:rFonts w:ascii="Times New Roman" w:hAnsi="Times New Roman" w:eastAsia="宋体"/>
                <w:smallCaps w:val="0"/>
                <w:color w:val="auto"/>
                <w:highlight w:val="none"/>
                <w:shd w:val="clear" w:color="auto" w:fill="auto"/>
              </w:rPr>
              <w:t>≤10</w:t>
            </w:r>
            <w:r>
              <w:rPr>
                <w:rFonts w:ascii="Times New Roman" w:hAnsi="Times New Roman" w:eastAsia="宋体"/>
                <w:smallCaps w:val="0"/>
                <w:color w:val="auto"/>
                <w:highlight w:val="none"/>
                <w:shd w:val="clear" w:color="auto" w:fill="auto"/>
                <w:vertAlign w:val="superscript"/>
              </w:rPr>
              <w:t>-</w:t>
            </w:r>
            <w:r>
              <w:rPr>
                <w:rFonts w:hint="eastAsia" w:ascii="Times New Roman" w:hAnsi="Times New Roman" w:eastAsia="宋体"/>
                <w:smallCaps w:val="0"/>
                <w:color w:val="auto"/>
                <w:highlight w:val="none"/>
                <w:shd w:val="clear" w:color="auto" w:fill="auto"/>
                <w:vertAlign w:val="superscript"/>
              </w:rPr>
              <w:t>10</w:t>
            </w:r>
            <w:r>
              <w:rPr>
                <w:rFonts w:ascii="Times New Roman" w:hAnsi="Times New Roman" w:eastAsia="宋体"/>
                <w:smallCaps w:val="0"/>
                <w:color w:val="auto"/>
                <w:highlight w:val="none"/>
                <w:shd w:val="clear" w:color="auto" w:fill="auto"/>
              </w:rPr>
              <w:t>cm/s。</w:t>
            </w:r>
          </w:p>
          <w:p w14:paraId="6F2A2ACE">
            <w:pPr>
              <w:pStyle w:val="46"/>
              <w:ind w:left="420" w:leftChars="200" w:firstLine="0" w:firstLineChars="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fldChar w:fldCharType="begin"/>
            </w:r>
            <w:r>
              <w:rPr>
                <w:rFonts w:ascii="Times New Roman" w:hAnsi="Times New Roman" w:eastAsia="宋体"/>
                <w:smallCaps w:val="0"/>
                <w:color w:val="auto"/>
                <w:highlight w:val="none"/>
                <w:shd w:val="clear" w:color="auto" w:fill="auto"/>
              </w:rPr>
              <w:instrText xml:space="preserve"> = 2 \* GB3 \* MERGEFORMAT </w:instrText>
            </w:r>
            <w:r>
              <w:rPr>
                <w:rFonts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②</w:t>
            </w:r>
            <w:r>
              <w:rPr>
                <w:rFonts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一般防渗区</w:t>
            </w:r>
          </w:p>
          <w:p w14:paraId="2F5ABA00">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指裸露于地面的生产功能单元，污染地下水环境的物料泄漏后，容易被及时发现和处理的区域。</w:t>
            </w:r>
          </w:p>
          <w:p w14:paraId="433BC33E">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对于一般污染防治区，参照《</w:t>
            </w:r>
            <w:r>
              <w:rPr>
                <w:rFonts w:hint="eastAsia"/>
                <w:smallCaps w:val="0"/>
                <w:color w:val="auto"/>
                <w:highlight w:val="none"/>
                <w:shd w:val="clear" w:color="auto" w:fill="auto"/>
                <w:lang w:eastAsia="zh-CN"/>
              </w:rPr>
              <w:t>一般工业固体废物贮存和填埋污染控制标准</w:t>
            </w:r>
            <w:r>
              <w:rPr>
                <w:rFonts w:ascii="Times New Roman" w:hAnsi="Times New Roman" w:eastAsia="宋体"/>
                <w:smallCaps w:val="0"/>
                <w:color w:val="auto"/>
                <w:highlight w:val="none"/>
                <w:shd w:val="clear" w:color="auto" w:fill="auto"/>
              </w:rPr>
              <w:t>》</w:t>
            </w:r>
            <w:r>
              <w:rPr>
                <w:rFonts w:hint="eastAsia" w:ascii="Times New Roman" w:hAnsi="Times New Roman" w:eastAsia="宋体"/>
                <w:smallCaps w:val="0"/>
                <w:color w:val="auto"/>
                <w:highlight w:val="none"/>
                <w:shd w:val="clear" w:color="auto" w:fill="auto"/>
                <w:lang w:eastAsia="zh-CN"/>
              </w:rPr>
              <w:t>（</w:t>
            </w:r>
            <w:r>
              <w:rPr>
                <w:rFonts w:ascii="Times New Roman" w:hAnsi="Times New Roman" w:eastAsia="宋体"/>
                <w:smallCaps w:val="0"/>
                <w:color w:val="auto"/>
                <w:highlight w:val="none"/>
                <w:shd w:val="clear" w:color="auto" w:fill="auto"/>
              </w:rPr>
              <w:t>GB18599-2020</w:t>
            </w:r>
            <w:r>
              <w:rPr>
                <w:rFonts w:hint="eastAsia" w:ascii="Times New Roman" w:hAnsi="Times New Roman" w:eastAsia="宋体"/>
                <w:smallCaps w:val="0"/>
                <w:color w:val="auto"/>
                <w:highlight w:val="none"/>
                <w:shd w:val="clear" w:color="auto" w:fill="auto"/>
                <w:lang w:eastAsia="zh-CN"/>
              </w:rPr>
              <w:t>）</w:t>
            </w:r>
            <w:r>
              <w:rPr>
                <w:rFonts w:ascii="Times New Roman" w:hAnsi="Times New Roman" w:eastAsia="宋体"/>
                <w:smallCaps w:val="0"/>
                <w:color w:val="auto"/>
                <w:highlight w:val="none"/>
                <w:shd w:val="clear" w:color="auto" w:fill="auto"/>
              </w:rPr>
              <w:t>Ⅱ类场进行设计。</w:t>
            </w:r>
          </w:p>
          <w:p w14:paraId="1178756A">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一般污染区防渗要求：</w:t>
            </w:r>
            <w:r>
              <w:rPr>
                <w:rFonts w:hint="eastAsia" w:ascii="Times New Roman" w:hAnsi="Times New Roman" w:eastAsia="宋体"/>
                <w:smallCaps w:val="0"/>
                <w:color w:val="auto"/>
                <w:highlight w:val="none"/>
                <w:shd w:val="clear" w:color="auto" w:fill="auto"/>
                <w:lang w:bidi="ar"/>
              </w:rPr>
              <w:t>人工合成材料应采用高密度聚乙烯膜，厚度不小于</w:t>
            </w:r>
            <w:r>
              <w:rPr>
                <w:rFonts w:ascii="Times New Roman" w:hAnsi="Times New Roman" w:eastAsia="宋体"/>
                <w:smallCaps w:val="0"/>
                <w:color w:val="auto"/>
                <w:highlight w:val="none"/>
                <w:shd w:val="clear" w:color="auto" w:fill="auto"/>
                <w:lang w:bidi="ar"/>
              </w:rPr>
              <w:t>1.5mm</w:t>
            </w:r>
            <w:r>
              <w:rPr>
                <w:rFonts w:hint="eastAsia" w:ascii="Times New Roman" w:hAnsi="Times New Roman" w:eastAsia="宋体"/>
                <w:smallCaps w:val="0"/>
                <w:color w:val="auto"/>
                <w:highlight w:val="none"/>
                <w:shd w:val="clear" w:color="auto" w:fill="auto"/>
                <w:lang w:bidi="ar"/>
              </w:rPr>
              <w:t>，并满足</w:t>
            </w:r>
            <w:r>
              <w:rPr>
                <w:rFonts w:ascii="Times New Roman" w:hAnsi="Times New Roman" w:eastAsia="宋体"/>
                <w:smallCaps w:val="0"/>
                <w:color w:val="auto"/>
                <w:highlight w:val="none"/>
                <w:shd w:val="clear" w:color="auto" w:fill="auto"/>
                <w:lang w:bidi="ar"/>
              </w:rPr>
              <w:t>GB/T17643</w:t>
            </w:r>
            <w:r>
              <w:rPr>
                <w:rFonts w:hint="eastAsia" w:ascii="Times New Roman" w:hAnsi="Times New Roman" w:eastAsia="宋体"/>
                <w:smallCaps w:val="0"/>
                <w:color w:val="auto"/>
                <w:highlight w:val="none"/>
                <w:shd w:val="clear" w:color="auto" w:fill="auto"/>
                <w:lang w:bidi="ar"/>
              </w:rPr>
              <w:t>规定的技术指标要求。采用其他人工合成材料的，其防渗性能至少相当于</w:t>
            </w:r>
            <w:r>
              <w:rPr>
                <w:rFonts w:ascii="Times New Roman" w:hAnsi="Times New Roman" w:eastAsia="宋体"/>
                <w:smallCaps w:val="0"/>
                <w:color w:val="auto"/>
                <w:highlight w:val="none"/>
                <w:shd w:val="clear" w:color="auto" w:fill="auto"/>
                <w:lang w:bidi="ar"/>
              </w:rPr>
              <w:t>1.5 mm</w:t>
            </w:r>
            <w:r>
              <w:rPr>
                <w:rFonts w:hint="eastAsia" w:ascii="Times New Roman" w:hAnsi="Times New Roman" w:eastAsia="宋体"/>
                <w:smallCaps w:val="0"/>
                <w:color w:val="auto"/>
                <w:highlight w:val="none"/>
                <w:shd w:val="clear" w:color="auto" w:fill="auto"/>
                <w:lang w:bidi="ar"/>
              </w:rPr>
              <w:t>高密度聚乙烯膜的防渗性能。</w:t>
            </w:r>
            <w:r>
              <w:rPr>
                <w:rFonts w:hint="eastAsia" w:ascii="Times New Roman" w:hAnsi="Times New Roman" w:eastAsia="宋体"/>
                <w:smallCaps w:val="0"/>
                <w:color w:val="auto"/>
                <w:highlight w:val="none"/>
                <w:shd w:val="clear" w:color="auto" w:fill="auto"/>
                <w:lang w:eastAsia="zh-CN" w:bidi="ar"/>
              </w:rPr>
              <w:t>黏土</w:t>
            </w:r>
            <w:r>
              <w:rPr>
                <w:rFonts w:hint="eastAsia" w:ascii="Times New Roman" w:hAnsi="Times New Roman" w:eastAsia="宋体"/>
                <w:smallCaps w:val="0"/>
                <w:color w:val="auto"/>
                <w:highlight w:val="none"/>
                <w:shd w:val="clear" w:color="auto" w:fill="auto"/>
                <w:lang w:bidi="ar"/>
              </w:rPr>
              <w:t>衬层厚度应不小于</w:t>
            </w:r>
            <w:r>
              <w:rPr>
                <w:rFonts w:ascii="Times New Roman" w:hAnsi="Times New Roman" w:eastAsia="宋体"/>
                <w:smallCaps w:val="0"/>
                <w:color w:val="auto"/>
                <w:highlight w:val="none"/>
                <w:shd w:val="clear" w:color="auto" w:fill="auto"/>
                <w:lang w:bidi="ar"/>
              </w:rPr>
              <w:t>0.75m</w:t>
            </w:r>
            <w:r>
              <w:rPr>
                <w:rFonts w:hint="eastAsia"/>
                <w:smallCaps w:val="0"/>
                <w:color w:val="auto"/>
                <w:highlight w:val="none"/>
                <w:shd w:val="clear" w:color="auto" w:fill="auto"/>
                <w:lang w:eastAsia="zh-CN" w:bidi="ar"/>
              </w:rPr>
              <w:t>且</w:t>
            </w:r>
            <w:r>
              <w:rPr>
                <w:rFonts w:hint="eastAsia" w:ascii="Times New Roman" w:hAnsi="Times New Roman" w:eastAsia="宋体"/>
                <w:smallCaps w:val="0"/>
                <w:color w:val="auto"/>
                <w:highlight w:val="none"/>
                <w:shd w:val="clear" w:color="auto" w:fill="auto"/>
                <w:lang w:bidi="ar"/>
              </w:rPr>
              <w:t>经压实、人工改性等措施处理后的饱和渗透系数不应大于</w:t>
            </w:r>
            <w:r>
              <w:rPr>
                <w:rFonts w:ascii="Times New Roman" w:hAnsi="Times New Roman" w:eastAsia="宋体"/>
                <w:smallCaps w:val="0"/>
                <w:color w:val="auto"/>
                <w:highlight w:val="none"/>
                <w:shd w:val="clear" w:color="auto" w:fill="auto"/>
                <w:lang w:bidi="ar"/>
              </w:rPr>
              <w:t>1.0×10</w:t>
            </w:r>
            <w:r>
              <w:rPr>
                <w:rFonts w:ascii="Times New Roman" w:hAnsi="Times New Roman" w:eastAsia="宋体"/>
                <w:smallCaps w:val="0"/>
                <w:color w:val="auto"/>
                <w:highlight w:val="none"/>
                <w:shd w:val="clear" w:color="auto" w:fill="auto"/>
                <w:vertAlign w:val="superscript"/>
                <w:lang w:bidi="ar"/>
              </w:rPr>
              <w:t>-7</w:t>
            </w:r>
            <w:r>
              <w:rPr>
                <w:rFonts w:ascii="Times New Roman" w:hAnsi="Times New Roman" w:eastAsia="宋体"/>
                <w:smallCaps w:val="0"/>
                <w:color w:val="auto"/>
                <w:highlight w:val="none"/>
                <w:shd w:val="clear" w:color="auto" w:fill="auto"/>
                <w:lang w:bidi="ar"/>
              </w:rPr>
              <w:t>cm/s</w:t>
            </w:r>
            <w:r>
              <w:rPr>
                <w:rFonts w:hint="eastAsia" w:ascii="Times New Roman" w:hAnsi="Times New Roman" w:eastAsia="宋体"/>
                <w:smallCaps w:val="0"/>
                <w:color w:val="auto"/>
                <w:highlight w:val="none"/>
                <w:shd w:val="clear" w:color="auto" w:fill="auto"/>
                <w:lang w:bidi="ar"/>
              </w:rPr>
              <w:t>。使用其他</w:t>
            </w:r>
            <w:r>
              <w:rPr>
                <w:rFonts w:hint="eastAsia" w:ascii="Times New Roman" w:hAnsi="Times New Roman" w:eastAsia="宋体"/>
                <w:smallCaps w:val="0"/>
                <w:color w:val="auto"/>
                <w:highlight w:val="none"/>
                <w:shd w:val="clear" w:color="auto" w:fill="auto"/>
                <w:lang w:eastAsia="zh-CN" w:bidi="ar"/>
              </w:rPr>
              <w:t>黏土</w:t>
            </w:r>
            <w:r>
              <w:rPr>
                <w:rFonts w:hint="eastAsia" w:ascii="Times New Roman" w:hAnsi="Times New Roman" w:eastAsia="宋体"/>
                <w:smallCaps w:val="0"/>
                <w:color w:val="auto"/>
                <w:highlight w:val="none"/>
                <w:shd w:val="clear" w:color="auto" w:fill="auto"/>
                <w:lang w:bidi="ar"/>
              </w:rPr>
              <w:t>类防渗衬层材料时，应具有同等以上隔水效力。</w:t>
            </w:r>
          </w:p>
          <w:p w14:paraId="55CB9092">
            <w:pPr>
              <w:pStyle w:val="46"/>
              <w:ind w:left="420" w:leftChars="200" w:firstLine="0" w:firstLineChars="0"/>
              <w:rPr>
                <w:rFonts w:ascii="Times New Roman" w:hAnsi="Times New Roman" w:eastAsia="宋体"/>
                <w:smallCaps w:val="0"/>
                <w:color w:val="auto"/>
                <w:highlight w:val="none"/>
                <w:shd w:val="clear" w:color="auto" w:fill="auto"/>
              </w:rPr>
            </w:pPr>
            <w:r>
              <w:rPr>
                <w:rFonts w:hint="eastAsia" w:ascii="Times New Roman" w:hAnsi="Times New Roman" w:eastAsia="宋体"/>
                <w:smallCaps w:val="0"/>
                <w:color w:val="auto"/>
                <w:highlight w:val="none"/>
                <w:shd w:val="clear" w:color="auto" w:fill="auto"/>
              </w:rPr>
              <w:fldChar w:fldCharType="begin"/>
            </w:r>
            <w:r>
              <w:rPr>
                <w:rFonts w:hint="eastAsia" w:ascii="Times New Roman" w:hAnsi="Times New Roman" w:eastAsia="宋体"/>
                <w:smallCaps w:val="0"/>
                <w:color w:val="auto"/>
                <w:highlight w:val="none"/>
                <w:shd w:val="clear" w:color="auto" w:fill="auto"/>
              </w:rPr>
              <w:instrText xml:space="preserve"> = 3 \* GB3 \* MERGEFORMAT </w:instrText>
            </w:r>
            <w:r>
              <w:rPr>
                <w:rFonts w:hint="eastAsia"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③</w:t>
            </w:r>
            <w:r>
              <w:rPr>
                <w:rFonts w:hint="eastAsia"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简单防渗区</w:t>
            </w:r>
          </w:p>
          <w:p w14:paraId="09D36D5B">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指不会对地下水环境造成污染的区域，主要</w:t>
            </w:r>
            <w:r>
              <w:rPr>
                <w:rFonts w:hint="eastAsia"/>
                <w:smallCaps w:val="0"/>
                <w:color w:val="auto"/>
                <w:highlight w:val="none"/>
                <w:shd w:val="clear" w:color="auto" w:fill="auto"/>
                <w:lang w:val="en-US" w:eastAsia="zh-CN"/>
              </w:rPr>
              <w:t>厂区道路及空置区域</w:t>
            </w:r>
            <w:r>
              <w:rPr>
                <w:rFonts w:ascii="Times New Roman" w:hAnsi="Times New Roman" w:eastAsia="宋体"/>
                <w:smallCaps w:val="0"/>
                <w:color w:val="auto"/>
                <w:highlight w:val="none"/>
                <w:shd w:val="clear" w:color="auto" w:fill="auto"/>
              </w:rPr>
              <w:t>。对于基本上不产生污染物的非污染防治区，不采取专门针对地下水污染的防治措施，但装置区外系统管廊区地基处理应分层压实。</w:t>
            </w:r>
          </w:p>
          <w:p w14:paraId="0CAC5FD3">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为保证防渗工程正常施工、运行，达到设计防渗等级，应对工程质量进行管理控制：</w:t>
            </w:r>
          </w:p>
          <w:p w14:paraId="76294588">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a.选择具有相应资质的设计单位对工程进行设计，防渗工程的设计符合相应要求及设计规范；</w:t>
            </w:r>
          </w:p>
          <w:p w14:paraId="180E233F">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b.工程材料符合设计要求，并按照有关规定和要求进行质量检验，保证使用材料全部合格；</w:t>
            </w:r>
          </w:p>
          <w:p w14:paraId="650E37B2">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c.聘请优秀专业施工队伍，施工方法符合规范要求；</w:t>
            </w:r>
          </w:p>
          <w:p w14:paraId="00BA372C">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d.工程完工后应进行质量检测；</w:t>
            </w:r>
          </w:p>
          <w:p w14:paraId="50280AF1">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e.在防渗措施投入使用后，应加强日常的维护管理。</w:t>
            </w:r>
          </w:p>
          <w:p w14:paraId="644938F1">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（3）风险事故应急响应</w:t>
            </w:r>
          </w:p>
          <w:p w14:paraId="4630F933">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企业在运营过程中</w:t>
            </w:r>
            <w:r>
              <w:rPr>
                <w:rFonts w:hint="default" w:ascii="Times New Roman" w:hAnsi="Times New Roman" w:eastAsia="宋体"/>
                <w:color w:val="auto"/>
                <w:highlight w:val="none"/>
                <w:lang w:val="en-US" w:eastAsia="zh-CN"/>
              </w:rPr>
              <w:t>发现渗漏</w:t>
            </w:r>
            <w:r>
              <w:rPr>
                <w:rFonts w:hint="eastAsia" w:ascii="Times New Roman" w:hAnsi="Times New Roman" w:eastAsia="宋体"/>
                <w:color w:val="auto"/>
                <w:highlight w:val="none"/>
                <w:lang w:val="en-US" w:eastAsia="zh-CN"/>
              </w:rPr>
              <w:t>情况</w:t>
            </w:r>
            <w:r>
              <w:rPr>
                <w:rFonts w:hint="default" w:ascii="Times New Roman" w:hAnsi="Times New Roman" w:eastAsia="宋体"/>
                <w:color w:val="auto"/>
                <w:highlight w:val="none"/>
                <w:lang w:val="en-US" w:eastAsia="zh-CN"/>
              </w:rPr>
              <w:t>时应组织人员查明渗漏源头，采取补救措施。</w:t>
            </w:r>
          </w:p>
          <w:p w14:paraId="6AE32C34">
            <w:pPr>
              <w:pStyle w:val="46"/>
              <w:ind w:firstLine="480"/>
              <w:rPr>
                <w:color w:val="auto"/>
                <w:highlight w:val="none"/>
              </w:rPr>
            </w:pPr>
            <w:r>
              <w:rPr>
                <w:rFonts w:hint="default" w:ascii="Times New Roman" w:hAnsi="Times New Roman" w:eastAsia="宋体"/>
                <w:color w:val="auto"/>
                <w:highlight w:val="none"/>
                <w:lang w:val="en-US" w:eastAsia="zh-CN"/>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14:paraId="7870EB9A">
            <w:pPr>
              <w:pStyle w:val="3"/>
              <w:numPr>
                <w:ilvl w:val="1"/>
                <w:numId w:val="1"/>
              </w:numPr>
              <w:bidi w:val="0"/>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环境风险</w:t>
            </w:r>
          </w:p>
          <w:p w14:paraId="13325EE4">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环境风险识别</w:t>
            </w:r>
          </w:p>
          <w:p w14:paraId="626E2799">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（1）风险识别范围</w:t>
            </w:r>
          </w:p>
          <w:p w14:paraId="0A34C503">
            <w:pPr>
              <w:pStyle w:val="120"/>
              <w:rPr>
                <w:rFonts w:ascii="Times New Roman" w:hAnsi="Times New Roman"/>
                <w:color w:val="auto"/>
                <w:kern w:val="0"/>
                <w:highlight w:val="none"/>
                <w:lang w:val="en-US" w:eastAsia="zh-CN"/>
              </w:rPr>
            </w:pPr>
            <w:bookmarkStart w:id="58" w:name="bookmark247"/>
            <w:bookmarkEnd w:id="58"/>
            <w:r>
              <w:rPr>
                <w:rFonts w:hint="eastAsia" w:ascii="Times New Roman" w:hAnsi="Times New Roman"/>
                <w:color w:val="auto"/>
                <w:kern w:val="0"/>
                <w:highlight w:val="none"/>
                <w:lang w:val="en-US" w:eastAsia="zh-CN"/>
              </w:rPr>
              <w:t>①</w:t>
            </w:r>
            <w:r>
              <w:rPr>
                <w:rFonts w:ascii="Times New Roman" w:hAnsi="Times New Roman"/>
                <w:color w:val="auto"/>
                <w:kern w:val="0"/>
                <w:highlight w:val="none"/>
                <w:lang w:val="en-US" w:eastAsia="zh-CN"/>
              </w:rPr>
              <w:t>本项目生产系统危险性识别包括主要生产装置、储运设施、公用工程和辅助生产设施，以及环境保护设施等。</w:t>
            </w:r>
          </w:p>
          <w:p w14:paraId="16EE3585">
            <w:pPr>
              <w:pStyle w:val="120"/>
              <w:rPr>
                <w:rFonts w:ascii="Times New Roman" w:hAnsi="Times New Roman"/>
                <w:color w:val="auto"/>
                <w:kern w:val="0"/>
                <w:highlight w:val="none"/>
                <w:lang w:val="en-US" w:eastAsia="zh-CN"/>
              </w:rPr>
            </w:pPr>
            <w:bookmarkStart w:id="59" w:name="bookmark248"/>
            <w:bookmarkEnd w:id="59"/>
            <w:r>
              <w:rPr>
                <w:rFonts w:hint="eastAsia" w:ascii="Times New Roman" w:hAnsi="Times New Roman"/>
                <w:color w:val="auto"/>
                <w:kern w:val="0"/>
                <w:highlight w:val="none"/>
                <w:lang w:val="en-US" w:eastAsia="zh-CN"/>
              </w:rPr>
              <w:t>②</w:t>
            </w:r>
            <w:r>
              <w:rPr>
                <w:rFonts w:ascii="Times New Roman" w:hAnsi="Times New Roman"/>
                <w:color w:val="auto"/>
                <w:kern w:val="0"/>
                <w:highlight w:val="none"/>
                <w:lang w:val="en-US" w:eastAsia="zh-CN"/>
              </w:rPr>
              <w:t>物质危险性识别包括主要原辅材料、中间产品、副产品、最终产品、污染物、火灾和爆炸伴生/次生物等。</w:t>
            </w:r>
          </w:p>
          <w:p w14:paraId="105128C3">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（2）风险识别类型</w:t>
            </w:r>
          </w:p>
          <w:p w14:paraId="3052AFB4">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A</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火灾；B</w:t>
            </w:r>
            <w:r>
              <w:rPr>
                <w:rFonts w:hint="eastAsia" w:ascii="Times New Roman" w:hAnsi="Times New Roman"/>
                <w:color w:val="auto"/>
                <w:kern w:val="0"/>
                <w:highlight w:val="none"/>
                <w:lang w:val="en-US" w:eastAsia="zh-CN"/>
              </w:rPr>
              <w:t>.</w:t>
            </w:r>
            <w:r>
              <w:rPr>
                <w:rFonts w:hint="eastAsia"/>
                <w:color w:val="auto"/>
                <w:kern w:val="0"/>
                <w:highlight w:val="none"/>
                <w:lang w:val="en-US" w:eastAsia="zh-CN"/>
              </w:rPr>
              <w:t>天然气泄漏引发的</w:t>
            </w:r>
            <w:r>
              <w:rPr>
                <w:rFonts w:ascii="Times New Roman" w:hAnsi="Times New Roman"/>
                <w:color w:val="auto"/>
                <w:kern w:val="0"/>
                <w:highlight w:val="none"/>
                <w:lang w:val="en-US" w:eastAsia="zh-CN"/>
              </w:rPr>
              <w:t>爆炸；C</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物质泄漏风险。</w:t>
            </w:r>
          </w:p>
          <w:p w14:paraId="55DB5156">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（3）物质风险识别</w:t>
            </w:r>
          </w:p>
          <w:p w14:paraId="1FA106E4">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根据《危险化学品重大危险源辨识》（GB18218-2018）表2和《建设项目环境风险评价技术导则》</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HJ169—2018</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附录B危险化学品的临界量，项目物质危险性识别结果见表4.</w:t>
            </w:r>
            <w:r>
              <w:rPr>
                <w:rFonts w:hint="eastAsia" w:ascii="Times New Roman" w:hAnsi="Times New Roman"/>
                <w:color w:val="auto"/>
                <w:kern w:val="0"/>
                <w:highlight w:val="none"/>
                <w:lang w:val="en-US" w:eastAsia="zh-CN"/>
              </w:rPr>
              <w:t>7</w:t>
            </w:r>
            <w:r>
              <w:rPr>
                <w:rFonts w:ascii="Times New Roman" w:hAnsi="Times New Roman"/>
                <w:color w:val="auto"/>
                <w:kern w:val="0"/>
                <w:highlight w:val="none"/>
                <w:lang w:val="en-US" w:eastAsia="zh-CN"/>
              </w:rPr>
              <w:t>-</w:t>
            </w:r>
            <w:r>
              <w:rPr>
                <w:rFonts w:hint="eastAsia"/>
                <w:color w:val="auto"/>
                <w:kern w:val="0"/>
                <w:highlight w:val="none"/>
                <w:lang w:val="en-US" w:eastAsia="zh-CN"/>
              </w:rPr>
              <w:t>2</w:t>
            </w:r>
            <w:r>
              <w:rPr>
                <w:rFonts w:ascii="Times New Roman" w:hAnsi="Times New Roman"/>
                <w:color w:val="auto"/>
                <w:kern w:val="0"/>
                <w:highlight w:val="none"/>
                <w:lang w:val="en-US" w:eastAsia="zh-CN"/>
              </w:rPr>
              <w:t>。</w:t>
            </w:r>
          </w:p>
          <w:p w14:paraId="77399932">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危险性判定表</w:t>
            </w:r>
          </w:p>
          <w:tbl>
            <w:tblPr>
              <w:tblStyle w:val="86"/>
              <w:tblW w:w="8925"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5"/>
              <w:gridCol w:w="2435"/>
              <w:gridCol w:w="1246"/>
              <w:gridCol w:w="1873"/>
              <w:gridCol w:w="961"/>
              <w:gridCol w:w="1725"/>
            </w:tblGrid>
            <w:tr w14:paraId="0F5D3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85" w:type="dxa"/>
                  <w:tcBorders>
                    <w:bottom w:val="single" w:color="000000" w:sz="12" w:space="0"/>
                  </w:tcBorders>
                  <w:textDirection w:val="tbRlV"/>
                  <w:vAlign w:val="center"/>
                </w:tcPr>
                <w:p w14:paraId="4ED039B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7"/>
                      <w:sz w:val="21"/>
                      <w:highlight w:val="none"/>
                    </w:rPr>
                    <w:t>序号</w:t>
                  </w:r>
                </w:p>
              </w:tc>
              <w:tc>
                <w:tcPr>
                  <w:tcW w:w="2435" w:type="dxa"/>
                  <w:tcBorders>
                    <w:bottom w:val="single" w:color="000000" w:sz="12" w:space="0"/>
                  </w:tcBorders>
                  <w:vAlign w:val="center"/>
                </w:tcPr>
                <w:p w14:paraId="71772EC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危险物质名称</w:t>
                  </w:r>
                </w:p>
              </w:tc>
              <w:tc>
                <w:tcPr>
                  <w:tcW w:w="1246" w:type="dxa"/>
                  <w:tcBorders>
                    <w:bottom w:val="single" w:color="000000" w:sz="12" w:space="0"/>
                  </w:tcBorders>
                  <w:vAlign w:val="center"/>
                </w:tcPr>
                <w:p w14:paraId="12CC0D6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b/>
                      <w:bCs/>
                      <w:color w:val="auto"/>
                      <w:sz w:val="21"/>
                      <w:highlight w:val="none"/>
                    </w:rPr>
                    <w:t>CAS</w:t>
                  </w:r>
                  <w:r>
                    <w:rPr>
                      <w:rFonts w:ascii="Times New Roman" w:hAnsi="Times New Roman" w:eastAsia="宋体"/>
                      <w:b/>
                      <w:bCs/>
                      <w:color w:val="auto"/>
                      <w:spacing w:val="8"/>
                      <w:sz w:val="21"/>
                      <w:highlight w:val="none"/>
                    </w:rPr>
                    <w:t>号</w:t>
                  </w:r>
                </w:p>
              </w:tc>
              <w:tc>
                <w:tcPr>
                  <w:tcW w:w="1873" w:type="dxa"/>
                  <w:tcBorders>
                    <w:bottom w:val="single" w:color="000000" w:sz="12" w:space="0"/>
                  </w:tcBorders>
                  <w:vAlign w:val="center"/>
                </w:tcPr>
                <w:p w14:paraId="424B04B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最大存储总量</w:t>
                  </w:r>
                </w:p>
                <w:p w14:paraId="4A48AA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z w:val="21"/>
                      <w:szCs w:val="20"/>
                      <w:highlight w:val="none"/>
                    </w:rPr>
                    <w:t>q</w:t>
                  </w:r>
                  <w:r>
                    <w:rPr>
                      <w:rFonts w:ascii="Times New Roman" w:hAnsi="Times New Roman" w:eastAsia="宋体" w:cs="Times New Roman"/>
                      <w:b/>
                      <w:bCs/>
                      <w:color w:val="auto"/>
                      <w:position w:val="-1"/>
                      <w:sz w:val="21"/>
                      <w:szCs w:val="13"/>
                      <w:highlight w:val="none"/>
                    </w:rPr>
                    <w:t>n</w:t>
                  </w:r>
                  <w:r>
                    <w:rPr>
                      <w:rFonts w:ascii="Times New Roman" w:hAnsi="Times New Roman" w:eastAsia="宋体" w:cs="Times New Roman"/>
                      <w:b/>
                      <w:bCs/>
                      <w:color w:val="auto"/>
                      <w:spacing w:val="2"/>
                      <w:sz w:val="21"/>
                      <w:szCs w:val="20"/>
                      <w:highlight w:val="none"/>
                    </w:rPr>
                    <w:t>/t</w:t>
                  </w:r>
                </w:p>
              </w:tc>
              <w:tc>
                <w:tcPr>
                  <w:tcW w:w="961" w:type="dxa"/>
                  <w:tcBorders>
                    <w:bottom w:val="single" w:color="000000" w:sz="12" w:space="0"/>
                  </w:tcBorders>
                  <w:vAlign w:val="center"/>
                </w:tcPr>
                <w:p w14:paraId="639774A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b/>
                      <w:bCs/>
                      <w:color w:val="auto"/>
                      <w:spacing w:val="1"/>
                      <w:sz w:val="21"/>
                      <w:highlight w:val="none"/>
                    </w:rPr>
                    <w:t>临界量</w:t>
                  </w:r>
                  <w:r>
                    <w:rPr>
                      <w:rFonts w:ascii="Times New Roman" w:hAnsi="Times New Roman" w:eastAsia="宋体" w:cs="Times New Roman"/>
                      <w:b/>
                      <w:bCs/>
                      <w:color w:val="auto"/>
                      <w:sz w:val="21"/>
                      <w:highlight w:val="none"/>
                    </w:rPr>
                    <w:t>Q</w:t>
                  </w:r>
                  <w:r>
                    <w:rPr>
                      <w:rFonts w:ascii="Times New Roman" w:hAnsi="Times New Roman" w:eastAsia="宋体" w:cs="Times New Roman"/>
                      <w:b/>
                      <w:bCs/>
                      <w:color w:val="auto"/>
                      <w:position w:val="-1"/>
                      <w:sz w:val="21"/>
                      <w:szCs w:val="13"/>
                      <w:highlight w:val="none"/>
                    </w:rPr>
                    <w:t>n</w:t>
                  </w:r>
                  <w:r>
                    <w:rPr>
                      <w:rFonts w:ascii="Times New Roman" w:hAnsi="Times New Roman" w:eastAsia="宋体" w:cs="Times New Roman"/>
                      <w:b/>
                      <w:bCs/>
                      <w:color w:val="auto"/>
                      <w:spacing w:val="3"/>
                      <w:sz w:val="21"/>
                      <w:highlight w:val="none"/>
                    </w:rPr>
                    <w:t>/t</w:t>
                  </w:r>
                </w:p>
              </w:tc>
              <w:tc>
                <w:tcPr>
                  <w:tcW w:w="1725" w:type="dxa"/>
                  <w:tcBorders>
                    <w:bottom w:val="single" w:color="000000" w:sz="12" w:space="0"/>
                  </w:tcBorders>
                  <w:vAlign w:val="center"/>
                </w:tcPr>
                <w:p w14:paraId="351284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该种危险物质</w:t>
                  </w:r>
                </w:p>
                <w:p w14:paraId="1BDA694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b/>
                      <w:bCs/>
                      <w:color w:val="auto"/>
                      <w:spacing w:val="-2"/>
                      <w:sz w:val="21"/>
                      <w:highlight w:val="none"/>
                    </w:rPr>
                    <w:t>Q</w:t>
                  </w:r>
                  <w:r>
                    <w:rPr>
                      <w:rFonts w:ascii="Times New Roman" w:hAnsi="Times New Roman" w:eastAsia="宋体"/>
                      <w:b/>
                      <w:bCs/>
                      <w:color w:val="auto"/>
                      <w:spacing w:val="-2"/>
                      <w:sz w:val="21"/>
                      <w:highlight w:val="none"/>
                    </w:rPr>
                    <w:t>值</w:t>
                  </w:r>
                </w:p>
              </w:tc>
            </w:tr>
            <w:tr w14:paraId="0C07E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85" w:type="dxa"/>
                  <w:tcBorders>
                    <w:top w:val="single" w:color="000000" w:sz="12" w:space="0"/>
                    <w:tl2br w:val="nil"/>
                    <w:tr2bl w:val="nil"/>
                  </w:tcBorders>
                  <w:vAlign w:val="center"/>
                </w:tcPr>
                <w:p w14:paraId="2AFEF8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2435" w:type="dxa"/>
                  <w:tcBorders>
                    <w:top w:val="single" w:color="000000" w:sz="12" w:space="0"/>
                    <w:tl2br w:val="nil"/>
                    <w:tr2bl w:val="nil"/>
                  </w:tcBorders>
                  <w:vAlign w:val="center"/>
                </w:tcPr>
                <w:p w14:paraId="4683445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油类物质</w:t>
                  </w:r>
                </w:p>
              </w:tc>
              <w:tc>
                <w:tcPr>
                  <w:tcW w:w="1246" w:type="dxa"/>
                  <w:tcBorders>
                    <w:top w:val="single" w:color="000000" w:sz="12" w:space="0"/>
                    <w:tl2br w:val="nil"/>
                    <w:tr2bl w:val="nil"/>
                  </w:tcBorders>
                  <w:vAlign w:val="center"/>
                </w:tcPr>
                <w:p w14:paraId="0983B9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w:t>
                  </w:r>
                </w:p>
              </w:tc>
              <w:tc>
                <w:tcPr>
                  <w:tcW w:w="1873" w:type="dxa"/>
                  <w:tcBorders>
                    <w:top w:val="single" w:color="000000" w:sz="12" w:space="0"/>
                    <w:tl2br w:val="nil"/>
                    <w:tr2bl w:val="nil"/>
                  </w:tcBorders>
                  <w:vAlign w:val="center"/>
                </w:tcPr>
                <w:p w14:paraId="589E85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0.22</w:t>
                  </w:r>
                </w:p>
              </w:tc>
              <w:tc>
                <w:tcPr>
                  <w:tcW w:w="961" w:type="dxa"/>
                  <w:tcBorders>
                    <w:top w:val="single" w:color="000000" w:sz="12" w:space="0"/>
                    <w:tl2br w:val="nil"/>
                    <w:tr2bl w:val="nil"/>
                  </w:tcBorders>
                  <w:vAlign w:val="center"/>
                </w:tcPr>
                <w:p w14:paraId="2AD6AA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2500</w:t>
                  </w:r>
                </w:p>
              </w:tc>
              <w:tc>
                <w:tcPr>
                  <w:tcW w:w="1725" w:type="dxa"/>
                  <w:tcBorders>
                    <w:top w:val="single" w:color="000000" w:sz="12" w:space="0"/>
                    <w:tl2br w:val="nil"/>
                    <w:tr2bl w:val="nil"/>
                  </w:tcBorders>
                  <w:vAlign w:val="center"/>
                </w:tcPr>
                <w:p w14:paraId="6D80D2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0.000088</w:t>
                  </w:r>
                </w:p>
              </w:tc>
            </w:tr>
            <w:tr w14:paraId="191539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85" w:type="dxa"/>
                  <w:tcBorders>
                    <w:tl2br w:val="nil"/>
                    <w:tr2bl w:val="nil"/>
                  </w:tcBorders>
                  <w:vAlign w:val="center"/>
                </w:tcPr>
                <w:p w14:paraId="57FBE9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2435" w:type="dxa"/>
                  <w:tcBorders>
                    <w:tl2br w:val="nil"/>
                    <w:tr2bl w:val="nil"/>
                  </w:tcBorders>
                  <w:vAlign w:val="center"/>
                </w:tcPr>
                <w:p w14:paraId="068DB69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乙酸</w:t>
                  </w:r>
                </w:p>
              </w:tc>
              <w:tc>
                <w:tcPr>
                  <w:tcW w:w="1246" w:type="dxa"/>
                  <w:tcBorders>
                    <w:tl2br w:val="nil"/>
                    <w:tr2bl w:val="nil"/>
                  </w:tcBorders>
                  <w:vAlign w:val="center"/>
                </w:tcPr>
                <w:p w14:paraId="1EC44B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64-19-7</w:t>
                  </w:r>
                </w:p>
              </w:tc>
              <w:tc>
                <w:tcPr>
                  <w:tcW w:w="1873" w:type="dxa"/>
                  <w:tcBorders>
                    <w:tl2br w:val="nil"/>
                    <w:tr2bl w:val="nil"/>
                  </w:tcBorders>
                  <w:vAlign w:val="center"/>
                </w:tcPr>
                <w:p w14:paraId="4BD4E7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0.047</w:t>
                  </w:r>
                </w:p>
              </w:tc>
              <w:tc>
                <w:tcPr>
                  <w:tcW w:w="961" w:type="dxa"/>
                  <w:tcBorders>
                    <w:tl2br w:val="nil"/>
                    <w:tr2bl w:val="nil"/>
                  </w:tcBorders>
                  <w:vAlign w:val="center"/>
                </w:tcPr>
                <w:p w14:paraId="7A920D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10</w:t>
                  </w:r>
                </w:p>
              </w:tc>
              <w:tc>
                <w:tcPr>
                  <w:tcW w:w="1725" w:type="dxa"/>
                  <w:tcBorders>
                    <w:tl2br w:val="nil"/>
                    <w:tr2bl w:val="nil"/>
                  </w:tcBorders>
                  <w:vAlign w:val="center"/>
                </w:tcPr>
                <w:p w14:paraId="54AADF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0.0047</w:t>
                  </w:r>
                </w:p>
              </w:tc>
            </w:tr>
            <w:tr w14:paraId="7883D2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85" w:type="dxa"/>
                  <w:tcBorders>
                    <w:tl2br w:val="nil"/>
                    <w:tr2bl w:val="nil"/>
                  </w:tcBorders>
                  <w:vAlign w:val="center"/>
                </w:tcPr>
                <w:p w14:paraId="658E59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6</w:t>
                  </w:r>
                </w:p>
              </w:tc>
              <w:tc>
                <w:tcPr>
                  <w:tcW w:w="2435" w:type="dxa"/>
                  <w:tcBorders>
                    <w:tl2br w:val="nil"/>
                    <w:tr2bl w:val="nil"/>
                  </w:tcBorders>
                  <w:vAlign w:val="center"/>
                </w:tcPr>
                <w:p w14:paraId="2FEC82D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甲烷</w:t>
                  </w:r>
                </w:p>
              </w:tc>
              <w:tc>
                <w:tcPr>
                  <w:tcW w:w="1246" w:type="dxa"/>
                  <w:tcBorders>
                    <w:tl2br w:val="nil"/>
                    <w:tr2bl w:val="nil"/>
                  </w:tcBorders>
                  <w:vAlign w:val="center"/>
                </w:tcPr>
                <w:p w14:paraId="05DAFB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74-82-8</w:t>
                  </w:r>
                </w:p>
              </w:tc>
              <w:tc>
                <w:tcPr>
                  <w:tcW w:w="1873" w:type="dxa"/>
                  <w:tcBorders>
                    <w:tl2br w:val="nil"/>
                    <w:tr2bl w:val="nil"/>
                  </w:tcBorders>
                  <w:vAlign w:val="center"/>
                </w:tcPr>
                <w:p w14:paraId="1D3015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eastAsia="zh-CN"/>
                    </w:rPr>
                  </w:pPr>
                  <w:r>
                    <w:rPr>
                      <w:rFonts w:ascii="Times New Roman" w:hAnsi="Times New Roman" w:eastAsia="宋体" w:cs="Times New Roman"/>
                      <w:color w:val="auto"/>
                      <w:spacing w:val="2"/>
                      <w:position w:val="1"/>
                      <w:sz w:val="21"/>
                      <w:szCs w:val="20"/>
                      <w:highlight w:val="none"/>
                    </w:rPr>
                    <w:t>0.00</w:t>
                  </w:r>
                  <w:r>
                    <w:rPr>
                      <w:rFonts w:hint="eastAsia" w:cs="Times New Roman"/>
                      <w:color w:val="auto"/>
                      <w:spacing w:val="2"/>
                      <w:position w:val="1"/>
                      <w:sz w:val="21"/>
                      <w:szCs w:val="20"/>
                      <w:highlight w:val="none"/>
                      <w:lang w:val="en-US" w:eastAsia="zh-CN"/>
                    </w:rPr>
                    <w:t>5</w:t>
                  </w:r>
                </w:p>
              </w:tc>
              <w:tc>
                <w:tcPr>
                  <w:tcW w:w="961" w:type="dxa"/>
                  <w:tcBorders>
                    <w:tl2br w:val="nil"/>
                    <w:tr2bl w:val="nil"/>
                  </w:tcBorders>
                  <w:vAlign w:val="center"/>
                </w:tcPr>
                <w:p w14:paraId="260622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10</w:t>
                  </w:r>
                </w:p>
              </w:tc>
              <w:tc>
                <w:tcPr>
                  <w:tcW w:w="1725" w:type="dxa"/>
                  <w:tcBorders>
                    <w:tl2br w:val="nil"/>
                    <w:tr2bl w:val="nil"/>
                  </w:tcBorders>
                  <w:vAlign w:val="center"/>
                </w:tcPr>
                <w:p w14:paraId="6D8BF5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hint="eastAsia" w:ascii="Times New Roman" w:hAnsi="Times New Roman" w:eastAsia="宋体" w:cs="Times New Roman"/>
                      <w:color w:val="auto"/>
                      <w:sz w:val="21"/>
                      <w:szCs w:val="20"/>
                      <w:highlight w:val="none"/>
                    </w:rPr>
                    <w:t>0.0005‬</w:t>
                  </w:r>
                </w:p>
              </w:tc>
            </w:tr>
            <w:tr w14:paraId="3D161B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200" w:type="dxa"/>
                  <w:gridSpan w:val="5"/>
                  <w:tcBorders>
                    <w:tl2br w:val="nil"/>
                    <w:tr2bl w:val="nil"/>
                  </w:tcBorders>
                  <w:vAlign w:val="center"/>
                </w:tcPr>
                <w:p w14:paraId="5191808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14"/>
                      <w:position w:val="2"/>
                      <w:sz w:val="21"/>
                      <w:highlight w:val="none"/>
                    </w:rPr>
                    <w:t>项目</w:t>
                  </w:r>
                  <w:r>
                    <w:rPr>
                      <w:rFonts w:ascii="Times New Roman" w:hAnsi="Times New Roman" w:eastAsia="宋体" w:cs="Times New Roman"/>
                      <w:color w:val="auto"/>
                      <w:spacing w:val="14"/>
                      <w:position w:val="2"/>
                      <w:sz w:val="21"/>
                      <w:highlight w:val="none"/>
                    </w:rPr>
                    <w:t>Q</w:t>
                  </w:r>
                  <w:r>
                    <w:rPr>
                      <w:rFonts w:ascii="Times New Roman" w:hAnsi="Times New Roman" w:eastAsia="宋体"/>
                      <w:color w:val="auto"/>
                      <w:spacing w:val="14"/>
                      <w:position w:val="2"/>
                      <w:sz w:val="21"/>
                      <w:highlight w:val="none"/>
                    </w:rPr>
                    <w:t>值</w:t>
                  </w:r>
                  <w:r>
                    <w:rPr>
                      <w:rFonts w:ascii="Times New Roman" w:hAnsi="Times New Roman" w:eastAsia="宋体" w:cs="Times New Roman"/>
                      <w:color w:val="auto"/>
                      <w:spacing w:val="14"/>
                      <w:position w:val="2"/>
                      <w:sz w:val="21"/>
                      <w:highlight w:val="none"/>
                    </w:rPr>
                    <w:t>∑</w:t>
                  </w:r>
                </w:p>
              </w:tc>
              <w:tc>
                <w:tcPr>
                  <w:tcW w:w="1725" w:type="dxa"/>
                  <w:tcBorders>
                    <w:tl2br w:val="nil"/>
                    <w:tr2bl w:val="nil"/>
                  </w:tcBorders>
                  <w:vAlign w:val="center"/>
                </w:tcPr>
                <w:p w14:paraId="55B350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hint="eastAsia" w:ascii="Times New Roman" w:hAnsi="Times New Roman" w:eastAsia="宋体" w:cs="Times New Roman"/>
                      <w:color w:val="auto"/>
                      <w:sz w:val="21"/>
                      <w:szCs w:val="20"/>
                      <w:highlight w:val="none"/>
                    </w:rPr>
                    <w:t>0.005288‬</w:t>
                  </w:r>
                </w:p>
              </w:tc>
            </w:tr>
          </w:tbl>
          <w:p w14:paraId="7E43BB02">
            <w:pPr>
              <w:pStyle w:val="120"/>
              <w:rPr>
                <w:rFonts w:ascii="Times New Roman" w:hAnsi="Times New Roman"/>
                <w:color w:val="auto"/>
                <w:highlight w:val="none"/>
                <w:lang w:val="en-US" w:eastAsia="zh-CN"/>
              </w:rPr>
            </w:pPr>
            <w:r>
              <w:rPr>
                <w:rFonts w:ascii="Times New Roman" w:hAnsi="Times New Roman"/>
                <w:color w:val="auto"/>
                <w:kern w:val="0"/>
                <w:highlight w:val="none"/>
                <w:lang w:val="en-US" w:eastAsia="zh-CN"/>
              </w:rPr>
              <w:t>根据上表</w:t>
            </w:r>
            <w:r>
              <w:rPr>
                <w:rFonts w:hint="eastAsia" w:ascii="Times New Roman" w:hAnsi="Times New Roman"/>
                <w:color w:val="auto"/>
                <w:kern w:val="0"/>
                <w:highlight w:val="none"/>
                <w:lang w:val="en-US" w:eastAsia="zh-CN"/>
              </w:rPr>
              <w:t>计算</w:t>
            </w:r>
            <w:r>
              <w:rPr>
                <w:rFonts w:ascii="Times New Roman" w:hAnsi="Times New Roman"/>
                <w:color w:val="auto"/>
                <w:kern w:val="0"/>
                <w:highlight w:val="none"/>
                <w:lang w:val="en-US" w:eastAsia="zh-CN"/>
              </w:rPr>
              <w:t>Q=</w:t>
            </w:r>
            <w:r>
              <w:rPr>
                <w:rFonts w:hint="eastAsia" w:ascii="Times New Roman" w:hAnsi="Times New Roman"/>
                <w:color w:val="auto"/>
                <w:kern w:val="0"/>
                <w:highlight w:val="none"/>
                <w:lang w:val="en-US" w:eastAsia="zh-CN"/>
              </w:rPr>
              <w:t>0.005288‬</w:t>
            </w:r>
            <w:r>
              <w:rPr>
                <w:rFonts w:ascii="Times New Roman" w:hAnsi="Times New Roman"/>
                <w:color w:val="auto"/>
                <w:kern w:val="0"/>
                <w:highlight w:val="none"/>
                <w:lang w:val="en-US" w:eastAsia="zh-CN"/>
              </w:rPr>
              <w:t>&lt;1</w:t>
            </w:r>
            <w:r>
              <w:rPr>
                <w:rFonts w:hint="eastAsia" w:ascii="Times New Roman" w:hAnsi="Times New Roman"/>
                <w:color w:val="auto"/>
                <w:kern w:val="0"/>
                <w:highlight w:val="none"/>
                <w:lang w:val="en-US" w:eastAsia="zh-CN"/>
              </w:rPr>
              <w:t>。因此</w:t>
            </w:r>
            <w:r>
              <w:rPr>
                <w:rFonts w:ascii="Times New Roman" w:hAnsi="Times New Roman"/>
                <w:color w:val="auto"/>
                <w:kern w:val="0"/>
                <w:highlight w:val="none"/>
                <w:lang w:val="en-US" w:eastAsia="zh-CN"/>
              </w:rPr>
              <w:t>，项目环境风险潜势为I。</w:t>
            </w:r>
            <w:r>
              <w:rPr>
                <w:rFonts w:hint="eastAsia" w:ascii="Times New Roman" w:hAnsi="Times New Roman"/>
                <w:color w:val="auto"/>
                <w:kern w:val="0"/>
                <w:highlight w:val="none"/>
                <w:lang w:val="en-US" w:eastAsia="zh-CN"/>
              </w:rPr>
              <w:t>根据《建设项目环境风险评价技术导则》（HJ169-2018）中关于环境风险评价工作等级划分表的判据，确定项目风险评价等级为简单分析。</w:t>
            </w:r>
          </w:p>
          <w:p w14:paraId="2C9CADDC">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环境风险影响分析及风险防范措施要求</w:t>
            </w:r>
          </w:p>
          <w:p w14:paraId="100B7FF3">
            <w:pPr>
              <w:pStyle w:val="120"/>
              <w:rPr>
                <w:rFonts w:hint="eastAsia"/>
                <w:color w:val="auto"/>
                <w:highlight w:val="none"/>
                <w:lang w:val="en-US" w:eastAsia="zh-CN"/>
              </w:rPr>
            </w:pPr>
            <w:r>
              <w:rPr>
                <w:rFonts w:hint="eastAsia"/>
                <w:color w:val="auto"/>
                <w:highlight w:val="none"/>
                <w:lang w:val="en-US" w:eastAsia="zh-CN"/>
              </w:rPr>
              <w:t>本项目环境风险主要来自火灾事故、助剂泄漏和废气事故排放，采取的环境风险防范措施如下：</w:t>
            </w:r>
          </w:p>
          <w:p w14:paraId="59272CE4">
            <w:pPr>
              <w:pStyle w:val="120"/>
              <w:rPr>
                <w:rFonts w:hint="eastAsia"/>
                <w:color w:val="auto"/>
                <w:highlight w:val="none"/>
                <w:lang w:val="en-US" w:eastAsia="zh-CN"/>
              </w:rPr>
            </w:pPr>
            <w:r>
              <w:rPr>
                <w:rFonts w:hint="eastAsia"/>
                <w:color w:val="auto"/>
                <w:highlight w:val="none"/>
                <w:lang w:val="en-US" w:eastAsia="zh-CN"/>
              </w:rPr>
              <w:t>（1）泄漏事故风险防范措施：</w:t>
            </w:r>
          </w:p>
          <w:p w14:paraId="7834544D">
            <w:pPr>
              <w:pStyle w:val="120"/>
              <w:rPr>
                <w:rFonts w:hint="eastAsia"/>
                <w:color w:val="auto"/>
                <w:highlight w:val="none"/>
                <w:lang w:val="en-US" w:eastAsia="zh-CN"/>
              </w:rPr>
            </w:pPr>
            <w:r>
              <w:rPr>
                <w:rFonts w:hint="eastAsia"/>
                <w:color w:val="auto"/>
                <w:highlight w:val="none"/>
                <w:lang w:val="en-US" w:eastAsia="zh-CN"/>
              </w:rPr>
              <w:t>①危废贮存库四周设置导流沟，地面采取防渗，设置警示标识等。</w:t>
            </w:r>
          </w:p>
          <w:p w14:paraId="062242A6">
            <w:pPr>
              <w:pStyle w:val="120"/>
              <w:rPr>
                <w:rFonts w:hint="eastAsia"/>
                <w:color w:val="auto"/>
                <w:highlight w:val="none"/>
                <w:lang w:val="en-US" w:eastAsia="zh-CN"/>
              </w:rPr>
            </w:pPr>
            <w:r>
              <w:rPr>
                <w:rFonts w:hint="eastAsia"/>
                <w:color w:val="auto"/>
                <w:highlight w:val="none"/>
                <w:lang w:val="en-US" w:eastAsia="zh-CN"/>
              </w:rPr>
              <w:t>②严禁明火，严格遵守操作规程，避免因操作失误发生事故。</w:t>
            </w:r>
          </w:p>
          <w:p w14:paraId="0B094E6F">
            <w:pPr>
              <w:pStyle w:val="120"/>
              <w:rPr>
                <w:rFonts w:hint="eastAsia"/>
                <w:color w:val="auto"/>
                <w:highlight w:val="none"/>
                <w:lang w:val="en-US" w:eastAsia="zh-CN"/>
              </w:rPr>
            </w:pPr>
            <w:r>
              <w:rPr>
                <w:rFonts w:hint="eastAsia"/>
                <w:color w:val="auto"/>
                <w:highlight w:val="none"/>
                <w:lang w:val="en-US" w:eastAsia="zh-CN"/>
              </w:rPr>
              <w:t>③配备相应的堵漏材料（沙袋、吸油毡等）。</w:t>
            </w:r>
          </w:p>
          <w:p w14:paraId="308DCF03">
            <w:pPr>
              <w:pStyle w:val="120"/>
              <w:rPr>
                <w:rFonts w:hint="eastAsia"/>
                <w:color w:val="auto"/>
                <w:highlight w:val="none"/>
                <w:lang w:val="en-US" w:eastAsia="zh-CN"/>
              </w:rPr>
            </w:pPr>
            <w:r>
              <w:rPr>
                <w:rFonts w:hint="eastAsia"/>
                <w:color w:val="auto"/>
                <w:highlight w:val="none"/>
                <w:lang w:val="en-US" w:eastAsia="zh-CN"/>
              </w:rPr>
              <w:t>（2）火灾事故风险防范措施</w:t>
            </w:r>
          </w:p>
          <w:p w14:paraId="781B00AC">
            <w:pPr>
              <w:pStyle w:val="120"/>
              <w:rPr>
                <w:rFonts w:hint="eastAsia"/>
                <w:color w:val="auto"/>
                <w:highlight w:val="none"/>
                <w:lang w:val="en-US" w:eastAsia="zh-CN"/>
              </w:rPr>
            </w:pPr>
            <w:r>
              <w:rPr>
                <w:rFonts w:hint="eastAsia"/>
                <w:color w:val="auto"/>
                <w:highlight w:val="none"/>
                <w:lang w:val="en-US" w:eastAsia="zh-CN"/>
              </w:rPr>
              <w:t>①加强消防设施和灭火器材的配备，严格落实有关消防技术规范的规定，加强人员疏散设施管理，保证疏散通道畅通。</w:t>
            </w:r>
          </w:p>
          <w:p w14:paraId="5E479F95">
            <w:pPr>
              <w:pStyle w:val="120"/>
              <w:rPr>
                <w:rFonts w:hint="eastAsia"/>
                <w:color w:val="auto"/>
                <w:highlight w:val="none"/>
                <w:lang w:val="en-US" w:eastAsia="zh-CN"/>
              </w:rPr>
            </w:pPr>
            <w:r>
              <w:rPr>
                <w:rFonts w:hint="eastAsia"/>
                <w:color w:val="auto"/>
                <w:highlight w:val="none"/>
                <w:lang w:val="en-US" w:eastAsia="zh-CN"/>
              </w:rPr>
              <w:t>②定期进行防火安全检查，确保消防设施完整好用。</w:t>
            </w:r>
          </w:p>
          <w:p w14:paraId="5F7AEBE0">
            <w:pPr>
              <w:pStyle w:val="120"/>
              <w:rPr>
                <w:rFonts w:hint="eastAsia"/>
                <w:color w:val="auto"/>
                <w:highlight w:val="none"/>
                <w:lang w:val="en-US" w:eastAsia="zh-CN"/>
              </w:rPr>
            </w:pPr>
            <w:r>
              <w:rPr>
                <w:rFonts w:hint="eastAsia"/>
                <w:color w:val="auto"/>
                <w:highlight w:val="none"/>
                <w:lang w:val="en-US" w:eastAsia="zh-CN"/>
              </w:rPr>
              <w:t>③公司要求职工应遵守各项规章制度，作业时要遵守各项规定要求，确保安全生产。</w:t>
            </w:r>
          </w:p>
          <w:p w14:paraId="7BEB6919">
            <w:pPr>
              <w:pStyle w:val="120"/>
              <w:rPr>
                <w:rFonts w:hint="eastAsia"/>
                <w:color w:val="auto"/>
                <w:highlight w:val="none"/>
                <w:lang w:val="en-US" w:eastAsia="zh-CN"/>
              </w:rPr>
            </w:pPr>
            <w:r>
              <w:rPr>
                <w:rFonts w:hint="eastAsia"/>
                <w:color w:val="auto"/>
                <w:highlight w:val="none"/>
                <w:lang w:val="en-US" w:eastAsia="zh-CN"/>
              </w:rPr>
              <w:t>④公司强化安全、消防和环保管理，完善环保安全管理机构，完善各项管理制度，加强日常监督检查；车间内严禁烟火。</w:t>
            </w:r>
          </w:p>
          <w:p w14:paraId="7ECF4024">
            <w:pPr>
              <w:pStyle w:val="120"/>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（3）废气事故排放防范措施</w:t>
            </w:r>
          </w:p>
          <w:p w14:paraId="0ED87558">
            <w:pPr>
              <w:pStyle w:val="120"/>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a.定期对废气处理设施从设备到输送管道、阀门部件等进行检修，发现问题及时解决。</w:t>
            </w:r>
          </w:p>
          <w:p w14:paraId="06484B81">
            <w:pPr>
              <w:pStyle w:val="120"/>
              <w:ind w:firstLine="480"/>
              <w:rPr>
                <w:rFonts w:hint="eastAsia"/>
                <w:color w:val="auto"/>
                <w:highlight w:val="none"/>
                <w:lang w:val="en-US" w:eastAsia="zh-CN"/>
              </w:rPr>
            </w:pPr>
            <w:r>
              <w:rPr>
                <w:rFonts w:hint="eastAsia" w:ascii="Times New Roman" w:hAnsi="Times New Roman" w:eastAsia="宋体"/>
                <w:color w:val="auto"/>
                <w:highlight w:val="none"/>
                <w:lang w:val="en-US" w:eastAsia="zh-CN"/>
              </w:rPr>
              <w:t>b.各生产岗位制定严格的操作规程和注意事项，车间工人需熟悉工作流程，严格按操作规程进行运行控制，防止操作失误导致废气事故排放</w:t>
            </w:r>
            <w:r>
              <w:rPr>
                <w:rFonts w:hint="eastAsia"/>
                <w:color w:val="auto"/>
                <w:highlight w:val="none"/>
                <w:lang w:val="en-US" w:eastAsia="zh-CN"/>
              </w:rPr>
              <w:t>。</w:t>
            </w:r>
          </w:p>
          <w:p w14:paraId="4BEA5CE8">
            <w:pPr>
              <w:pStyle w:val="3"/>
              <w:numPr>
                <w:ilvl w:val="1"/>
                <w:numId w:val="1"/>
              </w:numPr>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排污</w:t>
            </w:r>
            <w:r>
              <w:rPr>
                <w:rFonts w:hint="eastAsia" w:ascii="Times New Roman" w:hAnsi="Times New Roman" w:eastAsia="宋体" w:cs="Times New Roman"/>
                <w:color w:val="auto"/>
                <w:highlight w:val="none"/>
                <w:lang w:val="en-US" w:eastAsia="zh-CN"/>
              </w:rPr>
              <w:t>许可申报及排污</w:t>
            </w:r>
            <w:r>
              <w:rPr>
                <w:rFonts w:hint="default" w:ascii="Times New Roman" w:hAnsi="Times New Roman" w:eastAsia="宋体" w:cs="Times New Roman"/>
                <w:color w:val="auto"/>
                <w:highlight w:val="none"/>
                <w:lang w:val="en-US" w:eastAsia="zh-CN"/>
              </w:rPr>
              <w:t>口规范化管理</w:t>
            </w:r>
          </w:p>
          <w:p w14:paraId="0756251D">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申报要求</w:t>
            </w:r>
          </w:p>
          <w:p w14:paraId="7682032F">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olor w:val="auto"/>
                <w:sz w:val="24"/>
                <w:szCs w:val="24"/>
                <w:highlight w:val="none"/>
                <w:shd w:val="clear" w:color="auto" w:fill="auto"/>
              </w:rPr>
              <w:t>《排污许可管理办法》生态环境部部令第32号</w:t>
            </w:r>
            <w:r>
              <w:rPr>
                <w:rFonts w:hint="eastAsia"/>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rPr>
              <w:t>2023年</w:t>
            </w:r>
            <w:r>
              <w:rPr>
                <w:rFonts w:hint="eastAsia"/>
                <w:color w:val="auto"/>
                <w:sz w:val="24"/>
                <w:szCs w:val="24"/>
                <w:highlight w:val="none"/>
                <w:shd w:val="clear" w:color="auto" w:fill="auto"/>
                <w:lang w:eastAsia="zh-CN"/>
              </w:rPr>
              <w:t>4月1日</w:t>
            </w:r>
            <w:r>
              <w:rPr>
                <w:rFonts w:hint="eastAsia" w:ascii="Times New Roman" w:hAnsi="Times New Roman"/>
                <w:color w:val="auto"/>
                <w:sz w:val="24"/>
                <w:szCs w:val="24"/>
                <w:highlight w:val="none"/>
                <w:shd w:val="clear" w:color="auto" w:fill="auto"/>
              </w:rPr>
              <w:t>公布，2024年7月1日起施行。企业应当按照规定的时限申请并取得排污许可证</w:t>
            </w:r>
            <w:r>
              <w:rPr>
                <w:rFonts w:hint="default" w:ascii="Times New Roman" w:hAnsi="Times New Roman" w:eastAsia="宋体" w:cs="Times New Roman"/>
                <w:color w:val="auto"/>
                <w:sz w:val="24"/>
                <w:szCs w:val="24"/>
                <w:highlight w:val="none"/>
              </w:rPr>
              <w:t>。申请材料应当包括：</w:t>
            </w:r>
          </w:p>
          <w:p w14:paraId="423D05B5">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36D9BD41">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自行监测方案，自行监测方案应当包括以下内容：监测点位及示意图、监测指标、监测频次；使用的监测分析方法、采样方法</w:t>
            </w:r>
          </w:p>
          <w:p w14:paraId="061A6E29">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由排污单位法定代表人或者主要负责人签字或者盖章的承诺书；</w:t>
            </w:r>
          </w:p>
          <w:p w14:paraId="7180EE3E">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排污单位有关排污口规范化的情况说明；</w:t>
            </w:r>
          </w:p>
          <w:p w14:paraId="145573E1">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建设项目环境影响评价文件审批文号，或者按照有关国家规定经地方人民政府依法处理、整顿规范并符合要求的相关证明材料；</w:t>
            </w:r>
          </w:p>
          <w:p w14:paraId="4C4F1937">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排污许可证申请前信息公开情况说明表；</w:t>
            </w:r>
          </w:p>
          <w:p w14:paraId="7BDE8DAA">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在填报排污许可证</w:t>
            </w:r>
            <w:r>
              <w:rPr>
                <w:rFonts w:hint="eastAsia" w:ascii="Times New Roman" w:hAnsi="Times New Roman" w:cs="Times New Roman"/>
                <w:color w:val="auto"/>
                <w:sz w:val="24"/>
                <w:szCs w:val="24"/>
                <w:highlight w:val="none"/>
                <w:lang w:val="en-US" w:eastAsia="zh-CN"/>
              </w:rPr>
              <w:t>变更</w:t>
            </w:r>
            <w:r>
              <w:rPr>
                <w:rFonts w:hint="default" w:ascii="Times New Roman" w:hAnsi="Times New Roman" w:eastAsia="宋体" w:cs="Times New Roman"/>
                <w:color w:val="auto"/>
                <w:sz w:val="24"/>
                <w:szCs w:val="24"/>
                <w:highlight w:val="none"/>
              </w:rPr>
              <w:t>申请时，应承诺排污许可证申请材料是完整、真实和合法的；承诺按照排污许可证的规定排放污染物，落实排污许可证规定的环境管理要求，并由法定代表人或者主要负责人签字或者盖章。</w:t>
            </w:r>
          </w:p>
          <w:p w14:paraId="28A66A6A">
            <w:pPr>
              <w:pStyle w:val="4"/>
              <w:numPr>
                <w:ilvl w:val="2"/>
                <w:numId w:val="1"/>
              </w:numPr>
              <w:bidi w:val="0"/>
              <w:ind w:left="720" w:leftChars="0" w:hanging="72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排污许可管理要求</w:t>
            </w:r>
          </w:p>
          <w:p w14:paraId="2FCC006A">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根据《固定污染源排污许可分类管理名录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2019年版</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生态环境部第11号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可知，本项目实行排污许可登记管理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详见</w:t>
            </w:r>
            <w:r>
              <w:rPr>
                <w:rFonts w:hint="default"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因此，建设单位应在启动生产设施或者发生实际排污之前在全国排污许可证管理信息平台进行排污许可登记申报。</w:t>
            </w:r>
          </w:p>
          <w:p w14:paraId="626A6392">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固定污染源排污许可分类管理名录</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摘录</w:t>
            </w:r>
            <w:r>
              <w:rPr>
                <w:rFonts w:hint="eastAsia" w:cs="Times New Roman"/>
                <w:color w:val="auto"/>
                <w:highlight w:val="none"/>
                <w:lang w:val="en-US" w:eastAsia="zh-CN"/>
              </w:rPr>
              <w:t>）</w:t>
            </w:r>
          </w:p>
          <w:tbl>
            <w:tblPr>
              <w:tblStyle w:val="86"/>
              <w:tblW w:w="8924"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6"/>
              <w:gridCol w:w="2176"/>
              <w:gridCol w:w="1032"/>
              <w:gridCol w:w="4257"/>
              <w:gridCol w:w="933"/>
            </w:tblGrid>
            <w:tr w14:paraId="79B800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526" w:type="dxa"/>
                  <w:tcBorders>
                    <w:bottom w:val="single" w:color="000000" w:sz="12" w:space="0"/>
                  </w:tcBorders>
                  <w:vAlign w:val="center"/>
                </w:tcPr>
                <w:p w14:paraId="1543FE0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序号</w:t>
                  </w:r>
                </w:p>
              </w:tc>
              <w:tc>
                <w:tcPr>
                  <w:tcW w:w="2176" w:type="dxa"/>
                  <w:tcBorders>
                    <w:bottom w:val="single" w:color="000000" w:sz="12" w:space="0"/>
                  </w:tcBorders>
                  <w:vAlign w:val="center"/>
                </w:tcPr>
                <w:p w14:paraId="47E6988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行业类别</w:t>
                  </w:r>
                </w:p>
              </w:tc>
              <w:tc>
                <w:tcPr>
                  <w:tcW w:w="1032" w:type="dxa"/>
                  <w:tcBorders>
                    <w:bottom w:val="single" w:color="000000" w:sz="12" w:space="0"/>
                  </w:tcBorders>
                  <w:vAlign w:val="center"/>
                </w:tcPr>
                <w:p w14:paraId="60C80E3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重点管理</w:t>
                  </w:r>
                </w:p>
              </w:tc>
              <w:tc>
                <w:tcPr>
                  <w:tcW w:w="4257" w:type="dxa"/>
                  <w:tcBorders>
                    <w:bottom w:val="single" w:color="000000" w:sz="12" w:space="0"/>
                  </w:tcBorders>
                  <w:shd w:val="clear" w:color="auto" w:fill="auto"/>
                  <w:vAlign w:val="center"/>
                </w:tcPr>
                <w:p w14:paraId="7E2879E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简化管理</w:t>
                  </w:r>
                </w:p>
              </w:tc>
              <w:tc>
                <w:tcPr>
                  <w:tcW w:w="933" w:type="dxa"/>
                  <w:tcBorders>
                    <w:bottom w:val="single" w:color="000000" w:sz="12" w:space="0"/>
                  </w:tcBorders>
                  <w:shd w:val="clear" w:color="auto" w:fill="D7D7D7" w:themeFill="background1" w:themeFillShade="D8"/>
                  <w:vAlign w:val="center"/>
                </w:tcPr>
                <w:p w14:paraId="0C1698A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登记管理</w:t>
                  </w:r>
                </w:p>
              </w:tc>
            </w:tr>
            <w:tr w14:paraId="404549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8924" w:type="dxa"/>
                  <w:gridSpan w:val="5"/>
                  <w:tcBorders>
                    <w:top w:val="single" w:color="000000" w:sz="12" w:space="0"/>
                    <w:tl2br w:val="nil"/>
                    <w:tr2bl w:val="nil"/>
                  </w:tcBorders>
                  <w:shd w:val="clear" w:color="auto" w:fill="D7D7D7" w:themeFill="background1" w:themeFillShade="D8"/>
                  <w:vAlign w:val="center"/>
                </w:tcPr>
                <w:p w14:paraId="4F985FE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8"/>
                      <w:position w:val="1"/>
                      <w:sz w:val="21"/>
                      <w:highlight w:val="none"/>
                    </w:rPr>
                    <w:t>三十一、汽车制造业</w:t>
                  </w:r>
                  <w:r>
                    <w:rPr>
                      <w:rFonts w:ascii="Times New Roman" w:hAnsi="Times New Roman" w:eastAsia="宋体" w:cs="Times New Roman"/>
                      <w:color w:val="auto"/>
                      <w:spacing w:val="8"/>
                      <w:position w:val="1"/>
                      <w:sz w:val="21"/>
                      <w:highlight w:val="none"/>
                    </w:rPr>
                    <w:t>36</w:t>
                  </w:r>
                </w:p>
              </w:tc>
            </w:tr>
            <w:tr w14:paraId="4FD38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6" w:hRule="atLeast"/>
              </w:trPr>
              <w:tc>
                <w:tcPr>
                  <w:tcW w:w="526" w:type="dxa"/>
                  <w:tcBorders>
                    <w:tl2br w:val="nil"/>
                    <w:tr2bl w:val="nil"/>
                  </w:tcBorders>
                  <w:vAlign w:val="center"/>
                </w:tcPr>
                <w:p w14:paraId="2E0DEE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2"/>
                      <w:sz w:val="21"/>
                      <w:szCs w:val="20"/>
                      <w:highlight w:val="none"/>
                    </w:rPr>
                    <w:t>85</w:t>
                  </w:r>
                </w:p>
              </w:tc>
              <w:tc>
                <w:tcPr>
                  <w:tcW w:w="2176" w:type="dxa"/>
                  <w:tcBorders>
                    <w:tl2br w:val="nil"/>
                    <w:tr2bl w:val="nil"/>
                  </w:tcBorders>
                  <w:vAlign w:val="center"/>
                </w:tcPr>
                <w:p w14:paraId="0F39AEC9">
                  <w:pPr>
                    <w:pStyle w:val="115"/>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jc w:val="both"/>
                    <w:textAlignment w:val="auto"/>
                    <w:rPr>
                      <w:rFonts w:ascii="Times New Roman" w:hAnsi="Times New Roman" w:eastAsia="宋体" w:cs="Times New Roman"/>
                      <w:color w:val="auto"/>
                      <w:sz w:val="21"/>
                      <w:highlight w:val="none"/>
                    </w:rPr>
                  </w:pPr>
                  <w:r>
                    <w:rPr>
                      <w:rFonts w:ascii="Times New Roman" w:hAnsi="Times New Roman" w:eastAsia="宋体"/>
                      <w:color w:val="auto"/>
                      <w:spacing w:val="3"/>
                      <w:position w:val="1"/>
                      <w:sz w:val="21"/>
                      <w:highlight w:val="none"/>
                    </w:rPr>
                    <w:t>汽车整车制造</w:t>
                  </w:r>
                  <w:r>
                    <w:rPr>
                      <w:rFonts w:ascii="Times New Roman" w:hAnsi="Times New Roman" w:eastAsia="宋体" w:cs="Times New Roman"/>
                      <w:color w:val="auto"/>
                      <w:spacing w:val="3"/>
                      <w:position w:val="1"/>
                      <w:sz w:val="21"/>
                      <w:highlight w:val="none"/>
                    </w:rPr>
                    <w:t>361</w:t>
                  </w:r>
                  <w:r>
                    <w:rPr>
                      <w:rFonts w:ascii="Times New Roman" w:hAnsi="Times New Roman" w:eastAsia="宋体"/>
                      <w:color w:val="auto"/>
                      <w:spacing w:val="3"/>
                      <w:position w:val="1"/>
                      <w:sz w:val="21"/>
                      <w:highlight w:val="none"/>
                    </w:rPr>
                    <w:t>，汽车用发动机制造</w:t>
                  </w:r>
                  <w:r>
                    <w:rPr>
                      <w:rFonts w:ascii="Times New Roman" w:hAnsi="Times New Roman" w:eastAsia="宋体" w:cs="Times New Roman"/>
                      <w:color w:val="auto"/>
                      <w:spacing w:val="3"/>
                      <w:position w:val="1"/>
                      <w:sz w:val="21"/>
                      <w:highlight w:val="none"/>
                    </w:rPr>
                    <w:t>362</w:t>
                  </w:r>
                  <w:r>
                    <w:rPr>
                      <w:rFonts w:ascii="Times New Roman" w:hAnsi="Times New Roman" w:eastAsia="宋体"/>
                      <w:color w:val="auto"/>
                      <w:spacing w:val="3"/>
                      <w:position w:val="1"/>
                      <w:sz w:val="21"/>
                      <w:highlight w:val="none"/>
                    </w:rPr>
                    <w:t>，改装汽车制造</w:t>
                  </w:r>
                  <w:r>
                    <w:rPr>
                      <w:rFonts w:ascii="Times New Roman" w:hAnsi="Times New Roman" w:eastAsia="宋体" w:cs="Times New Roman"/>
                      <w:color w:val="auto"/>
                      <w:spacing w:val="5"/>
                      <w:position w:val="1"/>
                      <w:sz w:val="21"/>
                      <w:highlight w:val="none"/>
                    </w:rPr>
                    <w:t>363</w:t>
                  </w:r>
                  <w:r>
                    <w:rPr>
                      <w:rFonts w:ascii="Times New Roman" w:hAnsi="Times New Roman" w:eastAsia="宋体"/>
                      <w:color w:val="auto"/>
                      <w:spacing w:val="5"/>
                      <w:position w:val="1"/>
                      <w:sz w:val="21"/>
                      <w:highlight w:val="none"/>
                    </w:rPr>
                    <w:t>，低速汽车制造</w:t>
                  </w:r>
                  <w:r>
                    <w:rPr>
                      <w:rFonts w:ascii="Times New Roman" w:hAnsi="Times New Roman" w:eastAsia="宋体" w:cs="Times New Roman"/>
                      <w:color w:val="auto"/>
                      <w:spacing w:val="5"/>
                      <w:position w:val="1"/>
                      <w:sz w:val="21"/>
                      <w:highlight w:val="none"/>
                    </w:rPr>
                    <w:t>364</w:t>
                  </w:r>
                  <w:r>
                    <w:rPr>
                      <w:rFonts w:ascii="Times New Roman" w:hAnsi="Times New Roman" w:eastAsia="宋体"/>
                      <w:color w:val="auto"/>
                      <w:spacing w:val="5"/>
                      <w:position w:val="1"/>
                      <w:sz w:val="21"/>
                      <w:highlight w:val="none"/>
                    </w:rPr>
                    <w:t>，电</w:t>
                  </w:r>
                  <w:r>
                    <w:rPr>
                      <w:rFonts w:ascii="Times New Roman" w:hAnsi="Times New Roman" w:eastAsia="宋体"/>
                      <w:color w:val="auto"/>
                      <w:spacing w:val="3"/>
                      <w:position w:val="1"/>
                      <w:sz w:val="21"/>
                      <w:highlight w:val="none"/>
                    </w:rPr>
                    <w:t>车制造</w:t>
                  </w:r>
                  <w:r>
                    <w:rPr>
                      <w:rFonts w:ascii="Times New Roman" w:hAnsi="Times New Roman" w:eastAsia="宋体" w:cs="Times New Roman"/>
                      <w:color w:val="auto"/>
                      <w:spacing w:val="3"/>
                      <w:position w:val="1"/>
                      <w:sz w:val="21"/>
                      <w:highlight w:val="none"/>
                    </w:rPr>
                    <w:t>365</w:t>
                  </w:r>
                  <w:r>
                    <w:rPr>
                      <w:rFonts w:ascii="Times New Roman" w:hAnsi="Times New Roman" w:eastAsia="宋体"/>
                      <w:color w:val="auto"/>
                      <w:spacing w:val="3"/>
                      <w:position w:val="1"/>
                      <w:sz w:val="21"/>
                      <w:highlight w:val="none"/>
                    </w:rPr>
                    <w:t>，汽车车身、挂车制造</w:t>
                  </w:r>
                  <w:r>
                    <w:rPr>
                      <w:rFonts w:ascii="Times New Roman" w:hAnsi="Times New Roman" w:eastAsia="宋体" w:cs="Times New Roman"/>
                      <w:color w:val="auto"/>
                      <w:spacing w:val="3"/>
                      <w:position w:val="1"/>
                      <w:sz w:val="21"/>
                      <w:highlight w:val="none"/>
                    </w:rPr>
                    <w:t>366</w:t>
                  </w:r>
                  <w:r>
                    <w:rPr>
                      <w:rFonts w:ascii="Times New Roman" w:hAnsi="Times New Roman" w:eastAsia="宋体"/>
                      <w:color w:val="auto"/>
                      <w:spacing w:val="3"/>
                      <w:position w:val="1"/>
                      <w:sz w:val="21"/>
                      <w:highlight w:val="none"/>
                    </w:rPr>
                    <w:t>，汽车零部件及配件</w:t>
                  </w:r>
                  <w:r>
                    <w:rPr>
                      <w:rFonts w:ascii="Times New Roman" w:hAnsi="Times New Roman" w:eastAsia="宋体"/>
                      <w:color w:val="auto"/>
                      <w:spacing w:val="5"/>
                      <w:position w:val="1"/>
                      <w:sz w:val="21"/>
                      <w:highlight w:val="none"/>
                    </w:rPr>
                    <w:t>制造</w:t>
                  </w:r>
                  <w:r>
                    <w:rPr>
                      <w:rFonts w:ascii="Times New Roman" w:hAnsi="Times New Roman" w:eastAsia="宋体" w:cs="Times New Roman"/>
                      <w:color w:val="auto"/>
                      <w:spacing w:val="5"/>
                      <w:position w:val="1"/>
                      <w:sz w:val="21"/>
                      <w:highlight w:val="none"/>
                    </w:rPr>
                    <w:t>367</w:t>
                  </w:r>
                </w:p>
              </w:tc>
              <w:tc>
                <w:tcPr>
                  <w:tcW w:w="1032" w:type="dxa"/>
                  <w:tcBorders>
                    <w:tl2br w:val="nil"/>
                    <w:tr2bl w:val="nil"/>
                  </w:tcBorders>
                  <w:vAlign w:val="center"/>
                </w:tcPr>
                <w:p w14:paraId="0ECF8DF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纳入重点排污单位名录</w:t>
                  </w:r>
                  <w:r>
                    <w:rPr>
                      <w:rFonts w:ascii="Times New Roman" w:hAnsi="Times New Roman" w:eastAsia="宋体"/>
                      <w:color w:val="auto"/>
                      <w:sz w:val="21"/>
                      <w:highlight w:val="none"/>
                    </w:rPr>
                    <w:t>的</w:t>
                  </w:r>
                </w:p>
              </w:tc>
              <w:tc>
                <w:tcPr>
                  <w:tcW w:w="4257" w:type="dxa"/>
                  <w:tcBorders>
                    <w:tl2br w:val="nil"/>
                    <w:tr2bl w:val="nil"/>
                  </w:tcBorders>
                  <w:shd w:val="clear" w:color="auto" w:fill="auto"/>
                  <w:vAlign w:val="center"/>
                </w:tcPr>
                <w:p w14:paraId="781AF506">
                  <w:pPr>
                    <w:pStyle w:val="115"/>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8"/>
                      <w:sz w:val="21"/>
                      <w:highlight w:val="none"/>
                    </w:rPr>
                    <w:t>除重点管理以外的汽车整车制</w:t>
                  </w:r>
                  <w:r>
                    <w:rPr>
                      <w:rFonts w:ascii="Times New Roman" w:hAnsi="Times New Roman" w:eastAsia="宋体"/>
                      <w:color w:val="auto"/>
                      <w:spacing w:val="6"/>
                      <w:position w:val="1"/>
                      <w:sz w:val="21"/>
                      <w:highlight w:val="none"/>
                    </w:rPr>
                    <w:t>造</w:t>
                  </w:r>
                  <w:r>
                    <w:rPr>
                      <w:rFonts w:ascii="Times New Roman" w:hAnsi="Times New Roman" w:eastAsia="宋体" w:cs="Times New Roman"/>
                      <w:color w:val="auto"/>
                      <w:spacing w:val="6"/>
                      <w:position w:val="1"/>
                      <w:sz w:val="21"/>
                      <w:highlight w:val="none"/>
                    </w:rPr>
                    <w:t>361</w:t>
                  </w:r>
                  <w:r>
                    <w:rPr>
                      <w:rFonts w:ascii="Times New Roman" w:hAnsi="Times New Roman" w:eastAsia="宋体"/>
                      <w:color w:val="auto"/>
                      <w:spacing w:val="6"/>
                      <w:position w:val="1"/>
                      <w:sz w:val="21"/>
                      <w:highlight w:val="none"/>
                    </w:rPr>
                    <w:t>，除重点管理以外的年使</w:t>
                  </w:r>
                  <w:r>
                    <w:rPr>
                      <w:rFonts w:ascii="Times New Roman" w:hAnsi="Times New Roman" w:eastAsia="宋体"/>
                      <w:color w:val="auto"/>
                      <w:spacing w:val="8"/>
                      <w:position w:val="1"/>
                      <w:sz w:val="21"/>
                      <w:highlight w:val="none"/>
                    </w:rPr>
                    <w:t>用</w:t>
                  </w:r>
                  <w:r>
                    <w:rPr>
                      <w:rFonts w:ascii="Times New Roman" w:hAnsi="Times New Roman" w:eastAsia="宋体" w:cs="Times New Roman"/>
                      <w:color w:val="auto"/>
                      <w:spacing w:val="8"/>
                      <w:position w:val="1"/>
                      <w:sz w:val="21"/>
                      <w:highlight w:val="none"/>
                    </w:rPr>
                    <w:t>10</w:t>
                  </w:r>
                  <w:r>
                    <w:rPr>
                      <w:rFonts w:ascii="Times New Roman" w:hAnsi="Times New Roman" w:eastAsia="宋体"/>
                      <w:color w:val="auto"/>
                      <w:spacing w:val="8"/>
                      <w:position w:val="1"/>
                      <w:sz w:val="21"/>
                      <w:highlight w:val="none"/>
                    </w:rPr>
                    <w:t>吨及以上溶剂型涂料或者</w:t>
                  </w:r>
                  <w:r>
                    <w:rPr>
                      <w:rFonts w:ascii="Times New Roman" w:hAnsi="Times New Roman" w:eastAsia="宋体"/>
                      <w:color w:val="auto"/>
                      <w:spacing w:val="7"/>
                      <w:sz w:val="21"/>
                      <w:highlight w:val="none"/>
                    </w:rPr>
                    <w:t>胶黏剂（含稀释剂、固化剂、清</w:t>
                  </w:r>
                  <w:r>
                    <w:rPr>
                      <w:rFonts w:ascii="Times New Roman" w:hAnsi="Times New Roman" w:eastAsia="宋体"/>
                      <w:color w:val="auto"/>
                      <w:spacing w:val="9"/>
                      <w:sz w:val="21"/>
                      <w:highlight w:val="none"/>
                    </w:rPr>
                    <w:t>洗溶剂）的汽车用发动机制造</w:t>
                  </w:r>
                  <w:r>
                    <w:rPr>
                      <w:rFonts w:ascii="Times New Roman" w:hAnsi="Times New Roman" w:eastAsia="宋体" w:cs="Times New Roman"/>
                      <w:color w:val="auto"/>
                      <w:spacing w:val="3"/>
                      <w:position w:val="1"/>
                      <w:sz w:val="21"/>
                      <w:highlight w:val="none"/>
                    </w:rPr>
                    <w:t>362</w:t>
                  </w:r>
                  <w:r>
                    <w:rPr>
                      <w:rFonts w:ascii="Times New Roman" w:hAnsi="Times New Roman" w:eastAsia="宋体"/>
                      <w:color w:val="auto"/>
                      <w:spacing w:val="3"/>
                      <w:position w:val="1"/>
                      <w:sz w:val="21"/>
                      <w:highlight w:val="none"/>
                    </w:rPr>
                    <w:t>、改装汽车制造</w:t>
                  </w:r>
                  <w:r>
                    <w:rPr>
                      <w:rFonts w:ascii="Times New Roman" w:hAnsi="Times New Roman" w:eastAsia="宋体" w:cs="Times New Roman"/>
                      <w:color w:val="auto"/>
                      <w:spacing w:val="3"/>
                      <w:position w:val="1"/>
                      <w:sz w:val="21"/>
                      <w:highlight w:val="none"/>
                    </w:rPr>
                    <w:t>363</w:t>
                  </w:r>
                  <w:r>
                    <w:rPr>
                      <w:rFonts w:ascii="Times New Roman" w:hAnsi="Times New Roman" w:eastAsia="宋体"/>
                      <w:color w:val="auto"/>
                      <w:spacing w:val="3"/>
                      <w:position w:val="1"/>
                      <w:sz w:val="21"/>
                      <w:highlight w:val="none"/>
                    </w:rPr>
                    <w:t>、低速汽车制造</w:t>
                  </w:r>
                  <w:r>
                    <w:rPr>
                      <w:rFonts w:ascii="Times New Roman" w:hAnsi="Times New Roman" w:eastAsia="宋体" w:cs="Times New Roman"/>
                      <w:color w:val="auto"/>
                      <w:spacing w:val="3"/>
                      <w:position w:val="1"/>
                      <w:sz w:val="21"/>
                      <w:highlight w:val="none"/>
                    </w:rPr>
                    <w:t>364</w:t>
                  </w:r>
                  <w:r>
                    <w:rPr>
                      <w:rFonts w:ascii="Times New Roman" w:hAnsi="Times New Roman" w:eastAsia="宋体"/>
                      <w:color w:val="auto"/>
                      <w:spacing w:val="3"/>
                      <w:position w:val="1"/>
                      <w:sz w:val="21"/>
                      <w:highlight w:val="none"/>
                    </w:rPr>
                    <w:t>、电车制造</w:t>
                  </w:r>
                  <w:r>
                    <w:rPr>
                      <w:rFonts w:ascii="Times New Roman" w:hAnsi="Times New Roman" w:eastAsia="宋体" w:cs="Times New Roman"/>
                      <w:color w:val="auto"/>
                      <w:spacing w:val="3"/>
                      <w:position w:val="1"/>
                      <w:sz w:val="21"/>
                      <w:highlight w:val="none"/>
                    </w:rPr>
                    <w:t>365</w:t>
                  </w:r>
                  <w:r>
                    <w:rPr>
                      <w:rFonts w:ascii="Times New Roman" w:hAnsi="Times New Roman" w:eastAsia="宋体"/>
                      <w:color w:val="auto"/>
                      <w:spacing w:val="3"/>
                      <w:position w:val="1"/>
                      <w:sz w:val="21"/>
                      <w:highlight w:val="none"/>
                    </w:rPr>
                    <w:t>、汽车</w:t>
                  </w:r>
                  <w:r>
                    <w:rPr>
                      <w:rFonts w:ascii="Times New Roman" w:hAnsi="Times New Roman" w:eastAsia="宋体"/>
                      <w:color w:val="auto"/>
                      <w:spacing w:val="6"/>
                      <w:position w:val="1"/>
                      <w:sz w:val="21"/>
                      <w:highlight w:val="none"/>
                    </w:rPr>
                    <w:t>车身、挂车制造</w:t>
                  </w:r>
                  <w:r>
                    <w:rPr>
                      <w:rFonts w:ascii="Times New Roman" w:hAnsi="Times New Roman" w:eastAsia="宋体" w:cs="Times New Roman"/>
                      <w:color w:val="auto"/>
                      <w:spacing w:val="6"/>
                      <w:position w:val="1"/>
                      <w:sz w:val="21"/>
                      <w:highlight w:val="none"/>
                    </w:rPr>
                    <w:t>366</w:t>
                  </w:r>
                  <w:r>
                    <w:rPr>
                      <w:rFonts w:ascii="Times New Roman" w:hAnsi="Times New Roman" w:eastAsia="宋体"/>
                      <w:color w:val="auto"/>
                      <w:spacing w:val="6"/>
                      <w:position w:val="1"/>
                      <w:sz w:val="21"/>
                      <w:highlight w:val="none"/>
                    </w:rPr>
                    <w:t>、汽车零部</w:t>
                  </w:r>
                  <w:r>
                    <w:rPr>
                      <w:rFonts w:ascii="Times New Roman" w:hAnsi="Times New Roman" w:eastAsia="宋体"/>
                      <w:color w:val="auto"/>
                      <w:spacing w:val="7"/>
                      <w:position w:val="1"/>
                      <w:sz w:val="21"/>
                      <w:highlight w:val="none"/>
                    </w:rPr>
                    <w:t>件及配件制造</w:t>
                  </w:r>
                  <w:r>
                    <w:rPr>
                      <w:rFonts w:ascii="Times New Roman" w:hAnsi="Times New Roman" w:eastAsia="宋体" w:cs="Times New Roman"/>
                      <w:color w:val="auto"/>
                      <w:spacing w:val="7"/>
                      <w:position w:val="1"/>
                      <w:sz w:val="21"/>
                      <w:highlight w:val="none"/>
                    </w:rPr>
                    <w:t>367</w:t>
                  </w:r>
                </w:p>
              </w:tc>
              <w:tc>
                <w:tcPr>
                  <w:tcW w:w="933" w:type="dxa"/>
                  <w:tcBorders>
                    <w:tl2br w:val="nil"/>
                    <w:tr2bl w:val="nil"/>
                  </w:tcBorders>
                  <w:shd w:val="clear" w:color="auto" w:fill="D7D7D7" w:themeFill="background1" w:themeFillShade="D8"/>
                  <w:vAlign w:val="center"/>
                </w:tcPr>
                <w:p w14:paraId="340F62E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其他</w:t>
                  </w:r>
                </w:p>
              </w:tc>
            </w:tr>
          </w:tbl>
          <w:p w14:paraId="713B072D">
            <w:pPr>
              <w:rPr>
                <w:rFonts w:hint="default"/>
                <w:color w:val="auto"/>
                <w:highlight w:val="none"/>
                <w:lang w:val="en-US" w:eastAsia="zh-CN"/>
              </w:rPr>
            </w:pPr>
          </w:p>
          <w:p w14:paraId="003DD1FD">
            <w:pPr>
              <w:pStyle w:val="3"/>
              <w:numPr>
                <w:ilvl w:val="1"/>
                <w:numId w:val="1"/>
              </w:numPr>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排污口规范化管理</w:t>
            </w:r>
          </w:p>
          <w:p w14:paraId="4846A517">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14:paraId="77DCB0FC">
            <w:pPr>
              <w:spacing w:line="360" w:lineRule="auto"/>
              <w:ind w:firstLine="48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项目需规范的排污口主要有</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排放口、废气排气筒、固废临时堆放点</w:t>
            </w:r>
            <w:r>
              <w:rPr>
                <w:rFonts w:hint="eastAsia"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p>
          <w:p w14:paraId="5E7E47E6">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排放口：本项目</w:t>
            </w:r>
            <w:r>
              <w:rPr>
                <w:rFonts w:hint="eastAsia" w:cs="Times New Roman"/>
                <w:color w:val="auto"/>
                <w:sz w:val="24"/>
                <w:szCs w:val="24"/>
                <w:highlight w:val="none"/>
                <w:lang w:val="en-US" w:eastAsia="zh-CN"/>
              </w:rPr>
              <w:t>生活污水经化粪池处理后进入福清市第二污水处理厂</w:t>
            </w:r>
            <w:r>
              <w:rPr>
                <w:rFonts w:hint="eastAsia" w:ascii="Times New Roman" w:hAnsi="Times New Roman" w:eastAsia="宋体" w:cs="Times New Roman"/>
                <w:color w:val="auto"/>
                <w:sz w:val="24"/>
                <w:szCs w:val="24"/>
                <w:highlight w:val="none"/>
                <w:lang w:val="en-US" w:eastAsia="zh-CN"/>
              </w:rPr>
              <w:t>集中处理</w:t>
            </w:r>
            <w:r>
              <w:rPr>
                <w:rFonts w:hint="default" w:ascii="Times New Roman" w:hAnsi="Times New Roman" w:eastAsia="宋体" w:cs="Times New Roman"/>
                <w:color w:val="auto"/>
                <w:sz w:val="24"/>
                <w:szCs w:val="24"/>
                <w:highlight w:val="none"/>
              </w:rPr>
              <w:t>。排污口设置符合对排污口的规范化的要求。具体有以下要求的内容：</w:t>
            </w:r>
          </w:p>
          <w:p w14:paraId="10BAA2F4">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按《污水综合排放标准》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GB8978—1996</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和《污水监测技术规范》（HJ 91.1-2019）的规定，在排污单位的排放口设置采样点。</w:t>
            </w:r>
          </w:p>
          <w:p w14:paraId="6D11FCF2">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应尽量安装污水流量计，堰槽式测流装置满足《</w:t>
            </w:r>
            <w:r>
              <w:rPr>
                <w:rFonts w:hint="eastAsia" w:cs="Times New Roman"/>
                <w:color w:val="auto"/>
                <w:sz w:val="24"/>
                <w:szCs w:val="24"/>
                <w:highlight w:val="none"/>
                <w:lang w:eastAsia="zh-CN"/>
              </w:rPr>
              <w:t>明渠堰槽流量计（试行）检定规程</w:t>
            </w:r>
            <w:r>
              <w:rPr>
                <w:rFonts w:hint="default" w:ascii="Times New Roman" w:hAnsi="Times New Roman" w:eastAsia="宋体" w:cs="Times New Roman"/>
                <w:color w:val="auto"/>
                <w:sz w:val="24"/>
                <w:szCs w:val="24"/>
                <w:highlight w:val="none"/>
                <w:lang w:eastAsia="zh-CN"/>
              </w:rPr>
              <w:t>》（JJG711-90）标准要求。</w:t>
            </w:r>
          </w:p>
          <w:p w14:paraId="18D2AA7F">
            <w:pPr>
              <w:spacing w:line="360" w:lineRule="auto"/>
              <w:ind w:firstLine="48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废水排放口环境保护图形标志牌设在排放口附近醒目处。</w:t>
            </w:r>
          </w:p>
          <w:p w14:paraId="0E66B805">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（2）废气排放口：各烟囱或烟道应设置永久采样孔，并安装采样监测平台，废气采样口设置必须符合《</w:t>
            </w:r>
            <w:r>
              <w:rPr>
                <w:rFonts w:hint="eastAsia" w:ascii="Times New Roman" w:hAnsi="Times New Roman"/>
                <w:color w:val="auto"/>
                <w:sz w:val="24"/>
                <w:szCs w:val="24"/>
                <w:highlight w:val="none"/>
              </w:rPr>
              <w:t>固定源废气监测技术规范</w:t>
            </w:r>
            <w:r>
              <w:rPr>
                <w:rFonts w:hint="default" w:ascii="Times New Roman" w:hAnsi="Times New Roman" w:eastAsia="宋体" w:cs="Times New Roman"/>
                <w:color w:val="auto"/>
                <w:sz w:val="24"/>
                <w:szCs w:val="24"/>
                <w:highlight w:val="none"/>
              </w:rPr>
              <w:t>》</w:t>
            </w:r>
            <w:r>
              <w:rPr>
                <w:rFonts w:hint="eastAsia" w:ascii="Times New Roman" w:hAnsi="Times New Roman"/>
                <w:color w:val="auto"/>
                <w:sz w:val="24"/>
                <w:szCs w:val="24"/>
                <w:highlight w:val="none"/>
                <w:lang w:eastAsia="zh-CN"/>
              </w:rPr>
              <w:t>（</w:t>
            </w:r>
            <w:r>
              <w:rPr>
                <w:rFonts w:hint="eastAsia"/>
                <w:color w:val="auto"/>
                <w:sz w:val="24"/>
                <w:szCs w:val="24"/>
                <w:highlight w:val="none"/>
                <w:lang w:eastAsia="zh-CN"/>
              </w:rPr>
              <w:t>HJ/T 397-2007</w:t>
            </w:r>
            <w:r>
              <w:rPr>
                <w:rFonts w:hint="eastAsia" w:ascii="Times New Roman" w:hAnsi="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规定的高度和要求，便于采样、监测的要求，并得到授权的环境监察支队和环境监测中心站共同确认。具体有以下要求的内容：</w:t>
            </w:r>
          </w:p>
          <w:p w14:paraId="4B09F6A8">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采样口位置原则上应避开烟道弯头和断面急剧变化的部位。对颗粒物采集或连续测定，应设置在距弯头、阀门、变径管下游方向不小于</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倍直径，和距上述部件上游方向不小于</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倍直径处；对气态污染物采集或连续测定，应设置在距弯头、阀门、变径管道下游方向不小于2倍直径处，和距上述部件上游方向不小于</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倍直径处。</w:t>
            </w:r>
          </w:p>
          <w:p w14:paraId="434F11E6">
            <w:pPr>
              <w:spacing w:line="360" w:lineRule="auto"/>
              <w:ind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采样口径一般不少于</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毫米。当采取有毒或变温气体且采样点烟道处于正压状态时，应加设防喷装置。烟气排放连续监测系统的采样口径应按产品说明书要求确定</w:t>
            </w:r>
            <w:r>
              <w:rPr>
                <w:rFonts w:hint="eastAsia" w:ascii="Times New Roman" w:hAnsi="Times New Roman" w:eastAsia="宋体" w:cs="Times New Roman"/>
                <w:color w:val="auto"/>
                <w:sz w:val="24"/>
                <w:szCs w:val="24"/>
                <w:highlight w:val="none"/>
                <w:lang w:eastAsia="zh-CN"/>
              </w:rPr>
              <w:t>。</w:t>
            </w:r>
          </w:p>
          <w:p w14:paraId="537C267F">
            <w:pPr>
              <w:spacing w:line="360" w:lineRule="auto"/>
              <w:ind w:firstLine="48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废气排放口的环境保护图形标志牌应设在排气筒附近地面醒目处</w:t>
            </w:r>
            <w:r>
              <w:rPr>
                <w:rFonts w:hint="eastAsia" w:ascii="Times New Roman" w:hAnsi="Times New Roman" w:eastAsia="宋体" w:cs="Times New Roman"/>
                <w:color w:val="auto"/>
                <w:sz w:val="24"/>
                <w:szCs w:val="24"/>
                <w:highlight w:val="none"/>
                <w:lang w:eastAsia="zh-CN"/>
              </w:rPr>
              <w:t>。</w:t>
            </w:r>
          </w:p>
          <w:p w14:paraId="24A2948F">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（3）固定噪声排放源</w:t>
            </w:r>
          </w:p>
          <w:p w14:paraId="76D623DD">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按规定对固定噪声进行治理，并在边界噪声敏感点</w:t>
            </w:r>
            <w:r>
              <w:rPr>
                <w:rFonts w:hint="eastAsia" w:cs="Times New Roman"/>
                <w:color w:val="auto"/>
                <w:sz w:val="24"/>
                <w:szCs w:val="24"/>
                <w:highlight w:val="none"/>
                <w:lang w:eastAsia="zh-CN"/>
              </w:rPr>
              <w:t>且</w:t>
            </w:r>
            <w:r>
              <w:rPr>
                <w:rFonts w:hint="default" w:ascii="Times New Roman" w:hAnsi="Times New Roman" w:eastAsia="宋体" w:cs="Times New Roman"/>
                <w:color w:val="auto"/>
                <w:sz w:val="24"/>
                <w:szCs w:val="24"/>
                <w:highlight w:val="none"/>
              </w:rPr>
              <w:t>对外界影响最大处设置标志牌。</w:t>
            </w:r>
          </w:p>
          <w:p w14:paraId="65026876">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（4）固体废物贮存处置</w:t>
            </w:r>
          </w:p>
          <w:p w14:paraId="04742FA3">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对各种固体废物应分类收集，设置暂存点应有防扬尘、防流失、防渗漏等措施。</w:t>
            </w:r>
          </w:p>
          <w:p w14:paraId="5A91ED3F">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排放口图形标志</w:t>
            </w:r>
          </w:p>
          <w:tbl>
            <w:tblPr>
              <w:tblStyle w:val="34"/>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97"/>
              <w:gridCol w:w="1540"/>
              <w:gridCol w:w="1364"/>
              <w:gridCol w:w="1473"/>
              <w:gridCol w:w="1969"/>
            </w:tblGrid>
            <w:tr w14:paraId="756B4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4" w:type="dxa"/>
                  <w:tcBorders>
                    <w:bottom w:val="single" w:color="auto" w:sz="12" w:space="0"/>
                  </w:tcBorders>
                  <w:tcMar>
                    <w:left w:w="28" w:type="dxa"/>
                    <w:right w:w="28" w:type="dxa"/>
                  </w:tcMar>
                  <w:vAlign w:val="center"/>
                </w:tcPr>
                <w:p w14:paraId="6A8B41B7">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名称</w:t>
                  </w:r>
                </w:p>
              </w:tc>
              <w:tc>
                <w:tcPr>
                  <w:tcW w:w="1497" w:type="dxa"/>
                  <w:tcBorders>
                    <w:bottom w:val="single" w:color="auto" w:sz="12" w:space="0"/>
                  </w:tcBorders>
                  <w:tcMar>
                    <w:left w:w="28" w:type="dxa"/>
                    <w:right w:w="28" w:type="dxa"/>
                  </w:tcMar>
                  <w:vAlign w:val="center"/>
                </w:tcPr>
                <w:p w14:paraId="7767E8C8">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废气排放口</w:t>
                  </w:r>
                </w:p>
              </w:tc>
              <w:tc>
                <w:tcPr>
                  <w:tcW w:w="1540" w:type="dxa"/>
                  <w:tcBorders>
                    <w:bottom w:val="single" w:color="auto" w:sz="12" w:space="0"/>
                  </w:tcBorders>
                  <w:tcMar>
                    <w:left w:w="28" w:type="dxa"/>
                    <w:right w:w="28" w:type="dxa"/>
                  </w:tcMar>
                  <w:vAlign w:val="center"/>
                </w:tcPr>
                <w:p w14:paraId="1E8DCA7F">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噪声排放源</w:t>
                  </w:r>
                </w:p>
              </w:tc>
              <w:tc>
                <w:tcPr>
                  <w:tcW w:w="1364" w:type="dxa"/>
                  <w:tcBorders>
                    <w:bottom w:val="single" w:color="auto" w:sz="12" w:space="0"/>
                  </w:tcBorders>
                  <w:tcMar>
                    <w:left w:w="28" w:type="dxa"/>
                    <w:right w:w="28" w:type="dxa"/>
                  </w:tcMar>
                  <w:vAlign w:val="center"/>
                </w:tcPr>
                <w:p w14:paraId="161B01C1">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一般固体废物</w:t>
                  </w:r>
                </w:p>
              </w:tc>
              <w:tc>
                <w:tcPr>
                  <w:tcW w:w="1473" w:type="dxa"/>
                  <w:tcBorders>
                    <w:bottom w:val="single" w:color="auto" w:sz="12" w:space="0"/>
                  </w:tcBorders>
                  <w:tcMar>
                    <w:left w:w="28" w:type="dxa"/>
                    <w:right w:w="28" w:type="dxa"/>
                  </w:tcMar>
                  <w:vAlign w:val="center"/>
                </w:tcPr>
                <w:p w14:paraId="09D31DCD">
                  <w:pPr>
                    <w:spacing w:line="240" w:lineRule="auto"/>
                    <w:ind w:firstLine="0" w:firstLineChars="0"/>
                    <w:jc w:val="center"/>
                    <w:rPr>
                      <w:rFonts w:hint="default" w:ascii="Times New Roman" w:hAnsi="Times New Roman" w:eastAsia="宋体"/>
                      <w:b/>
                      <w:bCs/>
                      <w:iCs/>
                      <w:color w:val="auto"/>
                      <w:sz w:val="21"/>
                      <w:szCs w:val="21"/>
                      <w:highlight w:val="none"/>
                      <w:lang w:val="en-US" w:eastAsia="zh-CN"/>
                    </w:rPr>
                  </w:pPr>
                  <w:r>
                    <w:rPr>
                      <w:rFonts w:hint="eastAsia"/>
                      <w:b/>
                      <w:bCs/>
                      <w:iCs/>
                      <w:color w:val="auto"/>
                      <w:sz w:val="21"/>
                      <w:szCs w:val="21"/>
                      <w:highlight w:val="none"/>
                      <w:lang w:val="en-US" w:eastAsia="zh-CN"/>
                    </w:rPr>
                    <w:t>废水排放口</w:t>
                  </w:r>
                </w:p>
              </w:tc>
              <w:tc>
                <w:tcPr>
                  <w:tcW w:w="1969" w:type="dxa"/>
                  <w:tcBorders>
                    <w:bottom w:val="single" w:color="auto" w:sz="12" w:space="0"/>
                  </w:tcBorders>
                  <w:tcMar>
                    <w:left w:w="28" w:type="dxa"/>
                    <w:right w:w="28" w:type="dxa"/>
                  </w:tcMar>
                  <w:vAlign w:val="center"/>
                </w:tcPr>
                <w:p w14:paraId="4CF9DEED">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危险废物</w:t>
                  </w:r>
                </w:p>
              </w:tc>
            </w:tr>
            <w:tr w14:paraId="13D35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04" w:type="dxa"/>
                  <w:tcBorders>
                    <w:top w:val="single" w:color="auto" w:sz="12" w:space="0"/>
                    <w:tl2br w:val="nil"/>
                    <w:tr2bl w:val="nil"/>
                  </w:tcBorders>
                  <w:tcMar>
                    <w:left w:w="28" w:type="dxa"/>
                    <w:right w:w="28" w:type="dxa"/>
                  </w:tcMar>
                  <w:vAlign w:val="center"/>
                </w:tcPr>
                <w:p w14:paraId="28A1867C">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提示图形符号</w:t>
                  </w:r>
                </w:p>
              </w:tc>
              <w:tc>
                <w:tcPr>
                  <w:tcW w:w="1497" w:type="dxa"/>
                  <w:tcBorders>
                    <w:top w:val="single" w:color="auto" w:sz="12" w:space="0"/>
                    <w:tl2br w:val="nil"/>
                    <w:tr2bl w:val="nil"/>
                  </w:tcBorders>
                  <w:tcMar>
                    <w:left w:w="28" w:type="dxa"/>
                    <w:right w:w="28" w:type="dxa"/>
                  </w:tcMar>
                  <w:vAlign w:val="center"/>
                </w:tcPr>
                <w:p w14:paraId="3BB2E884">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828040" cy="685165"/>
                        <wp:effectExtent l="0" t="0" r="10160" b="635"/>
                        <wp:docPr id="127" name="图片 25"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descr="废气排放口1"/>
                                <pic:cNvPicPr>
                                  <a:picLocks noChangeAspect="1"/>
                                </pic:cNvPicPr>
                              </pic:nvPicPr>
                              <pic:blipFill>
                                <a:blip r:embed="rId33"/>
                                <a:stretch>
                                  <a:fillRect/>
                                </a:stretch>
                              </pic:blipFill>
                              <pic:spPr>
                                <a:xfrm>
                                  <a:off x="0" y="0"/>
                                  <a:ext cx="828040" cy="685165"/>
                                </a:xfrm>
                                <a:prstGeom prst="rect">
                                  <a:avLst/>
                                </a:prstGeom>
                                <a:noFill/>
                                <a:ln>
                                  <a:noFill/>
                                </a:ln>
                              </pic:spPr>
                            </pic:pic>
                          </a:graphicData>
                        </a:graphic>
                      </wp:inline>
                    </w:drawing>
                  </w:r>
                </w:p>
              </w:tc>
              <w:tc>
                <w:tcPr>
                  <w:tcW w:w="1540" w:type="dxa"/>
                  <w:tcBorders>
                    <w:top w:val="single" w:color="auto" w:sz="12" w:space="0"/>
                    <w:tl2br w:val="nil"/>
                    <w:tr2bl w:val="nil"/>
                  </w:tcBorders>
                  <w:tcMar>
                    <w:left w:w="28" w:type="dxa"/>
                    <w:right w:w="28" w:type="dxa"/>
                  </w:tcMar>
                  <w:vAlign w:val="center"/>
                </w:tcPr>
                <w:p w14:paraId="7F354FAA">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781685" cy="694690"/>
                        <wp:effectExtent l="0" t="0" r="18415" b="10160"/>
                        <wp:docPr id="41" name="图片 26"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噪声排放口1"/>
                                <pic:cNvPicPr>
                                  <a:picLocks noChangeAspect="1"/>
                                </pic:cNvPicPr>
                              </pic:nvPicPr>
                              <pic:blipFill>
                                <a:blip r:embed="rId34"/>
                                <a:stretch>
                                  <a:fillRect/>
                                </a:stretch>
                              </pic:blipFill>
                              <pic:spPr>
                                <a:xfrm>
                                  <a:off x="0" y="0"/>
                                  <a:ext cx="781685" cy="694690"/>
                                </a:xfrm>
                                <a:prstGeom prst="rect">
                                  <a:avLst/>
                                </a:prstGeom>
                                <a:noFill/>
                                <a:ln>
                                  <a:noFill/>
                                </a:ln>
                              </pic:spPr>
                            </pic:pic>
                          </a:graphicData>
                        </a:graphic>
                      </wp:inline>
                    </w:drawing>
                  </w:r>
                </w:p>
              </w:tc>
              <w:tc>
                <w:tcPr>
                  <w:tcW w:w="1364" w:type="dxa"/>
                  <w:tcBorders>
                    <w:top w:val="single" w:color="auto" w:sz="12" w:space="0"/>
                    <w:tl2br w:val="nil"/>
                    <w:tr2bl w:val="nil"/>
                  </w:tcBorders>
                  <w:tcMar>
                    <w:left w:w="28" w:type="dxa"/>
                    <w:right w:w="28" w:type="dxa"/>
                  </w:tcMar>
                  <w:vAlign w:val="center"/>
                </w:tcPr>
                <w:p w14:paraId="79450653">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805180" cy="744855"/>
                        <wp:effectExtent l="0" t="0" r="13970" b="1714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35"/>
                                <a:stretch>
                                  <a:fillRect/>
                                </a:stretch>
                              </pic:blipFill>
                              <pic:spPr>
                                <a:xfrm>
                                  <a:off x="0" y="0"/>
                                  <a:ext cx="805180" cy="744855"/>
                                </a:xfrm>
                                <a:prstGeom prst="rect">
                                  <a:avLst/>
                                </a:prstGeom>
                                <a:noFill/>
                                <a:ln>
                                  <a:noFill/>
                                </a:ln>
                              </pic:spPr>
                            </pic:pic>
                          </a:graphicData>
                        </a:graphic>
                      </wp:inline>
                    </w:drawing>
                  </w:r>
                </w:p>
              </w:tc>
              <w:tc>
                <w:tcPr>
                  <w:tcW w:w="1473" w:type="dxa"/>
                  <w:tcBorders>
                    <w:top w:val="single" w:color="auto" w:sz="12" w:space="0"/>
                    <w:tl2br w:val="nil"/>
                    <w:tr2bl w:val="nil"/>
                  </w:tcBorders>
                  <w:tcMar>
                    <w:left w:w="28" w:type="dxa"/>
                    <w:right w:w="28" w:type="dxa"/>
                  </w:tcMar>
                  <w:vAlign w:val="center"/>
                </w:tcPr>
                <w:p w14:paraId="092F8283">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position w:val="-25"/>
                      <w:highlight w:val="none"/>
                    </w:rPr>
                    <w:drawing>
                      <wp:inline distT="0" distB="0" distL="114300" distR="114300">
                        <wp:extent cx="749935" cy="699135"/>
                        <wp:effectExtent l="0" t="0" r="12065" b="5715"/>
                        <wp:docPr id="105" name="图片 31"/>
                        <wp:cNvGraphicFramePr/>
                        <a:graphic xmlns:a="http://schemas.openxmlformats.org/drawingml/2006/main">
                          <a:graphicData uri="http://schemas.openxmlformats.org/drawingml/2006/picture">
                            <pic:pic xmlns:pic="http://schemas.openxmlformats.org/drawingml/2006/picture">
                              <pic:nvPicPr>
                                <pic:cNvPr id="105" name="图片 31"/>
                                <pic:cNvPicPr/>
                              </pic:nvPicPr>
                              <pic:blipFill>
                                <a:blip r:embed="rId36"/>
                                <a:stretch>
                                  <a:fillRect/>
                                </a:stretch>
                              </pic:blipFill>
                              <pic:spPr>
                                <a:xfrm>
                                  <a:off x="0" y="0"/>
                                  <a:ext cx="749935" cy="699135"/>
                                </a:xfrm>
                                <a:prstGeom prst="rect">
                                  <a:avLst/>
                                </a:prstGeom>
                                <a:noFill/>
                                <a:ln>
                                  <a:noFill/>
                                </a:ln>
                              </pic:spPr>
                            </pic:pic>
                          </a:graphicData>
                        </a:graphic>
                      </wp:inline>
                    </w:drawing>
                  </w:r>
                </w:p>
              </w:tc>
              <w:tc>
                <w:tcPr>
                  <w:tcW w:w="1969" w:type="dxa"/>
                  <w:tcBorders>
                    <w:top w:val="single" w:color="auto" w:sz="12" w:space="0"/>
                    <w:tl2br w:val="nil"/>
                    <w:tr2bl w:val="nil"/>
                  </w:tcBorders>
                  <w:tcMar>
                    <w:left w:w="28" w:type="dxa"/>
                    <w:right w:w="28" w:type="dxa"/>
                  </w:tcMar>
                  <w:vAlign w:val="center"/>
                </w:tcPr>
                <w:p w14:paraId="730ECEED">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highlight w:val="none"/>
                    </w:rPr>
                    <w:drawing>
                      <wp:inline distT="0" distB="0" distL="114300" distR="114300">
                        <wp:extent cx="1051560" cy="667385"/>
                        <wp:effectExtent l="0" t="0" r="15240" b="18415"/>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37"/>
                                <a:stretch>
                                  <a:fillRect/>
                                </a:stretch>
                              </pic:blipFill>
                              <pic:spPr>
                                <a:xfrm>
                                  <a:off x="0" y="0"/>
                                  <a:ext cx="1051560" cy="667385"/>
                                </a:xfrm>
                                <a:prstGeom prst="rect">
                                  <a:avLst/>
                                </a:prstGeom>
                                <a:noFill/>
                                <a:ln>
                                  <a:noFill/>
                                </a:ln>
                              </pic:spPr>
                            </pic:pic>
                          </a:graphicData>
                        </a:graphic>
                      </wp:inline>
                    </w:drawing>
                  </w:r>
                </w:p>
              </w:tc>
            </w:tr>
            <w:tr w14:paraId="7D23B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4" w:type="dxa"/>
                  <w:tcBorders>
                    <w:tl2br w:val="nil"/>
                    <w:tr2bl w:val="nil"/>
                  </w:tcBorders>
                  <w:tcMar>
                    <w:left w:w="28" w:type="dxa"/>
                    <w:right w:w="28" w:type="dxa"/>
                  </w:tcMar>
                  <w:vAlign w:val="center"/>
                </w:tcPr>
                <w:p w14:paraId="46833007">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功能</w:t>
                  </w:r>
                </w:p>
                <w:p w14:paraId="24DEE014">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表示</w:t>
                  </w:r>
                </w:p>
              </w:tc>
              <w:tc>
                <w:tcPr>
                  <w:tcW w:w="1497" w:type="dxa"/>
                  <w:tcBorders>
                    <w:tl2br w:val="nil"/>
                    <w:tr2bl w:val="nil"/>
                  </w:tcBorders>
                  <w:tcMar>
                    <w:left w:w="28" w:type="dxa"/>
                    <w:right w:w="28" w:type="dxa"/>
                  </w:tcMar>
                  <w:vAlign w:val="center"/>
                </w:tcPr>
                <w:p w14:paraId="30ED948A">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向大气环境排放废气</w:t>
                  </w:r>
                </w:p>
              </w:tc>
              <w:tc>
                <w:tcPr>
                  <w:tcW w:w="1540" w:type="dxa"/>
                  <w:tcBorders>
                    <w:tl2br w:val="nil"/>
                    <w:tr2bl w:val="nil"/>
                  </w:tcBorders>
                  <w:tcMar>
                    <w:left w:w="28" w:type="dxa"/>
                    <w:right w:w="28" w:type="dxa"/>
                  </w:tcMar>
                  <w:vAlign w:val="center"/>
                </w:tcPr>
                <w:p w14:paraId="44B02700">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向外环境排放噪声</w:t>
                  </w:r>
                </w:p>
              </w:tc>
              <w:tc>
                <w:tcPr>
                  <w:tcW w:w="1364" w:type="dxa"/>
                  <w:tcBorders>
                    <w:tl2br w:val="nil"/>
                    <w:tr2bl w:val="nil"/>
                  </w:tcBorders>
                  <w:tcMar>
                    <w:left w:w="28" w:type="dxa"/>
                    <w:right w:w="28" w:type="dxa"/>
                  </w:tcMar>
                  <w:vAlign w:val="center"/>
                </w:tcPr>
                <w:p w14:paraId="1A3BCD92">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一般固体废物贮存、处置场</w:t>
                  </w:r>
                </w:p>
              </w:tc>
              <w:tc>
                <w:tcPr>
                  <w:tcW w:w="1473" w:type="dxa"/>
                  <w:tcBorders>
                    <w:tl2br w:val="nil"/>
                    <w:tr2bl w:val="nil"/>
                  </w:tcBorders>
                  <w:tcMar>
                    <w:left w:w="28" w:type="dxa"/>
                    <w:right w:w="28" w:type="dxa"/>
                  </w:tcMar>
                  <w:vAlign w:val="center"/>
                </w:tcPr>
                <w:p w14:paraId="0553DEC8">
                  <w:pPr>
                    <w:spacing w:line="240" w:lineRule="auto"/>
                    <w:ind w:firstLine="0" w:firstLineChars="0"/>
                    <w:jc w:val="center"/>
                    <w:rPr>
                      <w:rFonts w:hint="eastAsia" w:ascii="Times New Roman" w:hAnsi="Times New Roman" w:eastAsia="宋体"/>
                      <w:iCs/>
                      <w:color w:val="auto"/>
                      <w:sz w:val="21"/>
                      <w:szCs w:val="21"/>
                      <w:highlight w:val="none"/>
                      <w:lang w:val="en-US" w:eastAsia="zh-CN"/>
                    </w:rPr>
                  </w:pPr>
                  <w:r>
                    <w:rPr>
                      <w:rFonts w:ascii="Times New Roman" w:hAnsi="Times New Roman"/>
                      <w:iCs/>
                      <w:color w:val="auto"/>
                      <w:sz w:val="21"/>
                      <w:szCs w:val="21"/>
                      <w:highlight w:val="none"/>
                    </w:rPr>
                    <w:t>向</w:t>
                  </w:r>
                  <w:r>
                    <w:rPr>
                      <w:rFonts w:hint="eastAsia" w:ascii="Times New Roman" w:hAnsi="Times New Roman"/>
                      <w:iCs/>
                      <w:color w:val="auto"/>
                      <w:sz w:val="21"/>
                      <w:szCs w:val="21"/>
                      <w:highlight w:val="none"/>
                      <w:lang w:val="en-US" w:eastAsia="zh-CN"/>
                    </w:rPr>
                    <w:t>水</w:t>
                  </w:r>
                  <w:r>
                    <w:rPr>
                      <w:rFonts w:ascii="Times New Roman" w:hAnsi="Times New Roman"/>
                      <w:iCs/>
                      <w:color w:val="auto"/>
                      <w:sz w:val="21"/>
                      <w:szCs w:val="21"/>
                      <w:highlight w:val="none"/>
                    </w:rPr>
                    <w:t>环境</w:t>
                  </w:r>
                  <w:r>
                    <w:rPr>
                      <w:rFonts w:hint="eastAsia" w:ascii="Times New Roman" w:hAnsi="Times New Roman"/>
                      <w:iCs/>
                      <w:color w:val="auto"/>
                      <w:sz w:val="21"/>
                      <w:szCs w:val="21"/>
                      <w:highlight w:val="none"/>
                      <w:lang w:val="en-US" w:eastAsia="zh-CN"/>
                    </w:rPr>
                    <w:t>或污水处理单位</w:t>
                  </w:r>
                  <w:r>
                    <w:rPr>
                      <w:rFonts w:ascii="Times New Roman" w:hAnsi="Times New Roman"/>
                      <w:iCs/>
                      <w:color w:val="auto"/>
                      <w:sz w:val="21"/>
                      <w:szCs w:val="21"/>
                      <w:highlight w:val="none"/>
                    </w:rPr>
                    <w:t>排放废</w:t>
                  </w:r>
                  <w:r>
                    <w:rPr>
                      <w:rFonts w:hint="eastAsia" w:ascii="Times New Roman" w:hAnsi="Times New Roman"/>
                      <w:iCs/>
                      <w:color w:val="auto"/>
                      <w:sz w:val="21"/>
                      <w:szCs w:val="21"/>
                      <w:highlight w:val="none"/>
                      <w:lang w:val="en-US" w:eastAsia="zh-CN"/>
                    </w:rPr>
                    <w:t>水</w:t>
                  </w:r>
                </w:p>
              </w:tc>
              <w:tc>
                <w:tcPr>
                  <w:tcW w:w="1969" w:type="dxa"/>
                  <w:tcBorders>
                    <w:tl2br w:val="nil"/>
                    <w:tr2bl w:val="nil"/>
                  </w:tcBorders>
                  <w:tcMar>
                    <w:left w:w="28" w:type="dxa"/>
                    <w:right w:w="28" w:type="dxa"/>
                  </w:tcMar>
                  <w:vAlign w:val="center"/>
                </w:tcPr>
                <w:p w14:paraId="11311A6F">
                  <w:pPr>
                    <w:spacing w:line="240" w:lineRule="auto"/>
                    <w:ind w:firstLine="0" w:firstLineChars="0"/>
                    <w:jc w:val="center"/>
                    <w:rPr>
                      <w:rFonts w:hint="eastAsia" w:ascii="Times New Roman" w:hAnsi="Times New Roman" w:eastAsia="宋体"/>
                      <w:iCs/>
                      <w:color w:val="auto"/>
                      <w:sz w:val="21"/>
                      <w:szCs w:val="21"/>
                      <w:highlight w:val="none"/>
                      <w:lang w:val="en-US" w:eastAsia="zh-CN"/>
                    </w:rPr>
                  </w:pPr>
                  <w:r>
                    <w:rPr>
                      <w:rFonts w:ascii="Times New Roman" w:hAnsi="Times New Roman"/>
                      <w:iCs/>
                      <w:color w:val="auto"/>
                      <w:sz w:val="21"/>
                      <w:szCs w:val="21"/>
                      <w:highlight w:val="none"/>
                    </w:rPr>
                    <w:t>危险废物贮存</w:t>
                  </w:r>
                  <w:r>
                    <w:rPr>
                      <w:rFonts w:hint="eastAsia" w:ascii="Times New Roman" w:hAnsi="Times New Roman"/>
                      <w:iCs/>
                      <w:color w:val="auto"/>
                      <w:sz w:val="21"/>
                      <w:szCs w:val="21"/>
                      <w:highlight w:val="none"/>
                      <w:lang w:val="en-US" w:eastAsia="zh-CN"/>
                    </w:rPr>
                    <w:t>设施</w:t>
                  </w:r>
                </w:p>
              </w:tc>
            </w:tr>
          </w:tbl>
          <w:p w14:paraId="749A1B71">
            <w:pPr>
              <w:pStyle w:val="46"/>
              <w:ind w:left="0" w:leftChars="0" w:firstLine="0" w:firstLineChars="0"/>
              <w:rPr>
                <w:rFonts w:hint="eastAsia" w:ascii="宋体" w:hAnsi="宋体" w:cs="宋体"/>
                <w:bCs/>
                <w:color w:val="auto"/>
                <w:szCs w:val="21"/>
                <w:highlight w:val="none"/>
              </w:rPr>
            </w:pPr>
          </w:p>
        </w:tc>
      </w:tr>
    </w:tbl>
    <w:p w14:paraId="0F30926E">
      <w:pPr>
        <w:adjustRightInd w:val="0"/>
        <w:snapToGrid w:val="0"/>
        <w:spacing w:line="360" w:lineRule="auto"/>
        <w:rPr>
          <w:rFonts w:ascii="宋体" w:cs="宋体"/>
          <w:b/>
          <w:color w:val="auto"/>
          <w:kern w:val="0"/>
          <w:sz w:val="28"/>
          <w:szCs w:val="28"/>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7FAE60B5">
      <w:pPr>
        <w:pStyle w:val="2"/>
        <w:keepNext/>
        <w:keepLines w:val="0"/>
        <w:pageBreakBefore w:val="0"/>
        <w:widowControl w:val="0"/>
        <w:numPr>
          <w:ilvl w:val="0"/>
          <w:numId w:val="14"/>
        </w:numPr>
        <w:tabs>
          <w:tab w:val="left" w:pos="0"/>
        </w:tabs>
        <w:kinsoku/>
        <w:wordWrap/>
        <w:overflowPunct w:val="0"/>
        <w:topLinePunct w:val="0"/>
        <w:autoSpaceDE/>
        <w:autoSpaceDN/>
        <w:bidi w:val="0"/>
        <w:adjustRightInd/>
        <w:snapToGrid w:val="0"/>
        <w:spacing w:line="240" w:lineRule="auto"/>
        <w:ind w:left="431" w:leftChars="0" w:hanging="431" w:firstLineChars="0"/>
        <w:textAlignment w:val="auto"/>
        <w:rPr>
          <w:rFonts w:hint="eastAsia" w:eastAsia="宋体"/>
          <w:color w:val="auto"/>
          <w:highlight w:val="none"/>
        </w:rPr>
      </w:pPr>
      <w:bookmarkStart w:id="60" w:name="_Toc25031"/>
      <w:bookmarkStart w:id="61" w:name="_Toc28314"/>
      <w:bookmarkStart w:id="62" w:name="_Hlk54167917"/>
      <w:bookmarkStart w:id="63" w:name="_Toc28252"/>
      <w:bookmarkStart w:id="64" w:name="_Toc16374"/>
      <w:bookmarkStart w:id="65" w:name="_Toc8930"/>
      <w:r>
        <w:rPr>
          <w:rFonts w:hint="eastAsia" w:eastAsia="宋体"/>
          <w:color w:val="auto"/>
          <w:highlight w:val="none"/>
        </w:rPr>
        <w:t>环境保护措施监督检查清单</w:t>
      </w:r>
      <w:bookmarkEnd w:id="60"/>
      <w:bookmarkEnd w:id="61"/>
      <w:bookmarkEnd w:id="62"/>
      <w:bookmarkEnd w:id="63"/>
      <w:bookmarkEnd w:id="64"/>
      <w:bookmarkEnd w:id="65"/>
    </w:p>
    <w:tbl>
      <w:tblPr>
        <w:tblStyle w:val="34"/>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50"/>
        <w:gridCol w:w="1391"/>
        <w:gridCol w:w="2059"/>
        <w:gridCol w:w="3311"/>
      </w:tblGrid>
      <w:tr w14:paraId="64864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tcBorders>
              <w:tl2br w:val="single" w:color="auto" w:sz="4" w:space="0"/>
            </w:tcBorders>
            <w:vAlign w:val="center"/>
          </w:tcPr>
          <w:p w14:paraId="1B7F64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right"/>
              <w:textAlignment w:val="auto"/>
              <w:rPr>
                <w:rFonts w:ascii="宋体" w:hAnsi="宋体" w:cs="宋体"/>
                <w:color w:val="auto"/>
                <w:szCs w:val="21"/>
                <w:highlight w:val="none"/>
              </w:rPr>
            </w:pPr>
            <w:r>
              <w:rPr>
                <w:rFonts w:hint="eastAsia" w:ascii="宋体" w:hAnsi="宋体" w:cs="宋体"/>
                <w:color w:val="auto"/>
                <w:szCs w:val="21"/>
                <w:highlight w:val="none"/>
              </w:rPr>
              <w:t>内容</w:t>
            </w:r>
          </w:p>
          <w:p w14:paraId="5BCD9A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宋体" w:hAnsi="宋体" w:cs="宋体"/>
                <w:color w:val="auto"/>
                <w:szCs w:val="21"/>
                <w:highlight w:val="none"/>
              </w:rPr>
            </w:pPr>
          </w:p>
          <w:p w14:paraId="01FCB3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ascii="宋体" w:hAnsi="宋体" w:cs="宋体"/>
                <w:color w:val="auto"/>
                <w:szCs w:val="21"/>
                <w:highlight w:val="none"/>
              </w:rPr>
            </w:pPr>
            <w:r>
              <w:rPr>
                <w:rFonts w:hint="eastAsia" w:ascii="宋体" w:hAnsi="宋体" w:cs="宋体"/>
                <w:color w:val="auto"/>
                <w:szCs w:val="21"/>
                <w:highlight w:val="none"/>
              </w:rPr>
              <w:t>要素</w:t>
            </w:r>
          </w:p>
        </w:tc>
        <w:tc>
          <w:tcPr>
            <w:tcW w:w="1350" w:type="dxa"/>
            <w:vAlign w:val="center"/>
          </w:tcPr>
          <w:p w14:paraId="6A4A0C6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排放口</w:t>
            </w:r>
            <w:r>
              <w:rPr>
                <w:rFonts w:hint="eastAsia" w:ascii="宋体" w:hAnsi="宋体" w:cs="宋体"/>
                <w:color w:val="auto"/>
                <w:szCs w:val="21"/>
                <w:highlight w:val="none"/>
                <w:lang w:eastAsia="zh-CN"/>
              </w:rPr>
              <w:t>（</w:t>
            </w:r>
            <w:r>
              <w:rPr>
                <w:rFonts w:hint="eastAsia" w:ascii="宋体" w:hAnsi="宋体" w:cs="宋体"/>
                <w:color w:val="auto"/>
                <w:szCs w:val="21"/>
                <w:highlight w:val="none"/>
              </w:rPr>
              <w:t>编号、名称</w:t>
            </w:r>
            <w:r>
              <w:rPr>
                <w:rFonts w:hint="eastAsia" w:ascii="宋体" w:hAnsi="宋体" w:cs="宋体"/>
                <w:color w:val="auto"/>
                <w:szCs w:val="21"/>
                <w:highlight w:val="none"/>
                <w:lang w:eastAsia="zh-CN"/>
              </w:rPr>
              <w:t>）</w:t>
            </w:r>
            <w:r>
              <w:rPr>
                <w:rFonts w:hint="eastAsia" w:ascii="宋体" w:hAnsi="宋体" w:cs="宋体"/>
                <w:color w:val="auto"/>
                <w:szCs w:val="21"/>
                <w:highlight w:val="none"/>
              </w:rPr>
              <w:t>/污染源</w:t>
            </w:r>
          </w:p>
        </w:tc>
        <w:tc>
          <w:tcPr>
            <w:tcW w:w="1391" w:type="dxa"/>
            <w:vAlign w:val="center"/>
          </w:tcPr>
          <w:p w14:paraId="28FB5F2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污染物项目</w:t>
            </w:r>
          </w:p>
        </w:tc>
        <w:tc>
          <w:tcPr>
            <w:tcW w:w="2059" w:type="dxa"/>
            <w:vAlign w:val="center"/>
          </w:tcPr>
          <w:p w14:paraId="11D088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环境保护措施</w:t>
            </w:r>
          </w:p>
        </w:tc>
        <w:tc>
          <w:tcPr>
            <w:tcW w:w="3311" w:type="dxa"/>
            <w:vAlign w:val="center"/>
          </w:tcPr>
          <w:p w14:paraId="3963837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执行标准</w:t>
            </w:r>
          </w:p>
        </w:tc>
      </w:tr>
      <w:tr w14:paraId="0F72E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1" w:hRule="atLeast"/>
          <w:jc w:val="center"/>
        </w:trPr>
        <w:tc>
          <w:tcPr>
            <w:tcW w:w="860" w:type="dxa"/>
            <w:vMerge w:val="restart"/>
            <w:vAlign w:val="center"/>
          </w:tcPr>
          <w:p w14:paraId="2060E6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大气</w:t>
            </w:r>
          </w:p>
          <w:p w14:paraId="32904E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环境</w:t>
            </w:r>
          </w:p>
        </w:tc>
        <w:tc>
          <w:tcPr>
            <w:tcW w:w="1350" w:type="dxa"/>
            <w:shd w:val="clear" w:color="auto" w:fill="auto"/>
            <w:vAlign w:val="center"/>
          </w:tcPr>
          <w:p w14:paraId="3BAE6C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1"/>
              </w:rPr>
            </w:pPr>
            <w:r>
              <w:rPr>
                <w:rFonts w:ascii="Times New Roman" w:hAnsi="Times New Roman" w:eastAsia="Times New Roman" w:cs="Times New Roman"/>
                <w:color w:val="auto"/>
              </w:rPr>
              <w:t>DA</w:t>
            </w:r>
            <w:r>
              <w:rPr>
                <w:rFonts w:ascii="Times New Roman" w:hAnsi="Times New Roman" w:eastAsia="Times New Roman" w:cs="Times New Roman"/>
                <w:color w:val="auto"/>
                <w:spacing w:val="8"/>
              </w:rPr>
              <w:t>001/</w:t>
            </w:r>
            <w:r>
              <w:rPr>
                <w:color w:val="auto"/>
                <w:spacing w:val="8"/>
              </w:rPr>
              <w:t>电泳、固</w:t>
            </w:r>
            <w:r>
              <w:rPr>
                <w:color w:val="auto"/>
                <w:spacing w:val="-1"/>
              </w:rPr>
              <w:t>化废气、燃烧</w:t>
            </w:r>
            <w:r>
              <w:rPr>
                <w:rFonts w:hint="eastAsia"/>
                <w:color w:val="auto"/>
                <w:spacing w:val="-1"/>
                <w:lang w:val="en-US" w:eastAsia="zh-CN"/>
              </w:rPr>
              <w:t>废</w:t>
            </w:r>
            <w:r>
              <w:rPr>
                <w:color w:val="auto"/>
                <w:spacing w:val="-1"/>
              </w:rPr>
              <w:t>气</w:t>
            </w:r>
          </w:p>
          <w:p w14:paraId="1B56411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p>
        </w:tc>
        <w:tc>
          <w:tcPr>
            <w:tcW w:w="1391" w:type="dxa"/>
            <w:shd w:val="clear" w:color="auto" w:fill="auto"/>
            <w:vAlign w:val="center"/>
          </w:tcPr>
          <w:p w14:paraId="17C86B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ascii="宋体" w:hAnsi="宋体" w:cs="宋体"/>
                <w:color w:val="auto"/>
                <w:szCs w:val="21"/>
                <w:highlight w:val="none"/>
              </w:rPr>
              <w:t>非甲烷总烃、</w:t>
            </w:r>
            <w:r>
              <w:rPr>
                <w:rFonts w:hint="eastAsia" w:eastAsia="宋体"/>
                <w:color w:val="auto"/>
                <w:highlight w:val="none"/>
                <w:lang w:eastAsia="zh-CN"/>
              </w:rPr>
              <w:t>烟（粉）尘、</w:t>
            </w:r>
            <w:r>
              <w:rPr>
                <w:rFonts w:ascii="宋体" w:hAnsi="宋体" w:cs="宋体"/>
                <w:color w:val="auto"/>
                <w:szCs w:val="21"/>
                <w:highlight w:val="none"/>
              </w:rPr>
              <w:t>二氧化硫、氮氧化物</w:t>
            </w:r>
          </w:p>
        </w:tc>
        <w:tc>
          <w:tcPr>
            <w:tcW w:w="2059" w:type="dxa"/>
            <w:shd w:val="clear" w:color="auto" w:fill="auto"/>
            <w:vAlign w:val="center"/>
          </w:tcPr>
          <w:p w14:paraId="04C62B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电泳、固化废气经二级</w:t>
            </w:r>
          </w:p>
          <w:p w14:paraId="18DA28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活性炭吸附处理后，通</w:t>
            </w:r>
          </w:p>
          <w:p w14:paraId="61F9E4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过1根</w:t>
            </w:r>
            <w:r>
              <w:rPr>
                <w:rFonts w:hint="eastAsia"/>
                <w:color w:val="auto"/>
                <w:spacing w:val="-8"/>
                <w:sz w:val="21"/>
                <w:lang w:eastAsia="zh-CN"/>
              </w:rPr>
              <w:t>15m</w:t>
            </w:r>
            <w:r>
              <w:rPr>
                <w:color w:val="auto"/>
                <w:spacing w:val="-8"/>
                <w:sz w:val="21"/>
              </w:rPr>
              <w:t>高排气筒达标排放（DA001）；燃烧废气通过1根</w:t>
            </w:r>
            <w:r>
              <w:rPr>
                <w:rFonts w:hint="eastAsia"/>
                <w:color w:val="auto"/>
                <w:spacing w:val="-8"/>
                <w:sz w:val="21"/>
                <w:lang w:eastAsia="zh-CN"/>
              </w:rPr>
              <w:t>15m</w:t>
            </w:r>
            <w:r>
              <w:rPr>
                <w:color w:val="auto"/>
                <w:spacing w:val="-8"/>
                <w:sz w:val="21"/>
              </w:rPr>
              <w:t>高排气筒达标排放（DA001）；</w:t>
            </w:r>
          </w:p>
          <w:p w14:paraId="55E0A33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p>
        </w:tc>
        <w:tc>
          <w:tcPr>
            <w:tcW w:w="3311" w:type="dxa"/>
            <w:shd w:val="clear" w:color="auto" w:fill="auto"/>
            <w:vAlign w:val="center"/>
          </w:tcPr>
          <w:p w14:paraId="605AEFBB">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DA001排放非甲烷总烃有组织排放执行</w:t>
            </w:r>
            <w:r>
              <w:rPr>
                <w:rFonts w:hint="eastAsia" w:ascii="Times New Roman" w:hAnsi="Times New Roman" w:eastAsia="宋体" w:cs="Times New Roman"/>
                <w:color w:val="auto"/>
                <w:highlight w:val="none"/>
                <w:lang w:val="en-US" w:eastAsia="zh-CN"/>
              </w:rPr>
              <w:t>《工业涂装工序挥发性有机物排放标准》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中表1标准限值</w:t>
            </w:r>
            <w:r>
              <w:rPr>
                <w:rFonts w:hint="eastAsia" w:ascii="Times New Roman" w:hAnsi="Times New Roman" w:eastAsia="宋体" w:cs="Times New Roman"/>
                <w:color w:val="auto"/>
                <w:highlight w:val="none"/>
                <w:lang w:eastAsia="zh-CN"/>
              </w:rPr>
              <w:t>；</w:t>
            </w:r>
          </w:p>
          <w:p w14:paraId="16AC68AA">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无组织排放的非甲烷总烃执行《工业涂装工序挥发性有机物排放标准》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中表3、表4标准限值及《挥发性有机物无组织排放控制标准》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 37822-2019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中附录A表A.1标准限值</w:t>
            </w:r>
            <w:r>
              <w:rPr>
                <w:rFonts w:hint="eastAsia" w:ascii="Times New Roman" w:hAnsi="Times New Roman" w:eastAsia="宋体" w:cs="Times New Roman"/>
                <w:color w:val="auto"/>
                <w:highlight w:val="none"/>
                <w:lang w:eastAsia="zh-CN"/>
              </w:rPr>
              <w:t>；</w:t>
            </w:r>
          </w:p>
          <w:p w14:paraId="10838B2C">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烟（粉）尘、二氧化硫、氮氧化物排放标准执行</w:t>
            </w: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p>
          <w:p w14:paraId="00414AFF">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highlight w:val="none"/>
                <w:lang w:eastAsia="zh-CN"/>
              </w:rPr>
            </w:pPr>
          </w:p>
        </w:tc>
      </w:tr>
      <w:tr w14:paraId="68EE5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60" w:type="dxa"/>
            <w:vMerge w:val="continue"/>
            <w:vAlign w:val="center"/>
          </w:tcPr>
          <w:p w14:paraId="67957F8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6EC233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rFonts w:ascii="Times New Roman" w:hAnsi="Times New Roman" w:eastAsia="Times New Roman" w:cs="Times New Roman"/>
                <w:color w:val="auto"/>
              </w:rPr>
              <w:t>DA</w:t>
            </w:r>
            <w:r>
              <w:rPr>
                <w:rFonts w:ascii="Times New Roman" w:hAnsi="Times New Roman" w:eastAsia="Times New Roman" w:cs="Times New Roman"/>
                <w:color w:val="auto"/>
                <w:spacing w:val="13"/>
              </w:rPr>
              <w:t>002/</w:t>
            </w:r>
            <w:r>
              <w:rPr>
                <w:color w:val="auto"/>
                <w:spacing w:val="13"/>
              </w:rPr>
              <w:t>焊接废气</w:t>
            </w:r>
          </w:p>
        </w:tc>
        <w:tc>
          <w:tcPr>
            <w:tcW w:w="1391" w:type="dxa"/>
            <w:shd w:val="clear" w:color="auto" w:fill="auto"/>
            <w:vAlign w:val="center"/>
          </w:tcPr>
          <w:p w14:paraId="4852CF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rFonts w:ascii="宋体" w:hAnsi="宋体" w:cs="宋体"/>
                <w:color w:val="auto"/>
                <w:szCs w:val="21"/>
                <w:highlight w:val="none"/>
              </w:rPr>
              <w:t>颗粒物</w:t>
            </w:r>
          </w:p>
        </w:tc>
        <w:tc>
          <w:tcPr>
            <w:tcW w:w="2059" w:type="dxa"/>
            <w:shd w:val="clear" w:color="auto" w:fill="auto"/>
            <w:vAlign w:val="center"/>
          </w:tcPr>
          <w:p w14:paraId="5BA998F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焊接废气经</w:t>
            </w:r>
            <w:r>
              <w:rPr>
                <w:rFonts w:hint="eastAsia"/>
                <w:color w:val="auto"/>
                <w:spacing w:val="-8"/>
                <w:sz w:val="21"/>
                <w:lang w:eastAsia="zh-CN"/>
              </w:rPr>
              <w:t>布袋</w:t>
            </w:r>
            <w:r>
              <w:rPr>
                <w:color w:val="auto"/>
                <w:spacing w:val="-8"/>
                <w:sz w:val="21"/>
              </w:rPr>
              <w:t>除尘器处理后，通过1根20m高排气筒达标排放（DA002）；</w:t>
            </w:r>
          </w:p>
          <w:p w14:paraId="73F5568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p>
        </w:tc>
        <w:tc>
          <w:tcPr>
            <w:tcW w:w="3311" w:type="dxa"/>
            <w:shd w:val="clear" w:color="auto" w:fill="auto"/>
            <w:vAlign w:val="center"/>
          </w:tcPr>
          <w:p w14:paraId="03A34A1B">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auto"/>
                <w:highlight w:val="none"/>
                <w:lang w:eastAsia="zh-CN"/>
              </w:rPr>
            </w:pPr>
            <w:r>
              <w:rPr>
                <w:rFonts w:hint="eastAsia" w:eastAsia="宋体"/>
                <w:color w:val="auto"/>
                <w:highlight w:val="none"/>
                <w:lang w:eastAsia="zh-CN"/>
              </w:rPr>
              <w:t>DA002排放颗粒物执行《大气污染物综合排放标准》（GB16297-1996）表2标准；</w:t>
            </w:r>
          </w:p>
          <w:p w14:paraId="5ADA1D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highlight w:val="none"/>
              </w:rPr>
            </w:pPr>
          </w:p>
        </w:tc>
      </w:tr>
      <w:tr w14:paraId="7EFC5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516E25A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0911794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color w:val="auto"/>
                <w:spacing w:val="-8"/>
                <w:sz w:val="21"/>
              </w:rPr>
              <w:t>废水处理废气</w:t>
            </w:r>
          </w:p>
        </w:tc>
        <w:tc>
          <w:tcPr>
            <w:tcW w:w="1391" w:type="dxa"/>
            <w:shd w:val="clear" w:color="auto" w:fill="auto"/>
            <w:vAlign w:val="center"/>
          </w:tcPr>
          <w:p w14:paraId="3CF6A5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eastAsia="宋体"/>
                <w:color w:val="auto"/>
                <w:highlight w:val="none"/>
                <w:lang w:eastAsia="zh-CN"/>
              </w:rPr>
              <w:t>氨、硫化氢和臭气浓度</w:t>
            </w:r>
          </w:p>
        </w:tc>
        <w:tc>
          <w:tcPr>
            <w:tcW w:w="2059" w:type="dxa"/>
            <w:shd w:val="clear" w:color="auto" w:fill="auto"/>
            <w:vAlign w:val="center"/>
          </w:tcPr>
          <w:p w14:paraId="0C2ED34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color w:val="auto"/>
                <w:spacing w:val="-8"/>
                <w:sz w:val="21"/>
              </w:rPr>
              <w:t>废水处理废气无组织排放</w:t>
            </w:r>
          </w:p>
        </w:tc>
        <w:tc>
          <w:tcPr>
            <w:tcW w:w="3311" w:type="dxa"/>
            <w:shd w:val="clear" w:color="auto" w:fill="auto"/>
            <w:vAlign w:val="center"/>
          </w:tcPr>
          <w:p w14:paraId="57FEEC01">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auto"/>
                <w:highlight w:val="none"/>
                <w:lang w:eastAsia="zh-CN"/>
              </w:rPr>
            </w:pPr>
            <w:r>
              <w:rPr>
                <w:rFonts w:hint="eastAsia" w:eastAsia="宋体"/>
                <w:color w:val="auto"/>
                <w:highlight w:val="none"/>
                <w:lang w:eastAsia="zh-CN"/>
              </w:rPr>
              <w:t>氨、硫化氢和臭气浓度无组</w:t>
            </w:r>
          </w:p>
          <w:p w14:paraId="7ED63F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t>织排放执行《恶臭污染物排放标准》（GB14554-93）表1标准</w:t>
            </w:r>
          </w:p>
        </w:tc>
      </w:tr>
      <w:tr w14:paraId="1E085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0C542D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01433B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DA003/喷粉废气</w:t>
            </w:r>
          </w:p>
        </w:tc>
        <w:tc>
          <w:tcPr>
            <w:tcW w:w="1391" w:type="dxa"/>
            <w:shd w:val="clear" w:color="auto" w:fill="auto"/>
            <w:vAlign w:val="center"/>
          </w:tcPr>
          <w:p w14:paraId="79661A6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ascii="宋体" w:hAnsi="宋体" w:cs="宋体"/>
                <w:color w:val="auto"/>
                <w:szCs w:val="21"/>
                <w:highlight w:val="none"/>
              </w:rPr>
              <w:t>颗粒物</w:t>
            </w:r>
          </w:p>
        </w:tc>
        <w:tc>
          <w:tcPr>
            <w:tcW w:w="2059" w:type="dxa"/>
            <w:shd w:val="clear" w:color="auto" w:fill="auto"/>
            <w:vAlign w:val="center"/>
          </w:tcPr>
          <w:p w14:paraId="7F324C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喷粉废气由滤芯除尘器处理后引入15m排气筒达标排放（DA003）</w:t>
            </w:r>
          </w:p>
        </w:tc>
        <w:tc>
          <w:tcPr>
            <w:tcW w:w="3311" w:type="dxa"/>
            <w:shd w:val="clear" w:color="auto" w:fill="auto"/>
            <w:vAlign w:val="center"/>
          </w:tcPr>
          <w:p w14:paraId="6C846A1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t>DA00</w:t>
            </w:r>
            <w:r>
              <w:rPr>
                <w:rFonts w:hint="eastAsia" w:eastAsia="宋体"/>
                <w:color w:val="auto"/>
                <w:highlight w:val="none"/>
                <w:lang w:val="en-US" w:eastAsia="zh-CN"/>
              </w:rPr>
              <w:t>3</w:t>
            </w:r>
            <w:r>
              <w:rPr>
                <w:rFonts w:hint="eastAsia" w:eastAsia="宋体"/>
                <w:color w:val="auto"/>
                <w:highlight w:val="none"/>
                <w:lang w:eastAsia="zh-CN"/>
              </w:rPr>
              <w:t>排放颗粒物执行《大气污染物综合排放标准》（GB16297-1996）表2标准；</w:t>
            </w:r>
          </w:p>
        </w:tc>
      </w:tr>
      <w:tr w14:paraId="6DDED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60A600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08C0461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DA004/喷粉固化废气；调漆、喷漆、喷漆固化废气；喷粉、喷漆天然气固化炉燃烧废气</w:t>
            </w:r>
          </w:p>
        </w:tc>
        <w:tc>
          <w:tcPr>
            <w:tcW w:w="1391" w:type="dxa"/>
            <w:shd w:val="clear" w:color="auto" w:fill="auto"/>
            <w:vAlign w:val="center"/>
          </w:tcPr>
          <w:p w14:paraId="05DAB9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ascii="宋体" w:hAnsi="宋体" w:cs="宋体"/>
                <w:color w:val="auto"/>
                <w:szCs w:val="21"/>
                <w:highlight w:val="none"/>
              </w:rPr>
              <w:t>非甲烷总烃、</w:t>
            </w:r>
            <w:r>
              <w:rPr>
                <w:rFonts w:hint="eastAsia" w:ascii="宋体" w:hAnsi="宋体" w:cs="宋体"/>
                <w:color w:val="auto"/>
                <w:szCs w:val="21"/>
                <w:highlight w:val="none"/>
                <w:lang w:val="en-US" w:eastAsia="zh-CN"/>
              </w:rPr>
              <w:t>颗粒物</w:t>
            </w:r>
            <w:r>
              <w:rPr>
                <w:rFonts w:hint="eastAsia" w:eastAsia="宋体"/>
                <w:color w:val="auto"/>
                <w:highlight w:val="none"/>
                <w:lang w:eastAsia="zh-CN"/>
              </w:rPr>
              <w:t>烟（粉）尘、</w:t>
            </w:r>
            <w:r>
              <w:rPr>
                <w:rFonts w:ascii="宋体" w:hAnsi="宋体" w:cs="宋体"/>
                <w:color w:val="auto"/>
                <w:szCs w:val="21"/>
                <w:highlight w:val="none"/>
              </w:rPr>
              <w:t>二氧化硫、氮氧化物</w:t>
            </w:r>
          </w:p>
        </w:tc>
        <w:tc>
          <w:tcPr>
            <w:tcW w:w="2059" w:type="dxa"/>
            <w:shd w:val="clear" w:color="auto" w:fill="auto"/>
            <w:vAlign w:val="center"/>
          </w:tcPr>
          <w:p w14:paraId="038500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rFonts w:hint="eastAsia"/>
                <w:color w:val="auto"/>
                <w:spacing w:val="-8"/>
                <w:sz w:val="21"/>
                <w:lang w:val="en-US" w:eastAsia="zh-CN"/>
              </w:rPr>
              <w:t>喷粉固化废气；调漆、喷漆、喷漆固化废气</w:t>
            </w:r>
            <w:r>
              <w:rPr>
                <w:color w:val="auto"/>
                <w:spacing w:val="-8"/>
                <w:sz w:val="21"/>
              </w:rPr>
              <w:t>经二级活性炭吸附处理后，通过1根</w:t>
            </w:r>
            <w:r>
              <w:rPr>
                <w:rFonts w:hint="eastAsia"/>
                <w:color w:val="auto"/>
                <w:spacing w:val="-8"/>
                <w:sz w:val="21"/>
                <w:lang w:eastAsia="zh-CN"/>
              </w:rPr>
              <w:t>15m</w:t>
            </w:r>
            <w:r>
              <w:rPr>
                <w:color w:val="auto"/>
                <w:spacing w:val="-8"/>
                <w:sz w:val="21"/>
              </w:rPr>
              <w:t>高排气筒达标排放（DA00</w:t>
            </w:r>
            <w:r>
              <w:rPr>
                <w:rFonts w:hint="eastAsia"/>
                <w:color w:val="auto"/>
                <w:spacing w:val="-8"/>
                <w:sz w:val="21"/>
                <w:lang w:val="en-US" w:eastAsia="zh-CN"/>
              </w:rPr>
              <w:t>4</w:t>
            </w:r>
            <w:r>
              <w:rPr>
                <w:color w:val="auto"/>
                <w:spacing w:val="-8"/>
                <w:sz w:val="21"/>
              </w:rPr>
              <w:t>）；燃烧废气通过1根</w:t>
            </w:r>
            <w:r>
              <w:rPr>
                <w:rFonts w:hint="eastAsia"/>
                <w:color w:val="auto"/>
                <w:spacing w:val="-8"/>
                <w:sz w:val="21"/>
                <w:lang w:eastAsia="zh-CN"/>
              </w:rPr>
              <w:t>15m</w:t>
            </w:r>
            <w:r>
              <w:rPr>
                <w:color w:val="auto"/>
                <w:spacing w:val="-8"/>
                <w:sz w:val="21"/>
              </w:rPr>
              <w:t>高排气筒达标排放（DA00</w:t>
            </w:r>
            <w:r>
              <w:rPr>
                <w:rFonts w:hint="eastAsia"/>
                <w:color w:val="auto"/>
                <w:spacing w:val="-8"/>
                <w:sz w:val="21"/>
                <w:lang w:val="en-US" w:eastAsia="zh-CN"/>
              </w:rPr>
              <w:t>4</w:t>
            </w:r>
            <w:r>
              <w:rPr>
                <w:color w:val="auto"/>
                <w:spacing w:val="-8"/>
                <w:sz w:val="21"/>
              </w:rPr>
              <w:t>）；</w:t>
            </w:r>
          </w:p>
        </w:tc>
        <w:tc>
          <w:tcPr>
            <w:tcW w:w="3311" w:type="dxa"/>
            <w:shd w:val="clear" w:color="auto" w:fill="auto"/>
            <w:vAlign w:val="center"/>
          </w:tcPr>
          <w:p w14:paraId="287FF27C">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DA00</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eastAsia="zh-CN"/>
              </w:rPr>
              <w:t>排放非甲烷总烃有组织排放执行</w:t>
            </w:r>
            <w:r>
              <w:rPr>
                <w:rFonts w:hint="eastAsia" w:ascii="Times New Roman" w:hAnsi="Times New Roman" w:eastAsia="宋体" w:cs="Times New Roman"/>
                <w:color w:val="auto"/>
                <w:highlight w:val="none"/>
                <w:lang w:val="en-US" w:eastAsia="zh-CN"/>
              </w:rPr>
              <w:t>《工业涂装工序挥发性有机物排放标准》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中表1标准限值</w:t>
            </w:r>
            <w:r>
              <w:rPr>
                <w:rFonts w:hint="eastAsia" w:cs="Times New Roman"/>
                <w:color w:val="auto"/>
                <w:highlight w:val="none"/>
                <w:lang w:eastAsia="zh-CN"/>
              </w:rPr>
              <w:t>，</w:t>
            </w:r>
            <w:r>
              <w:rPr>
                <w:rFonts w:hint="eastAsia" w:cs="Times New Roman"/>
                <w:color w:val="auto"/>
                <w:highlight w:val="none"/>
                <w:lang w:val="en-US" w:eastAsia="zh-CN"/>
              </w:rPr>
              <w:t>喷漆漆雾</w:t>
            </w:r>
            <w:r>
              <w:rPr>
                <w:rFonts w:hint="eastAsia" w:eastAsia="宋体"/>
                <w:color w:val="auto"/>
                <w:highlight w:val="none"/>
                <w:lang w:eastAsia="zh-CN"/>
              </w:rPr>
              <w:t>颗粒物执行《大气污染物综合排放标准》（GB16297-1996）表2标准；</w:t>
            </w:r>
          </w:p>
          <w:p w14:paraId="16AA14C8">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无组织排放的非甲烷总烃执行《工业涂装工序挥发性有机物排放标准》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中表3、表4标准限值及《挥发性有机物无组织排放控制标准》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 37822-2019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中附录A表A.1标准限值</w:t>
            </w:r>
            <w:r>
              <w:rPr>
                <w:rFonts w:hint="eastAsia" w:ascii="Times New Roman" w:hAnsi="Times New Roman" w:eastAsia="宋体" w:cs="Times New Roman"/>
                <w:color w:val="auto"/>
                <w:highlight w:val="none"/>
                <w:lang w:eastAsia="zh-CN"/>
              </w:rPr>
              <w:t>；</w:t>
            </w:r>
          </w:p>
          <w:p w14:paraId="0C6192BB">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auto"/>
                <w:highlight w:val="none"/>
                <w:lang w:eastAsia="zh-CN"/>
              </w:rPr>
            </w:pPr>
            <w:r>
              <w:rPr>
                <w:rFonts w:hint="eastAsia" w:ascii="Times New Roman" w:hAnsi="Times New Roman" w:eastAsia="宋体" w:cs="Times New Roman"/>
                <w:color w:val="auto"/>
                <w:highlight w:val="none"/>
                <w:lang w:eastAsia="zh-CN"/>
              </w:rPr>
              <w:t>烟（粉）尘、二氧化硫、氮氧化物排放标准执行</w:t>
            </w: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p>
        </w:tc>
      </w:tr>
      <w:tr w14:paraId="0C77B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restart"/>
            <w:vAlign w:val="center"/>
          </w:tcPr>
          <w:p w14:paraId="671B6D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color w:val="auto"/>
                <w:szCs w:val="21"/>
                <w:highlight w:val="none"/>
              </w:rPr>
              <w:t>地表水环境</w:t>
            </w:r>
          </w:p>
        </w:tc>
        <w:tc>
          <w:tcPr>
            <w:tcW w:w="1350" w:type="dxa"/>
            <w:vAlign w:val="center"/>
          </w:tcPr>
          <w:p w14:paraId="4179FF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宋体" w:hAnsi="宋体" w:cs="宋体"/>
                <w:color w:val="auto"/>
                <w:szCs w:val="21"/>
                <w:highlight w:val="none"/>
                <w:lang w:val="en-US"/>
              </w:rPr>
            </w:pPr>
            <w:r>
              <w:rPr>
                <w:rFonts w:hint="eastAsia" w:ascii="Times New Roman" w:hAnsi="Times New Roman" w:cs="Times New Roman"/>
                <w:color w:val="auto"/>
                <w:sz w:val="21"/>
                <w:highlight w:val="none"/>
                <w:lang w:val="en-US" w:eastAsia="zh-CN"/>
              </w:rPr>
              <w:t>生活污水排放口</w:t>
            </w:r>
            <w:r>
              <w:rPr>
                <w:rFonts w:hint="eastAsia" w:cs="Times New Roman"/>
                <w:color w:val="auto"/>
                <w:sz w:val="21"/>
                <w:highlight w:val="none"/>
                <w:lang w:val="en-US" w:eastAsia="zh-CN"/>
              </w:rPr>
              <w:t>DW001</w:t>
            </w:r>
          </w:p>
        </w:tc>
        <w:tc>
          <w:tcPr>
            <w:tcW w:w="1391" w:type="dxa"/>
            <w:vAlign w:val="center"/>
          </w:tcPr>
          <w:p w14:paraId="29CA066A">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auto"/>
                <w:szCs w:val="21"/>
                <w:highlight w:val="none"/>
                <w:lang w:eastAsia="zh-CN"/>
              </w:rPr>
            </w:pPr>
            <w:r>
              <w:rPr>
                <w:color w:val="auto"/>
                <w:szCs w:val="21"/>
                <w:highlight w:val="none"/>
              </w:rPr>
              <w:t>pH、COD、BOD</w:t>
            </w:r>
            <w:r>
              <w:rPr>
                <w:color w:val="auto"/>
                <w:szCs w:val="21"/>
                <w:highlight w:val="none"/>
                <w:vertAlign w:val="subscript"/>
              </w:rPr>
              <w:t>5</w:t>
            </w:r>
            <w:r>
              <w:rPr>
                <w:color w:val="auto"/>
                <w:szCs w:val="21"/>
                <w:highlight w:val="none"/>
              </w:rPr>
              <w:t>、SS、</w:t>
            </w:r>
            <w:r>
              <w:rPr>
                <w:rFonts w:hint="default" w:eastAsia="宋体"/>
                <w:color w:val="auto"/>
                <w:szCs w:val="21"/>
                <w:highlight w:val="none"/>
                <w:lang w:val="en-US" w:eastAsia="zh-CN"/>
              </w:rPr>
              <w:t>NH</w:t>
            </w:r>
            <w:r>
              <w:rPr>
                <w:rFonts w:hint="default" w:eastAsia="宋体"/>
                <w:color w:val="auto"/>
                <w:szCs w:val="21"/>
                <w:highlight w:val="none"/>
                <w:vertAlign w:val="subscript"/>
                <w:lang w:val="en-US" w:eastAsia="zh-CN"/>
              </w:rPr>
              <w:t>3</w:t>
            </w:r>
            <w:r>
              <w:rPr>
                <w:rFonts w:hint="default" w:eastAsia="宋体"/>
                <w:color w:val="auto"/>
                <w:szCs w:val="21"/>
                <w:highlight w:val="none"/>
                <w:lang w:val="en-US" w:eastAsia="zh-CN"/>
              </w:rPr>
              <w:t>-N</w:t>
            </w:r>
            <w:r>
              <w:rPr>
                <w:rFonts w:hint="eastAsia"/>
                <w:color w:val="auto"/>
                <w:szCs w:val="21"/>
                <w:highlight w:val="none"/>
                <w:lang w:eastAsia="zh-CN"/>
              </w:rPr>
              <w:t>、</w:t>
            </w:r>
            <w:r>
              <w:rPr>
                <w:rFonts w:hint="eastAsia" w:ascii="Times New Roman" w:hAnsi="Times New Roman" w:cs="Times New Roman"/>
                <w:color w:val="auto"/>
                <w:sz w:val="21"/>
                <w:highlight w:val="none"/>
                <w:lang w:val="en-US" w:eastAsia="zh-CN"/>
              </w:rPr>
              <w:t>TN</w:t>
            </w:r>
          </w:p>
        </w:tc>
        <w:tc>
          <w:tcPr>
            <w:tcW w:w="2059" w:type="dxa"/>
            <w:vAlign w:val="center"/>
          </w:tcPr>
          <w:p w14:paraId="5C138A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Cs w:val="21"/>
                <w:highlight w:val="none"/>
              </w:rPr>
            </w:pPr>
            <w:r>
              <w:rPr>
                <w:color w:val="auto"/>
                <w:szCs w:val="21"/>
                <w:highlight w:val="none"/>
              </w:rPr>
              <w:t>生活污水经化粪池预处理后排入市政污水管网，送往</w:t>
            </w:r>
            <w:r>
              <w:rPr>
                <w:rFonts w:hint="eastAsia"/>
                <w:color w:val="auto"/>
                <w:szCs w:val="21"/>
                <w:highlight w:val="none"/>
                <w:lang w:eastAsia="zh-CN"/>
              </w:rPr>
              <w:t>福清市第二污水处理厂</w:t>
            </w:r>
            <w:r>
              <w:rPr>
                <w:color w:val="auto"/>
                <w:szCs w:val="21"/>
                <w:highlight w:val="none"/>
              </w:rPr>
              <w:t>集中处理</w:t>
            </w:r>
          </w:p>
        </w:tc>
        <w:tc>
          <w:tcPr>
            <w:tcW w:w="3311" w:type="dxa"/>
            <w:vMerge w:val="restart"/>
            <w:vAlign w:val="center"/>
          </w:tcPr>
          <w:p w14:paraId="7A717D59">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auto"/>
                <w:highlight w:val="none"/>
              </w:rPr>
            </w:pPr>
            <w:r>
              <w:rPr>
                <w:color w:val="auto"/>
                <w:szCs w:val="21"/>
                <w:highlight w:val="none"/>
              </w:rPr>
              <w:t>《污水综合排放标准》（GB8978-1996）表4中的三级标准（NH</w:t>
            </w:r>
            <w:r>
              <w:rPr>
                <w:color w:val="auto"/>
                <w:szCs w:val="21"/>
                <w:highlight w:val="none"/>
                <w:vertAlign w:val="subscript"/>
              </w:rPr>
              <w:t>3</w:t>
            </w:r>
            <w:r>
              <w:rPr>
                <w:color w:val="auto"/>
                <w:szCs w:val="21"/>
                <w:highlight w:val="none"/>
              </w:rPr>
              <w:t>-N</w:t>
            </w:r>
            <w:r>
              <w:rPr>
                <w:rFonts w:hint="eastAsia"/>
                <w:color w:val="auto"/>
                <w:szCs w:val="21"/>
                <w:highlight w:val="none"/>
              </w:rPr>
              <w:t>、TP、TN</w:t>
            </w:r>
            <w:r>
              <w:rPr>
                <w:color w:val="auto"/>
                <w:szCs w:val="21"/>
                <w:highlight w:val="none"/>
              </w:rPr>
              <w:t>参照《污水排入城镇下水道水质标准》（GB/T 31962-2015）表1中B等级标准）</w:t>
            </w:r>
          </w:p>
        </w:tc>
      </w:tr>
      <w:tr w14:paraId="18C88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continue"/>
            <w:vAlign w:val="center"/>
          </w:tcPr>
          <w:p w14:paraId="303242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Cs w:val="21"/>
                <w:highlight w:val="none"/>
              </w:rPr>
            </w:pPr>
          </w:p>
        </w:tc>
        <w:tc>
          <w:tcPr>
            <w:tcW w:w="1350" w:type="dxa"/>
            <w:vAlign w:val="center"/>
          </w:tcPr>
          <w:p w14:paraId="50AA785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生产废水排放口DW002</w:t>
            </w:r>
          </w:p>
        </w:tc>
        <w:tc>
          <w:tcPr>
            <w:tcW w:w="1391" w:type="dxa"/>
            <w:vAlign w:val="center"/>
          </w:tcPr>
          <w:p w14:paraId="073B7B1C">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default" w:eastAsia="宋体"/>
                <w:color w:val="auto"/>
                <w:szCs w:val="21"/>
                <w:highlight w:val="none"/>
                <w:lang w:val="en-US" w:eastAsia="zh-CN"/>
              </w:rPr>
            </w:pPr>
            <w:r>
              <w:rPr>
                <w:rFonts w:hint="default" w:eastAsia="宋体"/>
                <w:color w:val="auto"/>
                <w:szCs w:val="21"/>
                <w:highlight w:val="none"/>
                <w:lang w:val="en-US" w:eastAsia="zh-CN"/>
              </w:rPr>
              <w:t>COD</w:t>
            </w:r>
            <w:r>
              <w:rPr>
                <w:rFonts w:hint="eastAsia"/>
                <w:color w:val="auto"/>
                <w:szCs w:val="21"/>
                <w:highlight w:val="none"/>
                <w:lang w:val="en-US" w:eastAsia="zh-CN"/>
              </w:rPr>
              <w:t>、</w:t>
            </w:r>
            <w:r>
              <w:rPr>
                <w:rFonts w:hint="default" w:eastAsia="宋体"/>
                <w:color w:val="auto"/>
                <w:szCs w:val="21"/>
                <w:highlight w:val="none"/>
                <w:lang w:val="en-US" w:eastAsia="zh-CN"/>
              </w:rPr>
              <w:t>BOD</w:t>
            </w:r>
            <w:r>
              <w:rPr>
                <w:rFonts w:hint="default" w:eastAsia="宋体"/>
                <w:color w:val="auto"/>
                <w:szCs w:val="21"/>
                <w:highlight w:val="none"/>
                <w:vertAlign w:val="subscript"/>
                <w:lang w:val="en-US" w:eastAsia="zh-CN"/>
              </w:rPr>
              <w:t>5</w:t>
            </w:r>
            <w:r>
              <w:rPr>
                <w:rFonts w:hint="default" w:eastAsia="宋体"/>
                <w:color w:val="auto"/>
                <w:szCs w:val="21"/>
                <w:highlight w:val="none"/>
                <w:lang w:val="en-US" w:eastAsia="zh-CN"/>
              </w:rPr>
              <w:t>、SS、石油类</w:t>
            </w:r>
            <w:r>
              <w:rPr>
                <w:rFonts w:hint="eastAsia"/>
                <w:color w:val="auto"/>
                <w:szCs w:val="21"/>
                <w:highlight w:val="none"/>
                <w:lang w:val="en-US" w:eastAsia="zh-CN"/>
              </w:rPr>
              <w:t>、</w:t>
            </w:r>
            <w:r>
              <w:rPr>
                <w:rFonts w:hint="default" w:eastAsia="宋体"/>
                <w:color w:val="auto"/>
                <w:szCs w:val="21"/>
                <w:highlight w:val="none"/>
                <w:lang w:val="en-US" w:eastAsia="zh-CN"/>
              </w:rPr>
              <w:t>LAS</w:t>
            </w:r>
            <w:r>
              <w:rPr>
                <w:rFonts w:hint="eastAsia"/>
                <w:color w:val="auto"/>
                <w:szCs w:val="21"/>
                <w:highlight w:val="none"/>
                <w:lang w:val="en-US" w:eastAsia="zh-CN"/>
              </w:rPr>
              <w:t>、</w:t>
            </w:r>
            <w:r>
              <w:rPr>
                <w:rFonts w:hint="default" w:eastAsia="宋体"/>
                <w:color w:val="auto"/>
                <w:szCs w:val="21"/>
                <w:highlight w:val="none"/>
                <w:lang w:val="en-US" w:eastAsia="zh-CN"/>
              </w:rPr>
              <w:t>NH</w:t>
            </w:r>
            <w:r>
              <w:rPr>
                <w:rFonts w:hint="default" w:eastAsia="宋体"/>
                <w:color w:val="auto"/>
                <w:szCs w:val="21"/>
                <w:highlight w:val="none"/>
                <w:vertAlign w:val="subscript"/>
                <w:lang w:val="en-US" w:eastAsia="zh-CN"/>
              </w:rPr>
              <w:t>3</w:t>
            </w:r>
            <w:r>
              <w:rPr>
                <w:rFonts w:hint="default" w:eastAsia="宋体"/>
                <w:color w:val="auto"/>
                <w:szCs w:val="21"/>
                <w:highlight w:val="none"/>
                <w:lang w:val="en-US" w:eastAsia="zh-CN"/>
              </w:rPr>
              <w:t>-N、TN</w:t>
            </w:r>
          </w:p>
        </w:tc>
        <w:tc>
          <w:tcPr>
            <w:tcW w:w="2059" w:type="dxa"/>
            <w:vAlign w:val="center"/>
          </w:tcPr>
          <w:p w14:paraId="5B1525D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经“</w:t>
            </w:r>
            <w:r>
              <w:rPr>
                <w:rFonts w:hint="eastAsia"/>
                <w:color w:val="auto"/>
                <w:sz w:val="21"/>
                <w:szCs w:val="21"/>
                <w:highlight w:val="none"/>
                <w:lang w:val="en-US" w:eastAsia="zh-CN"/>
              </w:rPr>
              <w:t>物化+A/O+沉淀</w:t>
            </w:r>
            <w:r>
              <w:rPr>
                <w:rFonts w:hint="eastAsia" w:ascii="Times New Roman" w:hAnsi="Times New Roman"/>
                <w:color w:val="auto"/>
                <w:sz w:val="21"/>
                <w:szCs w:val="21"/>
                <w:highlight w:val="none"/>
                <w:lang w:val="en-US" w:eastAsia="zh-CN"/>
              </w:rPr>
              <w:t>”处理后，接市政污水管网</w:t>
            </w:r>
            <w:r>
              <w:rPr>
                <w:color w:val="auto"/>
                <w:szCs w:val="21"/>
                <w:highlight w:val="none"/>
              </w:rPr>
              <w:t>送往</w:t>
            </w:r>
            <w:r>
              <w:rPr>
                <w:rFonts w:hint="eastAsia"/>
                <w:color w:val="auto"/>
                <w:szCs w:val="21"/>
                <w:highlight w:val="none"/>
                <w:lang w:eastAsia="zh-CN"/>
              </w:rPr>
              <w:t>福清市第二污水处理厂</w:t>
            </w:r>
            <w:r>
              <w:rPr>
                <w:color w:val="auto"/>
                <w:szCs w:val="21"/>
                <w:highlight w:val="none"/>
              </w:rPr>
              <w:t>集中处理</w:t>
            </w:r>
          </w:p>
        </w:tc>
        <w:tc>
          <w:tcPr>
            <w:tcW w:w="3311" w:type="dxa"/>
            <w:vMerge w:val="continue"/>
            <w:vAlign w:val="center"/>
          </w:tcPr>
          <w:p w14:paraId="5F27386A">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auto"/>
                <w:szCs w:val="21"/>
                <w:highlight w:val="none"/>
                <w:lang w:val="en-US" w:eastAsia="zh-CN"/>
              </w:rPr>
            </w:pPr>
          </w:p>
        </w:tc>
      </w:tr>
      <w:tr w14:paraId="0717D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vAlign w:val="center"/>
          </w:tcPr>
          <w:p w14:paraId="206F9A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声环境</w:t>
            </w:r>
          </w:p>
        </w:tc>
        <w:tc>
          <w:tcPr>
            <w:tcW w:w="1350" w:type="dxa"/>
            <w:vAlign w:val="center"/>
          </w:tcPr>
          <w:p w14:paraId="4236DC00">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厂界噪声</w:t>
            </w:r>
          </w:p>
        </w:tc>
        <w:tc>
          <w:tcPr>
            <w:tcW w:w="1391" w:type="dxa"/>
            <w:vAlign w:val="center"/>
          </w:tcPr>
          <w:p w14:paraId="6DC79B06">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连续等效A声级</w:t>
            </w:r>
          </w:p>
        </w:tc>
        <w:tc>
          <w:tcPr>
            <w:tcW w:w="2059" w:type="dxa"/>
            <w:vAlign w:val="center"/>
          </w:tcPr>
          <w:p w14:paraId="7D3B0D8C">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设备采取隔声降噪减振和消声等措施</w:t>
            </w:r>
          </w:p>
        </w:tc>
        <w:tc>
          <w:tcPr>
            <w:tcW w:w="3311" w:type="dxa"/>
            <w:vAlign w:val="center"/>
          </w:tcPr>
          <w:p w14:paraId="531C8CF2">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Cs w:val="21"/>
                <w:highlight w:val="none"/>
                <w:lang w:eastAsia="zh-CN"/>
              </w:rPr>
            </w:pPr>
            <w:r>
              <w:rPr>
                <w:rFonts w:hint="eastAsia"/>
                <w:color w:val="auto"/>
                <w:highlight w:val="none"/>
                <w:lang w:val="en-US" w:eastAsia="zh-CN"/>
              </w:rPr>
              <w:t>厂界执行</w:t>
            </w:r>
            <w:r>
              <w:rPr>
                <w:color w:val="auto"/>
                <w:highlight w:val="none"/>
              </w:rPr>
              <w:t>《工业企业厂界环境噪声排放标准》</w:t>
            </w:r>
            <w:r>
              <w:rPr>
                <w:rFonts w:hint="eastAsia"/>
                <w:color w:val="auto"/>
                <w:highlight w:val="none"/>
                <w:lang w:eastAsia="zh-CN"/>
              </w:rPr>
              <w:t>（</w:t>
            </w:r>
            <w:r>
              <w:rPr>
                <w:color w:val="auto"/>
                <w:highlight w:val="none"/>
              </w:rPr>
              <w:t>GB12348-2008</w:t>
            </w:r>
            <w:r>
              <w:rPr>
                <w:rFonts w:hint="eastAsia"/>
                <w:color w:val="auto"/>
                <w:highlight w:val="none"/>
                <w:lang w:eastAsia="zh-CN"/>
              </w:rPr>
              <w:t>）</w:t>
            </w:r>
            <w:r>
              <w:rPr>
                <w:rFonts w:hint="eastAsia"/>
                <w:color w:val="auto"/>
                <w:highlight w:val="none"/>
                <w:lang w:val="en-US" w:eastAsia="zh-CN"/>
              </w:rPr>
              <w:t>3</w:t>
            </w:r>
            <w:r>
              <w:rPr>
                <w:color w:val="auto"/>
                <w:highlight w:val="none"/>
              </w:rPr>
              <w:t>类标准</w:t>
            </w:r>
            <w:r>
              <w:rPr>
                <w:rFonts w:hint="eastAsia"/>
                <w:color w:val="auto"/>
                <w:sz w:val="21"/>
                <w:szCs w:val="21"/>
                <w:highlight w:val="none"/>
              </w:rPr>
              <w:t>限值</w:t>
            </w:r>
          </w:p>
        </w:tc>
      </w:tr>
      <w:tr w14:paraId="13F98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291E1572">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电磁</w:t>
            </w:r>
          </w:p>
          <w:p w14:paraId="186E1C63">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辐射</w:t>
            </w:r>
          </w:p>
        </w:tc>
        <w:tc>
          <w:tcPr>
            <w:tcW w:w="1350" w:type="dxa"/>
            <w:vAlign w:val="center"/>
          </w:tcPr>
          <w:p w14:paraId="468BDBCD">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1391" w:type="dxa"/>
            <w:vAlign w:val="center"/>
          </w:tcPr>
          <w:p w14:paraId="0AD97AA9">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2059" w:type="dxa"/>
            <w:vAlign w:val="center"/>
          </w:tcPr>
          <w:p w14:paraId="4E9AE55E">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3311" w:type="dxa"/>
            <w:vAlign w:val="center"/>
          </w:tcPr>
          <w:p w14:paraId="3AFDF869">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r>
      <w:tr w14:paraId="4921C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860" w:type="dxa"/>
            <w:vAlign w:val="center"/>
          </w:tcPr>
          <w:p w14:paraId="2ACDDF45">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固体</w:t>
            </w:r>
          </w:p>
          <w:p w14:paraId="4D8E168F">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废物</w:t>
            </w:r>
          </w:p>
        </w:tc>
        <w:tc>
          <w:tcPr>
            <w:tcW w:w="8111" w:type="dxa"/>
            <w:gridSpan w:val="4"/>
            <w:vAlign w:val="center"/>
          </w:tcPr>
          <w:p w14:paraId="2AF715A9">
            <w:pPr>
              <w:pageBreakBefore w:val="0"/>
              <w:kinsoku/>
              <w:overflowPunct/>
              <w:topLinePunct w:val="0"/>
              <w:bidi w:val="0"/>
              <w:adjustRightInd w:val="0"/>
              <w:snapToGrid w:val="0"/>
              <w:spacing w:line="240" w:lineRule="auto"/>
              <w:ind w:left="0" w:firstLine="0" w:firstLineChars="0"/>
              <w:textAlignment w:val="auto"/>
              <w:rPr>
                <w:rFonts w:hint="eastAsia" w:ascii="宋体" w:hAnsi="宋体" w:eastAsia="宋体" w:cs="宋体"/>
                <w:color w:val="auto"/>
                <w:szCs w:val="21"/>
                <w:highlight w:val="none"/>
                <w:lang w:val="en-US" w:eastAsia="zh-CN"/>
              </w:rPr>
            </w:pPr>
            <w:r>
              <w:rPr>
                <w:rFonts w:hint="eastAsia" w:cs="宋体"/>
                <w:color w:val="auto"/>
                <w:szCs w:val="21"/>
                <w:highlight w:val="none"/>
                <w:lang w:bidi="ar"/>
              </w:rPr>
              <w:t>一般工业固废：设置一般工业固废暂存间，妥善分类收集后回用于生产或外售综合利用；满足</w:t>
            </w:r>
            <w:r>
              <w:rPr>
                <w:rFonts w:hint="eastAsia"/>
                <w:color w:val="auto"/>
                <w:highlight w:val="none"/>
              </w:rPr>
              <w:t>《一般工业固体废物贮存和填埋污染控制标准》（GB18599-2020）</w:t>
            </w:r>
            <w:r>
              <w:rPr>
                <w:rFonts w:hint="eastAsia" w:cs="宋体"/>
                <w:color w:val="auto"/>
                <w:szCs w:val="21"/>
                <w:highlight w:val="none"/>
                <w:lang w:bidi="ar"/>
              </w:rPr>
              <w:t>的相关要求；危险废物：</w:t>
            </w:r>
            <w:r>
              <w:rPr>
                <w:rFonts w:hint="eastAsia" w:cs="宋体"/>
                <w:color w:val="auto"/>
                <w:szCs w:val="21"/>
                <w:highlight w:val="none"/>
                <w:lang w:val="en-US" w:eastAsia="zh-CN" w:bidi="ar"/>
              </w:rPr>
              <w:t>建设危废储存库1座</w:t>
            </w:r>
            <w:r>
              <w:rPr>
                <w:rFonts w:hint="eastAsia" w:cs="宋体"/>
                <w:color w:val="auto"/>
                <w:szCs w:val="21"/>
                <w:highlight w:val="none"/>
                <w:lang w:bidi="ar"/>
              </w:rPr>
              <w:t>。危险废物分类收集，暂存在</w:t>
            </w:r>
            <w:r>
              <w:rPr>
                <w:rFonts w:hint="eastAsia" w:cs="宋体"/>
                <w:color w:val="auto"/>
                <w:szCs w:val="21"/>
                <w:highlight w:val="none"/>
                <w:lang w:eastAsia="zh-CN" w:bidi="ar"/>
              </w:rPr>
              <w:t>危废储存库</w:t>
            </w:r>
            <w:r>
              <w:rPr>
                <w:rFonts w:hint="eastAsia" w:cs="宋体"/>
                <w:color w:val="auto"/>
                <w:szCs w:val="21"/>
                <w:highlight w:val="none"/>
                <w:lang w:bidi="ar"/>
              </w:rPr>
              <w:t>，定期委托有资质单位处置，危险废物收集、暂存、装运等需满足《危险废物贮存污染控制标准》</w:t>
            </w:r>
            <w:r>
              <w:rPr>
                <w:rFonts w:hint="eastAsia" w:cs="宋体"/>
                <w:color w:val="auto"/>
                <w:szCs w:val="21"/>
                <w:highlight w:val="none"/>
                <w:lang w:eastAsia="zh-CN" w:bidi="ar"/>
              </w:rPr>
              <w:t>（</w:t>
            </w:r>
            <w:r>
              <w:rPr>
                <w:color w:val="auto"/>
                <w:szCs w:val="21"/>
                <w:highlight w:val="none"/>
                <w:lang w:bidi="ar"/>
              </w:rPr>
              <w:t>GB18597-20</w:t>
            </w:r>
            <w:r>
              <w:rPr>
                <w:rFonts w:hint="eastAsia"/>
                <w:color w:val="auto"/>
                <w:szCs w:val="21"/>
                <w:highlight w:val="none"/>
                <w:lang w:val="en-US" w:eastAsia="zh-CN" w:bidi="ar"/>
              </w:rPr>
              <w:t>23）</w:t>
            </w:r>
            <w:r>
              <w:rPr>
                <w:rFonts w:hint="eastAsia" w:cs="宋体"/>
                <w:color w:val="auto"/>
                <w:szCs w:val="21"/>
                <w:highlight w:val="none"/>
                <w:lang w:bidi="ar"/>
              </w:rPr>
              <w:t>。危废转移应严格按《危险废物转移联单管理办法》要求执行；</w:t>
            </w:r>
            <w:r>
              <w:rPr>
                <w:rFonts w:hint="eastAsia"/>
                <w:color w:val="auto"/>
                <w:szCs w:val="21"/>
                <w:highlight w:val="none"/>
                <w:lang w:bidi="ar"/>
              </w:rPr>
              <w:t>生活垃圾：由垃圾桶收集，由市政环卫部门统一清运处理</w:t>
            </w:r>
            <w:r>
              <w:rPr>
                <w:rFonts w:hint="eastAsia"/>
                <w:color w:val="auto"/>
                <w:szCs w:val="21"/>
                <w:highlight w:val="none"/>
                <w:lang w:val="en-US" w:eastAsia="zh-CN" w:bidi="ar"/>
              </w:rPr>
              <w:t>。</w:t>
            </w:r>
          </w:p>
        </w:tc>
      </w:tr>
      <w:tr w14:paraId="12557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60" w:type="dxa"/>
            <w:vAlign w:val="center"/>
          </w:tcPr>
          <w:p w14:paraId="3487BDFF">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土壤及地下水污染防治措施</w:t>
            </w:r>
          </w:p>
        </w:tc>
        <w:tc>
          <w:tcPr>
            <w:tcW w:w="8111" w:type="dxa"/>
            <w:gridSpan w:val="4"/>
            <w:vAlign w:val="center"/>
          </w:tcPr>
          <w:p w14:paraId="63FB4B9E">
            <w:pPr>
              <w:pStyle w:val="46"/>
              <w:pageBreakBefore w:val="0"/>
              <w:kinsoku/>
              <w:overflowPunct/>
              <w:topLinePunct w:val="0"/>
              <w:bidi w:val="0"/>
              <w:spacing w:line="240" w:lineRule="auto"/>
              <w:ind w:left="0" w:leftChars="0" w:firstLine="0" w:firstLineChars="0"/>
              <w:textAlignment w:val="auto"/>
              <w:rPr>
                <w:rFonts w:ascii="宋体" w:hAnsi="宋体" w:cs="宋体"/>
                <w:color w:val="auto"/>
                <w:sz w:val="21"/>
                <w:szCs w:val="21"/>
                <w:highlight w:val="none"/>
              </w:rPr>
            </w:pPr>
            <w:r>
              <w:rPr>
                <w:color w:val="auto"/>
                <w:sz w:val="21"/>
                <w:szCs w:val="21"/>
                <w:highlight w:val="none"/>
              </w:rPr>
              <w:t>按照</w:t>
            </w:r>
            <w:r>
              <w:rPr>
                <w:rFonts w:hint="eastAsia"/>
                <w:color w:val="auto"/>
                <w:sz w:val="21"/>
                <w:szCs w:val="21"/>
                <w:highlight w:val="none"/>
                <w:lang w:eastAsia="zh-CN"/>
              </w:rPr>
              <w:t>“</w:t>
            </w:r>
            <w:r>
              <w:rPr>
                <w:color w:val="auto"/>
                <w:sz w:val="21"/>
                <w:szCs w:val="21"/>
                <w:highlight w:val="none"/>
              </w:rPr>
              <w:t>源头控制、分区防治、污染监控、应急响应</w:t>
            </w:r>
            <w:r>
              <w:rPr>
                <w:rFonts w:hint="eastAsia"/>
                <w:color w:val="auto"/>
                <w:sz w:val="21"/>
                <w:szCs w:val="21"/>
                <w:highlight w:val="none"/>
                <w:lang w:eastAsia="zh-CN"/>
              </w:rPr>
              <w:t>”</w:t>
            </w:r>
            <w:r>
              <w:rPr>
                <w:color w:val="auto"/>
                <w:sz w:val="21"/>
                <w:szCs w:val="21"/>
                <w:highlight w:val="none"/>
              </w:rPr>
              <w:t>相结合的原则全阶段进行控制</w:t>
            </w:r>
            <w:r>
              <w:rPr>
                <w:rFonts w:hint="eastAsia"/>
                <w:color w:val="auto"/>
                <w:sz w:val="21"/>
                <w:szCs w:val="21"/>
                <w:highlight w:val="none"/>
              </w:rPr>
              <w:t>。</w:t>
            </w:r>
          </w:p>
        </w:tc>
      </w:tr>
      <w:tr w14:paraId="0FB1B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60" w:type="dxa"/>
            <w:vAlign w:val="center"/>
          </w:tcPr>
          <w:p w14:paraId="005FA5D3">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生态保护措施</w:t>
            </w:r>
          </w:p>
        </w:tc>
        <w:tc>
          <w:tcPr>
            <w:tcW w:w="8111" w:type="dxa"/>
            <w:gridSpan w:val="4"/>
            <w:vAlign w:val="center"/>
          </w:tcPr>
          <w:p w14:paraId="5E7F87EC">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r>
      <w:tr w14:paraId="2F762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60E82D2A">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pacing w:val="-8"/>
                <w:szCs w:val="21"/>
                <w:highlight w:val="none"/>
              </w:rPr>
            </w:pPr>
            <w:r>
              <w:rPr>
                <w:rFonts w:hint="eastAsia" w:ascii="宋体" w:hAnsi="宋体" w:cs="宋体"/>
                <w:color w:val="auto"/>
                <w:spacing w:val="-8"/>
                <w:szCs w:val="21"/>
                <w:highlight w:val="none"/>
              </w:rPr>
              <w:t>环境风险防范措施</w:t>
            </w:r>
          </w:p>
        </w:tc>
        <w:tc>
          <w:tcPr>
            <w:tcW w:w="8111" w:type="dxa"/>
            <w:gridSpan w:val="4"/>
            <w:vAlign w:val="center"/>
          </w:tcPr>
          <w:p w14:paraId="5D9D0D92">
            <w:pPr>
              <w:pStyle w:val="46"/>
              <w:pageBreakBefore w:val="0"/>
              <w:kinsoku/>
              <w:overflowPunct/>
              <w:topLinePunct w:val="0"/>
              <w:bidi w:val="0"/>
              <w:spacing w:line="240" w:lineRule="auto"/>
              <w:ind w:left="0" w:firstLine="0" w:firstLineChars="0"/>
              <w:textAlignment w:val="auto"/>
              <w:rPr>
                <w:rFonts w:hint="eastAsia"/>
                <w:color w:val="auto"/>
                <w:sz w:val="21"/>
                <w:szCs w:val="21"/>
                <w:highlight w:val="none"/>
              </w:rPr>
            </w:pPr>
            <w:r>
              <w:rPr>
                <w:rFonts w:hint="eastAsia"/>
                <w:color w:val="auto"/>
                <w:sz w:val="21"/>
                <w:szCs w:val="21"/>
                <w:highlight w:val="none"/>
              </w:rPr>
              <w:t>①</w:t>
            </w:r>
            <w:r>
              <w:rPr>
                <w:rFonts w:ascii="Times New Roman" w:hAnsi="Times New Roman" w:eastAsia="宋体" w:cs="Times New Roman"/>
                <w:color w:val="auto"/>
                <w:sz w:val="21"/>
                <w:szCs w:val="21"/>
                <w:highlight w:val="none"/>
                <w:lang w:val="en-US" w:eastAsia="zh-CN"/>
              </w:rPr>
              <w:t>生产车间、仓库设置有消防设备</w:t>
            </w:r>
            <w:r>
              <w:rPr>
                <w:rFonts w:hint="eastAsia" w:ascii="Times New Roman" w:hAnsi="Times New Roman" w:cs="Times New Roman"/>
                <w:color w:val="auto"/>
                <w:sz w:val="21"/>
                <w:szCs w:val="21"/>
                <w:highlight w:val="none"/>
                <w:lang w:val="en-US" w:eastAsia="zh-CN"/>
              </w:rPr>
              <w:t>。</w:t>
            </w:r>
          </w:p>
          <w:p w14:paraId="4962C13D">
            <w:pPr>
              <w:pStyle w:val="46"/>
              <w:pageBreakBefore w:val="0"/>
              <w:kinsoku/>
              <w:overflowPunct/>
              <w:topLinePunct w:val="0"/>
              <w:bidi w:val="0"/>
              <w:spacing w:line="240" w:lineRule="auto"/>
              <w:ind w:left="0" w:firstLine="0" w:firstLineChars="0"/>
              <w:textAlignment w:val="auto"/>
              <w:rPr>
                <w:color w:val="auto"/>
                <w:sz w:val="21"/>
                <w:szCs w:val="21"/>
                <w:highlight w:val="none"/>
              </w:rPr>
            </w:pPr>
            <w:r>
              <w:rPr>
                <w:rFonts w:hint="eastAsia"/>
                <w:color w:val="auto"/>
                <w:sz w:val="21"/>
                <w:szCs w:val="21"/>
                <w:highlight w:val="none"/>
              </w:rPr>
              <w:t>②</w:t>
            </w:r>
            <w:r>
              <w:rPr>
                <w:color w:val="auto"/>
                <w:sz w:val="21"/>
                <w:szCs w:val="21"/>
                <w:highlight w:val="none"/>
              </w:rPr>
              <w:t>加强职工管理，进行必要的安全消防教育，并做好个人防护。</w:t>
            </w:r>
          </w:p>
          <w:p w14:paraId="4DE22F84">
            <w:pPr>
              <w:pStyle w:val="46"/>
              <w:pageBreakBefore w:val="0"/>
              <w:kinsoku/>
              <w:overflowPunct/>
              <w:topLinePunct w:val="0"/>
              <w:bidi w:val="0"/>
              <w:spacing w:line="240" w:lineRule="auto"/>
              <w:ind w:left="0" w:firstLine="0" w:firstLineChars="0"/>
              <w:textAlignment w:val="auto"/>
              <w:rPr>
                <w:color w:val="auto"/>
                <w:sz w:val="21"/>
                <w:szCs w:val="21"/>
                <w:highlight w:val="none"/>
              </w:rPr>
            </w:pPr>
            <w:r>
              <w:rPr>
                <w:rFonts w:hint="eastAsia"/>
                <w:color w:val="auto"/>
                <w:sz w:val="21"/>
                <w:szCs w:val="21"/>
                <w:highlight w:val="none"/>
              </w:rPr>
              <w:t>③</w:t>
            </w:r>
            <w:r>
              <w:rPr>
                <w:color w:val="auto"/>
                <w:sz w:val="21"/>
                <w:szCs w:val="21"/>
                <w:highlight w:val="none"/>
              </w:rPr>
              <w:t>企业应加强设备管理，确保设备完好，并制定严格的操作、管理制度，工作人员应培训上岗，定期对池体进行检查，杜绝“跑、冒、滴、漏”的发生。</w:t>
            </w:r>
          </w:p>
          <w:p w14:paraId="7606ED0A">
            <w:pPr>
              <w:pStyle w:val="46"/>
              <w:pageBreakBefore w:val="0"/>
              <w:kinsoku/>
              <w:overflowPunct/>
              <w:topLinePunct w:val="0"/>
              <w:bidi w:val="0"/>
              <w:spacing w:line="240" w:lineRule="auto"/>
              <w:ind w:left="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rPr>
              <w:t>④</w:t>
            </w:r>
            <w:r>
              <w:rPr>
                <w:rFonts w:ascii="Times New Roman" w:hAnsi="Times New Roman" w:eastAsia="宋体" w:cs="Times New Roman"/>
                <w:color w:val="auto"/>
                <w:sz w:val="21"/>
                <w:szCs w:val="21"/>
                <w:highlight w:val="none"/>
                <w:lang w:val="en-US" w:eastAsia="zh-CN"/>
              </w:rPr>
              <w:t>生产车间应进行地面硬化，确保项目</w:t>
            </w:r>
            <w:r>
              <w:rPr>
                <w:rFonts w:hint="eastAsia" w:ascii="Times New Roman" w:hAnsi="Times New Roman" w:eastAsia="宋体" w:cs="Times New Roman"/>
                <w:color w:val="auto"/>
                <w:sz w:val="21"/>
                <w:szCs w:val="21"/>
                <w:highlight w:val="none"/>
                <w:lang w:val="en-US" w:eastAsia="zh-CN"/>
              </w:rPr>
              <w:t>原料</w:t>
            </w:r>
            <w:r>
              <w:rPr>
                <w:rFonts w:hint="eastAsia" w:cs="Times New Roman"/>
                <w:color w:val="auto"/>
                <w:sz w:val="21"/>
                <w:szCs w:val="21"/>
                <w:highlight w:val="none"/>
                <w:lang w:val="en-US" w:eastAsia="zh-CN"/>
              </w:rPr>
              <w:t>贮存区</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val="en-US" w:eastAsia="zh-CN"/>
              </w:rPr>
              <w:t>生产设备等发生</w:t>
            </w:r>
            <w:r>
              <w:rPr>
                <w:rFonts w:hint="eastAsia" w:ascii="Times New Roman" w:hAnsi="Times New Roman" w:eastAsia="宋体" w:cs="Times New Roman"/>
                <w:color w:val="auto"/>
                <w:sz w:val="21"/>
                <w:szCs w:val="21"/>
                <w:highlight w:val="none"/>
                <w:lang w:val="en-US" w:eastAsia="zh-CN"/>
              </w:rPr>
              <w:t>泄漏</w:t>
            </w:r>
            <w:r>
              <w:rPr>
                <w:rFonts w:ascii="Times New Roman" w:hAnsi="Times New Roman" w:eastAsia="宋体" w:cs="Times New Roman"/>
                <w:color w:val="auto"/>
                <w:sz w:val="21"/>
                <w:szCs w:val="21"/>
                <w:highlight w:val="none"/>
                <w:lang w:val="en-US" w:eastAsia="zh-CN"/>
              </w:rPr>
              <w:t>，物料不会对土壤及地下水造成污染；</w:t>
            </w:r>
            <w:r>
              <w:rPr>
                <w:rFonts w:hint="eastAsia"/>
                <w:color w:val="auto"/>
                <w:sz w:val="21"/>
                <w:szCs w:val="21"/>
                <w:highlight w:val="none"/>
                <w:lang w:val="en-US" w:eastAsia="zh-CN"/>
              </w:rPr>
              <w:t>危废储存库</w:t>
            </w:r>
            <w:r>
              <w:rPr>
                <w:color w:val="auto"/>
                <w:sz w:val="21"/>
                <w:szCs w:val="21"/>
                <w:highlight w:val="none"/>
              </w:rPr>
              <w:t>应涂上环氧树脂防渗材料。</w:t>
            </w:r>
          </w:p>
        </w:tc>
      </w:tr>
      <w:tr w14:paraId="2CB3B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dxa"/>
            <w:vAlign w:val="center"/>
          </w:tcPr>
          <w:p w14:paraId="151C7908">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pacing w:val="-8"/>
                <w:szCs w:val="21"/>
                <w:highlight w:val="none"/>
              </w:rPr>
            </w:pPr>
            <w:r>
              <w:rPr>
                <w:rFonts w:hint="eastAsia" w:ascii="宋体" w:hAnsi="宋体" w:cs="宋体"/>
                <w:color w:val="auto"/>
                <w:spacing w:val="-8"/>
                <w:szCs w:val="21"/>
                <w:highlight w:val="none"/>
              </w:rPr>
              <w:t>其他环境管理要求</w:t>
            </w:r>
          </w:p>
        </w:tc>
        <w:tc>
          <w:tcPr>
            <w:tcW w:w="8111" w:type="dxa"/>
            <w:gridSpan w:val="4"/>
            <w:vAlign w:val="center"/>
          </w:tcPr>
          <w:p w14:paraId="2F5CC06F">
            <w:pPr>
              <w:pStyle w:val="30"/>
              <w:pageBreakBefore w:val="0"/>
              <w:widowControl w:val="0"/>
              <w:kinsoku/>
              <w:overflowPunct/>
              <w:topLinePunct w:val="0"/>
              <w:bidi w:val="0"/>
              <w:spacing w:before="0" w:beforeAutospacing="0" w:after="0" w:afterAutospacing="0" w:line="240" w:lineRule="auto"/>
              <w:ind w:left="0" w:firstLine="0" w:firstLineChars="0"/>
              <w:textAlignment w:val="auto"/>
              <w:rPr>
                <w:rFonts w:hint="eastAsia" w:ascii="Times New Roman" w:hAnsi="Times New Roman"/>
                <w:color w:val="auto"/>
                <w:sz w:val="21"/>
                <w:szCs w:val="21"/>
                <w:highlight w:val="none"/>
              </w:rPr>
            </w:pPr>
          </w:p>
          <w:p w14:paraId="16DFE977">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①根据《固定污染源排污许可分类管理名录（2019年版）》相关内容可知，本项目需执行登记管理，项目竣工后应当在全国排污许可证管理信息平台填报。</w:t>
            </w:r>
          </w:p>
          <w:p w14:paraId="5606FBD9">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②项目需按《建设项目竣工环境保护验收技术指南污染影响类》（生态环境部令第9号）要求完成竣工环保验收。</w:t>
            </w:r>
          </w:p>
          <w:p w14:paraId="26169FAF">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③项目竣工后，应当根据建设实际情况对厂内进行应急预案编制。</w:t>
            </w:r>
          </w:p>
          <w:p w14:paraId="286FBA12">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sz w:val="21"/>
                <w:szCs w:val="21"/>
                <w:highlight w:val="none"/>
              </w:rPr>
              <w:t>④</w:t>
            </w:r>
            <w:r>
              <w:rPr>
                <w:rFonts w:hint="eastAsia"/>
                <w:color w:val="auto"/>
                <w:kern w:val="0"/>
                <w:sz w:val="21"/>
                <w:szCs w:val="21"/>
                <w:highlight w:val="none"/>
                <w:lang w:val="en-US" w:eastAsia="zh-CN"/>
              </w:rPr>
              <w:t>环保投资估算：</w:t>
            </w:r>
          </w:p>
          <w:p w14:paraId="42BB4430">
            <w:pPr>
              <w:pStyle w:val="6"/>
              <w:pageBreakBefore w:val="0"/>
              <w:numPr>
                <w:ilvl w:val="4"/>
                <w:numId w:val="0"/>
              </w:numPr>
              <w:kinsoku/>
              <w:overflowPunct/>
              <w:topLinePunct w:val="0"/>
              <w:bidi w:val="0"/>
              <w:spacing w:before="0" w:after="0" w:line="240" w:lineRule="auto"/>
              <w:ind w:left="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表5.1-1 </w:t>
            </w:r>
            <w:r>
              <w:rPr>
                <w:rFonts w:hint="default" w:ascii="Times New Roman" w:hAnsi="Times New Roman" w:eastAsia="宋体" w:cs="Times New Roman"/>
                <w:b/>
                <w:bCs/>
                <w:color w:val="auto"/>
                <w:kern w:val="2"/>
                <w:sz w:val="21"/>
                <w:szCs w:val="21"/>
                <w:highlight w:val="none"/>
                <w:lang w:val="en-US" w:eastAsia="zh-CN" w:bidi="ar-SA"/>
              </w:rPr>
              <w:t xml:space="preserve"> 项目环保投资估算表</w:t>
            </w:r>
          </w:p>
          <w:tbl>
            <w:tblPr>
              <w:tblStyle w:val="35"/>
              <w:tblW w:w="789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2000"/>
              <w:gridCol w:w="2704"/>
              <w:gridCol w:w="1974"/>
            </w:tblGrid>
            <w:tr w14:paraId="6C6ED7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tcBorders>
                    <w:bottom w:val="single" w:color="auto" w:sz="8" w:space="0"/>
                  </w:tcBorders>
                  <w:vAlign w:val="center"/>
                </w:tcPr>
                <w:p w14:paraId="0C52A3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类型</w:t>
                  </w:r>
                </w:p>
              </w:tc>
              <w:tc>
                <w:tcPr>
                  <w:tcW w:w="2000" w:type="dxa"/>
                  <w:tcBorders>
                    <w:bottom w:val="single" w:color="auto" w:sz="8" w:space="0"/>
                  </w:tcBorders>
                  <w:vAlign w:val="center"/>
                </w:tcPr>
                <w:p w14:paraId="260513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处理对象</w:t>
                  </w:r>
                </w:p>
              </w:tc>
              <w:tc>
                <w:tcPr>
                  <w:tcW w:w="2704" w:type="dxa"/>
                  <w:tcBorders>
                    <w:bottom w:val="single" w:color="auto" w:sz="8" w:space="0"/>
                  </w:tcBorders>
                  <w:vAlign w:val="center"/>
                </w:tcPr>
                <w:p w14:paraId="12DF41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处理措施/设备</w:t>
                  </w:r>
                </w:p>
              </w:tc>
              <w:tc>
                <w:tcPr>
                  <w:tcW w:w="1974" w:type="dxa"/>
                  <w:tcBorders>
                    <w:bottom w:val="single" w:color="auto" w:sz="8" w:space="0"/>
                  </w:tcBorders>
                  <w:vAlign w:val="center"/>
                </w:tcPr>
                <w:p w14:paraId="5BB7F9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投资（万元）</w:t>
                  </w:r>
                </w:p>
              </w:tc>
            </w:tr>
            <w:tr w14:paraId="5D529E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restart"/>
                  <w:tcBorders>
                    <w:top w:val="single" w:color="auto" w:sz="8" w:space="0"/>
                    <w:tl2br w:val="nil"/>
                    <w:tr2bl w:val="nil"/>
                  </w:tcBorders>
                  <w:vAlign w:val="center"/>
                </w:tcPr>
                <w:p w14:paraId="6F28DD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废气</w:t>
                  </w:r>
                </w:p>
              </w:tc>
              <w:tc>
                <w:tcPr>
                  <w:tcW w:w="2000" w:type="dxa"/>
                  <w:tcBorders>
                    <w:top w:val="single" w:color="auto" w:sz="8" w:space="0"/>
                    <w:tl2br w:val="nil"/>
                    <w:tr2bl w:val="nil"/>
                  </w:tcBorders>
                  <w:shd w:val="clear" w:color="auto" w:fill="auto"/>
                  <w:vAlign w:val="center"/>
                </w:tcPr>
                <w:p w14:paraId="7B77D98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电泳、固化废气</w:t>
                  </w:r>
                </w:p>
              </w:tc>
              <w:tc>
                <w:tcPr>
                  <w:tcW w:w="2704" w:type="dxa"/>
                  <w:tcBorders>
                    <w:top w:val="single" w:color="auto" w:sz="8" w:space="0"/>
                    <w:tl2br w:val="nil"/>
                    <w:tr2bl w:val="nil"/>
                  </w:tcBorders>
                  <w:vAlign w:val="center"/>
                </w:tcPr>
                <w:p w14:paraId="2E5F6FE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ascii="Times New Roman" w:hAnsi="Times New Roman" w:eastAsia="宋体"/>
                      <w:color w:val="auto"/>
                      <w:spacing w:val="7"/>
                      <w:sz w:val="21"/>
                    </w:rPr>
                    <w:t>电泳、固化废气经</w:t>
                  </w:r>
                  <w:r>
                    <w:rPr>
                      <w:rFonts w:hint="eastAsia" w:ascii="Times New Roman" w:hAnsi="Times New Roman"/>
                      <w:color w:val="auto"/>
                      <w:spacing w:val="7"/>
                      <w:sz w:val="21"/>
                      <w:lang w:eastAsia="zh-CN"/>
                    </w:rPr>
                    <w:t>喷淋塔+过滤棉+二级活性炭吸附</w:t>
                  </w:r>
                  <w:r>
                    <w:rPr>
                      <w:rFonts w:ascii="Times New Roman" w:hAnsi="Times New Roman" w:eastAsia="宋体"/>
                      <w:color w:val="auto"/>
                      <w:spacing w:val="7"/>
                      <w:sz w:val="21"/>
                    </w:rPr>
                    <w:t>处理后，通</w:t>
                  </w:r>
                  <w:r>
                    <w:rPr>
                      <w:rFonts w:ascii="Times New Roman" w:hAnsi="Times New Roman" w:eastAsia="宋体"/>
                      <w:color w:val="auto"/>
                      <w:spacing w:val="5"/>
                      <w:sz w:val="21"/>
                    </w:rPr>
                    <w:t>过</w:t>
                  </w:r>
                  <w:r>
                    <w:rPr>
                      <w:rFonts w:ascii="Times New Roman" w:hAnsi="Times New Roman" w:eastAsia="宋体" w:cs="Times New Roman"/>
                      <w:color w:val="auto"/>
                      <w:spacing w:val="5"/>
                      <w:sz w:val="21"/>
                    </w:rPr>
                    <w:t>1</w:t>
                  </w:r>
                  <w:r>
                    <w:rPr>
                      <w:rFonts w:ascii="Times New Roman" w:hAnsi="Times New Roman" w:eastAsia="宋体"/>
                      <w:color w:val="auto"/>
                      <w:spacing w:val="5"/>
                      <w:sz w:val="21"/>
                    </w:rPr>
                    <w:t>根</w:t>
                  </w:r>
                  <w:r>
                    <w:rPr>
                      <w:rFonts w:hint="eastAsia" w:ascii="Times New Roman" w:hAnsi="Times New Roman" w:cs="Times New Roman"/>
                      <w:color w:val="auto"/>
                      <w:spacing w:val="5"/>
                      <w:sz w:val="21"/>
                      <w:lang w:eastAsia="zh-CN"/>
                    </w:rPr>
                    <w:t>15m</w:t>
                  </w:r>
                  <w:r>
                    <w:rPr>
                      <w:rFonts w:ascii="Times New Roman" w:hAnsi="Times New Roman" w:eastAsia="宋体"/>
                      <w:color w:val="auto"/>
                      <w:spacing w:val="5"/>
                      <w:sz w:val="21"/>
                    </w:rPr>
                    <w:t>高排气筒达标排放（</w:t>
                  </w:r>
                  <w:r>
                    <w:rPr>
                      <w:rFonts w:ascii="Times New Roman" w:hAnsi="Times New Roman" w:eastAsia="宋体" w:cs="Times New Roman"/>
                      <w:color w:val="auto"/>
                      <w:sz w:val="21"/>
                    </w:rPr>
                    <w:t>DA</w:t>
                  </w:r>
                  <w:r>
                    <w:rPr>
                      <w:rFonts w:ascii="Times New Roman" w:hAnsi="Times New Roman" w:eastAsia="宋体" w:cs="Times New Roman"/>
                      <w:color w:val="auto"/>
                      <w:spacing w:val="5"/>
                      <w:sz w:val="21"/>
                    </w:rPr>
                    <w:t>001</w:t>
                  </w:r>
                  <w:r>
                    <w:rPr>
                      <w:rFonts w:ascii="Times New Roman" w:hAnsi="Times New Roman" w:eastAsia="宋体"/>
                      <w:color w:val="auto"/>
                      <w:spacing w:val="5"/>
                      <w:sz w:val="21"/>
                    </w:rPr>
                    <w:t>）</w:t>
                  </w:r>
                </w:p>
              </w:tc>
              <w:tc>
                <w:tcPr>
                  <w:tcW w:w="1974" w:type="dxa"/>
                  <w:tcBorders>
                    <w:top w:val="single" w:color="auto" w:sz="8" w:space="0"/>
                    <w:tl2br w:val="nil"/>
                    <w:tr2bl w:val="nil"/>
                  </w:tcBorders>
                  <w:vAlign w:val="center"/>
                </w:tcPr>
                <w:p w14:paraId="5F950D9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cs="Times New Roman"/>
                      <w:color w:val="auto"/>
                      <w:spacing w:val="2"/>
                      <w:position w:val="2"/>
                      <w:sz w:val="21"/>
                      <w:szCs w:val="20"/>
                      <w:lang w:val="en-US" w:eastAsia="zh-CN"/>
                    </w:rPr>
                    <w:t>10</w:t>
                  </w:r>
                </w:p>
              </w:tc>
            </w:tr>
            <w:tr w14:paraId="61608A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continue"/>
                  <w:tcBorders>
                    <w:tl2br w:val="nil"/>
                    <w:tr2bl w:val="nil"/>
                  </w:tcBorders>
                  <w:vAlign w:val="center"/>
                </w:tcPr>
                <w:p w14:paraId="1B756D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2000" w:type="dxa"/>
                  <w:tcBorders>
                    <w:tl2br w:val="nil"/>
                    <w:tr2bl w:val="nil"/>
                  </w:tcBorders>
                  <w:shd w:val="clear" w:color="auto" w:fill="auto"/>
                  <w:vAlign w:val="center"/>
                </w:tcPr>
                <w:p w14:paraId="53B2B21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焊接废气</w:t>
                  </w:r>
                </w:p>
              </w:tc>
              <w:tc>
                <w:tcPr>
                  <w:tcW w:w="2704" w:type="dxa"/>
                  <w:tcBorders>
                    <w:tl2br w:val="nil"/>
                    <w:tr2bl w:val="nil"/>
                  </w:tcBorders>
                  <w:vAlign w:val="center"/>
                </w:tcPr>
                <w:p w14:paraId="4E2FFCA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7"/>
                      <w:position w:val="1"/>
                      <w:sz w:val="21"/>
                    </w:rPr>
                    <w:t>焊接废气</w:t>
                  </w:r>
                  <w:r>
                    <w:rPr>
                      <w:rFonts w:hint="eastAsia" w:ascii="Times New Roman" w:hAnsi="Times New Roman"/>
                      <w:color w:val="auto"/>
                      <w:spacing w:val="7"/>
                      <w:position w:val="1"/>
                      <w:sz w:val="21"/>
                      <w:lang w:eastAsia="zh-CN"/>
                    </w:rPr>
                    <w:t>布袋</w:t>
                  </w:r>
                  <w:r>
                    <w:rPr>
                      <w:rFonts w:ascii="Times New Roman" w:hAnsi="Times New Roman" w:eastAsia="宋体"/>
                      <w:color w:val="auto"/>
                      <w:spacing w:val="7"/>
                      <w:position w:val="1"/>
                      <w:sz w:val="21"/>
                    </w:rPr>
                    <w:t>除尘器处理后，通过</w:t>
                  </w:r>
                  <w:r>
                    <w:rPr>
                      <w:rFonts w:ascii="Times New Roman" w:hAnsi="Times New Roman" w:eastAsia="宋体" w:cs="Times New Roman"/>
                      <w:color w:val="auto"/>
                      <w:spacing w:val="7"/>
                      <w:position w:val="1"/>
                      <w:sz w:val="21"/>
                    </w:rPr>
                    <w:t>1</w:t>
                  </w:r>
                  <w:r>
                    <w:rPr>
                      <w:rFonts w:ascii="Times New Roman" w:hAnsi="Times New Roman" w:eastAsia="宋体"/>
                      <w:color w:val="auto"/>
                      <w:spacing w:val="7"/>
                      <w:position w:val="1"/>
                      <w:sz w:val="21"/>
                    </w:rPr>
                    <w:t>根</w:t>
                  </w:r>
                </w:p>
                <w:p w14:paraId="433D030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auto"/>
                      <w:sz w:val="21"/>
                      <w:szCs w:val="21"/>
                      <w:highlight w:val="none"/>
                      <w:lang w:val="en-US" w:eastAsia="zh-CN"/>
                    </w:rPr>
                  </w:pPr>
                  <w:r>
                    <w:rPr>
                      <w:rFonts w:ascii="Times New Roman" w:hAnsi="Times New Roman" w:eastAsia="宋体" w:cs="Times New Roman"/>
                      <w:color w:val="auto"/>
                      <w:spacing w:val="7"/>
                      <w:position w:val="1"/>
                      <w:sz w:val="21"/>
                    </w:rPr>
                    <w:t>20m</w:t>
                  </w:r>
                  <w:r>
                    <w:rPr>
                      <w:rFonts w:ascii="Times New Roman" w:hAnsi="Times New Roman" w:eastAsia="宋体"/>
                      <w:color w:val="auto"/>
                      <w:spacing w:val="7"/>
                      <w:position w:val="1"/>
                      <w:sz w:val="21"/>
                    </w:rPr>
                    <w:t>高排气筒达标排放（</w:t>
                  </w:r>
                  <w:r>
                    <w:rPr>
                      <w:rFonts w:ascii="Times New Roman" w:hAnsi="Times New Roman" w:eastAsia="宋体" w:cs="Times New Roman"/>
                      <w:color w:val="auto"/>
                      <w:position w:val="1"/>
                      <w:sz w:val="21"/>
                    </w:rPr>
                    <w:t>DA</w:t>
                  </w:r>
                  <w:r>
                    <w:rPr>
                      <w:rFonts w:ascii="Times New Roman" w:hAnsi="Times New Roman" w:eastAsia="宋体" w:cs="Times New Roman"/>
                      <w:color w:val="auto"/>
                      <w:spacing w:val="7"/>
                      <w:position w:val="1"/>
                      <w:sz w:val="21"/>
                    </w:rPr>
                    <w:t>002</w:t>
                  </w:r>
                  <w:r>
                    <w:rPr>
                      <w:rFonts w:ascii="Times New Roman" w:hAnsi="Times New Roman" w:eastAsia="宋体"/>
                      <w:color w:val="auto"/>
                      <w:spacing w:val="7"/>
                      <w:position w:val="1"/>
                      <w:sz w:val="21"/>
                    </w:rPr>
                    <w:t>）</w:t>
                  </w:r>
                </w:p>
              </w:tc>
              <w:tc>
                <w:tcPr>
                  <w:tcW w:w="1974" w:type="dxa"/>
                  <w:tcBorders>
                    <w:tl2br w:val="nil"/>
                    <w:tr2bl w:val="nil"/>
                  </w:tcBorders>
                  <w:vAlign w:val="center"/>
                </w:tcPr>
                <w:p w14:paraId="1090BA5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cs="Times New Roman"/>
                      <w:color w:val="auto"/>
                      <w:spacing w:val="2"/>
                      <w:position w:val="2"/>
                      <w:sz w:val="21"/>
                      <w:szCs w:val="20"/>
                      <w:lang w:val="en-US" w:eastAsia="zh-CN"/>
                    </w:rPr>
                    <w:t>10</w:t>
                  </w:r>
                </w:p>
              </w:tc>
            </w:tr>
            <w:tr w14:paraId="1FA357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continue"/>
                  <w:tcBorders>
                    <w:tl2br w:val="nil"/>
                    <w:tr2bl w:val="nil"/>
                  </w:tcBorders>
                  <w:vAlign w:val="center"/>
                </w:tcPr>
                <w:p w14:paraId="6E90EA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2000" w:type="dxa"/>
                  <w:tcBorders>
                    <w:tl2br w:val="nil"/>
                    <w:tr2bl w:val="nil"/>
                  </w:tcBorders>
                  <w:shd w:val="clear" w:color="auto" w:fill="auto"/>
                  <w:vAlign w:val="center"/>
                </w:tcPr>
                <w:p w14:paraId="38E5893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喷粉废气</w:t>
                  </w:r>
                </w:p>
              </w:tc>
              <w:tc>
                <w:tcPr>
                  <w:tcW w:w="2704" w:type="dxa"/>
                  <w:tcBorders>
                    <w:tl2br w:val="nil"/>
                    <w:tr2bl w:val="nil"/>
                  </w:tcBorders>
                  <w:vAlign w:val="center"/>
                </w:tcPr>
                <w:p w14:paraId="0CA5757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7"/>
                      <w:position w:val="1"/>
                      <w:sz w:val="21"/>
                    </w:rPr>
                  </w:pPr>
                  <w:r>
                    <w:rPr>
                      <w:rFonts w:hint="eastAsia" w:ascii="Times New Roman" w:hAnsi="Times New Roman" w:eastAsia="宋体" w:cs="宋体"/>
                      <w:color w:val="auto"/>
                      <w:spacing w:val="7"/>
                      <w:position w:val="1"/>
                      <w:sz w:val="21"/>
                      <w:lang w:val="en-US" w:eastAsia="zh-CN"/>
                    </w:rPr>
                    <w:t>滤芯除尘器处理后引入15m排气筒达标排放（DA003</w:t>
                  </w:r>
                  <w:r>
                    <w:rPr>
                      <w:rFonts w:hint="eastAsia" w:ascii="Times New Roman" w:hAnsi="Times New Roman" w:cs="宋体"/>
                      <w:color w:val="auto"/>
                      <w:spacing w:val="7"/>
                      <w:position w:val="1"/>
                      <w:sz w:val="21"/>
                      <w:lang w:val="en-US" w:eastAsia="zh-CN"/>
                    </w:rPr>
                    <w:t>）</w:t>
                  </w:r>
                </w:p>
              </w:tc>
              <w:tc>
                <w:tcPr>
                  <w:tcW w:w="1974" w:type="dxa"/>
                  <w:tcBorders>
                    <w:tl2br w:val="nil"/>
                    <w:tr2bl w:val="nil"/>
                  </w:tcBorders>
                  <w:vAlign w:val="center"/>
                </w:tcPr>
                <w:p w14:paraId="19BC06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position w:val="2"/>
                      <w:sz w:val="21"/>
                      <w:szCs w:val="20"/>
                      <w:lang w:val="en-US" w:eastAsia="zh-CN"/>
                    </w:rPr>
                  </w:pPr>
                  <w:r>
                    <w:rPr>
                      <w:rFonts w:hint="eastAsia" w:cs="Times New Roman"/>
                      <w:color w:val="auto"/>
                      <w:spacing w:val="2"/>
                      <w:position w:val="2"/>
                      <w:sz w:val="21"/>
                      <w:szCs w:val="20"/>
                      <w:lang w:val="en-US" w:eastAsia="zh-CN"/>
                    </w:rPr>
                    <w:t>10</w:t>
                  </w:r>
                </w:p>
              </w:tc>
            </w:tr>
            <w:tr w14:paraId="58071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continue"/>
                  <w:tcBorders>
                    <w:tl2br w:val="nil"/>
                    <w:tr2bl w:val="nil"/>
                  </w:tcBorders>
                  <w:vAlign w:val="center"/>
                </w:tcPr>
                <w:p w14:paraId="3949FD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2000" w:type="dxa"/>
                  <w:tcBorders>
                    <w:tl2br w:val="nil"/>
                    <w:tr2bl w:val="nil"/>
                  </w:tcBorders>
                  <w:shd w:val="clear" w:color="auto" w:fill="auto"/>
                  <w:vAlign w:val="center"/>
                </w:tcPr>
                <w:p w14:paraId="795AB29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喷粉固化废气</w:t>
                  </w:r>
                  <w:r>
                    <w:rPr>
                      <w:rFonts w:hint="eastAsia"/>
                      <w:color w:val="auto"/>
                      <w:spacing w:val="-8"/>
                      <w:sz w:val="21"/>
                      <w:lang w:val="en-US" w:eastAsia="zh-CN"/>
                    </w:rPr>
                    <w:t>；调漆、喷漆、喷漆固化废气；喷粉、喷漆天然气固化炉燃烧废气</w:t>
                  </w:r>
                </w:p>
              </w:tc>
              <w:tc>
                <w:tcPr>
                  <w:tcW w:w="2704" w:type="dxa"/>
                  <w:tcBorders>
                    <w:tl2br w:val="nil"/>
                    <w:tr2bl w:val="nil"/>
                  </w:tcBorders>
                  <w:vAlign w:val="center"/>
                </w:tcPr>
                <w:p w14:paraId="708E60E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7"/>
                      <w:position w:val="1"/>
                      <w:sz w:val="21"/>
                    </w:rPr>
                  </w:pPr>
                  <w:r>
                    <w:rPr>
                      <w:rFonts w:hint="eastAsia" w:ascii="Times New Roman" w:hAnsi="Times New Roman" w:eastAsia="宋体" w:cs="宋体"/>
                      <w:color w:val="auto"/>
                      <w:spacing w:val="7"/>
                      <w:position w:val="1"/>
                      <w:sz w:val="21"/>
                      <w:lang w:val="en-US" w:eastAsia="zh-CN"/>
                    </w:rPr>
                    <w:t>喷粉固化废气；调漆、喷漆、喷漆固化废气</w:t>
                  </w:r>
                  <w:r>
                    <w:rPr>
                      <w:rFonts w:ascii="Times New Roman" w:hAnsi="Times New Roman" w:eastAsia="宋体" w:cs="宋体"/>
                      <w:color w:val="auto"/>
                      <w:spacing w:val="7"/>
                      <w:position w:val="1"/>
                      <w:sz w:val="21"/>
                    </w:rPr>
                    <w:t>经二级活性炭吸附处理后，通过1根</w:t>
                  </w:r>
                  <w:r>
                    <w:rPr>
                      <w:rFonts w:hint="eastAsia" w:ascii="Times New Roman" w:hAnsi="Times New Roman" w:eastAsia="宋体" w:cs="宋体"/>
                      <w:color w:val="auto"/>
                      <w:spacing w:val="7"/>
                      <w:position w:val="1"/>
                      <w:sz w:val="21"/>
                      <w:lang w:eastAsia="zh-CN"/>
                    </w:rPr>
                    <w:t>15m</w:t>
                  </w:r>
                  <w:r>
                    <w:rPr>
                      <w:rFonts w:ascii="Times New Roman" w:hAnsi="Times New Roman" w:eastAsia="宋体" w:cs="宋体"/>
                      <w:color w:val="auto"/>
                      <w:spacing w:val="7"/>
                      <w:position w:val="1"/>
                      <w:sz w:val="21"/>
                    </w:rPr>
                    <w:t>高排气筒达标排放（DA00</w:t>
                  </w:r>
                  <w:r>
                    <w:rPr>
                      <w:rFonts w:hint="eastAsia" w:ascii="Times New Roman" w:hAnsi="Times New Roman" w:eastAsia="宋体" w:cs="宋体"/>
                      <w:color w:val="auto"/>
                      <w:spacing w:val="7"/>
                      <w:position w:val="1"/>
                      <w:sz w:val="21"/>
                      <w:lang w:val="en-US" w:eastAsia="zh-CN"/>
                    </w:rPr>
                    <w:t>4</w:t>
                  </w:r>
                  <w:r>
                    <w:rPr>
                      <w:rFonts w:ascii="Times New Roman" w:hAnsi="Times New Roman" w:eastAsia="宋体" w:cs="宋体"/>
                      <w:color w:val="auto"/>
                      <w:spacing w:val="7"/>
                      <w:position w:val="1"/>
                      <w:sz w:val="21"/>
                    </w:rPr>
                    <w:t>）；燃烧废气通过1根</w:t>
                  </w:r>
                  <w:r>
                    <w:rPr>
                      <w:rFonts w:hint="eastAsia" w:ascii="Times New Roman" w:hAnsi="Times New Roman" w:eastAsia="宋体" w:cs="宋体"/>
                      <w:color w:val="auto"/>
                      <w:spacing w:val="7"/>
                      <w:position w:val="1"/>
                      <w:sz w:val="21"/>
                      <w:lang w:eastAsia="zh-CN"/>
                    </w:rPr>
                    <w:t>15m</w:t>
                  </w:r>
                  <w:r>
                    <w:rPr>
                      <w:rFonts w:ascii="Times New Roman" w:hAnsi="Times New Roman" w:eastAsia="宋体" w:cs="宋体"/>
                      <w:color w:val="auto"/>
                      <w:spacing w:val="7"/>
                      <w:position w:val="1"/>
                      <w:sz w:val="21"/>
                    </w:rPr>
                    <w:t>高排气筒达标排放（DA00</w:t>
                  </w:r>
                  <w:r>
                    <w:rPr>
                      <w:rFonts w:hint="eastAsia" w:ascii="Times New Roman" w:hAnsi="Times New Roman" w:eastAsia="宋体" w:cs="宋体"/>
                      <w:color w:val="auto"/>
                      <w:spacing w:val="7"/>
                      <w:position w:val="1"/>
                      <w:sz w:val="21"/>
                      <w:lang w:val="en-US" w:eastAsia="zh-CN"/>
                    </w:rPr>
                    <w:t>4</w:t>
                  </w:r>
                  <w:r>
                    <w:rPr>
                      <w:rFonts w:ascii="Times New Roman" w:hAnsi="Times New Roman" w:eastAsia="宋体" w:cs="宋体"/>
                      <w:color w:val="auto"/>
                      <w:spacing w:val="7"/>
                      <w:position w:val="1"/>
                      <w:sz w:val="21"/>
                    </w:rPr>
                    <w:t>）</w:t>
                  </w:r>
                </w:p>
              </w:tc>
              <w:tc>
                <w:tcPr>
                  <w:tcW w:w="1974" w:type="dxa"/>
                  <w:tcBorders>
                    <w:tl2br w:val="nil"/>
                    <w:tr2bl w:val="nil"/>
                  </w:tcBorders>
                  <w:vAlign w:val="center"/>
                </w:tcPr>
                <w:p w14:paraId="3B978FA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position w:val="2"/>
                      <w:sz w:val="21"/>
                      <w:szCs w:val="20"/>
                      <w:lang w:val="en-US" w:eastAsia="zh-CN"/>
                    </w:rPr>
                  </w:pPr>
                  <w:r>
                    <w:rPr>
                      <w:rFonts w:hint="eastAsia" w:cs="Times New Roman"/>
                      <w:color w:val="auto"/>
                      <w:spacing w:val="2"/>
                      <w:position w:val="2"/>
                      <w:sz w:val="21"/>
                      <w:szCs w:val="20"/>
                      <w:lang w:val="en-US" w:eastAsia="zh-CN"/>
                    </w:rPr>
                    <w:t>15</w:t>
                  </w:r>
                </w:p>
              </w:tc>
            </w:tr>
            <w:tr w14:paraId="24D094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restart"/>
                  <w:tcBorders>
                    <w:tl2br w:val="nil"/>
                    <w:tr2bl w:val="nil"/>
                  </w:tcBorders>
                  <w:vAlign w:val="center"/>
                </w:tcPr>
                <w:p w14:paraId="741094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废水</w:t>
                  </w:r>
                </w:p>
              </w:tc>
              <w:tc>
                <w:tcPr>
                  <w:tcW w:w="2000" w:type="dxa"/>
                  <w:tcBorders>
                    <w:tl2br w:val="nil"/>
                    <w:tr2bl w:val="nil"/>
                  </w:tcBorders>
                  <w:shd w:val="clear" w:color="auto" w:fill="auto"/>
                  <w:vAlign w:val="center"/>
                </w:tcPr>
                <w:p w14:paraId="528D3C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生活污水</w:t>
                  </w:r>
                </w:p>
              </w:tc>
              <w:tc>
                <w:tcPr>
                  <w:tcW w:w="2704" w:type="dxa"/>
                  <w:tcBorders>
                    <w:tl2br w:val="nil"/>
                    <w:tr2bl w:val="nil"/>
                  </w:tcBorders>
                  <w:shd w:val="clear" w:color="auto" w:fill="auto"/>
                  <w:vAlign w:val="center"/>
                </w:tcPr>
                <w:p w14:paraId="5EA2E6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经化粪池处理后接市政污水管网</w:t>
                  </w:r>
                </w:p>
              </w:tc>
              <w:tc>
                <w:tcPr>
                  <w:tcW w:w="1974" w:type="dxa"/>
                  <w:tcBorders>
                    <w:tl2br w:val="nil"/>
                    <w:tr2bl w:val="nil"/>
                  </w:tcBorders>
                  <w:shd w:val="clear" w:color="auto" w:fill="auto"/>
                  <w:vAlign w:val="center"/>
                </w:tcPr>
                <w:p w14:paraId="4E4428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b w:val="0"/>
                      <w:bCs w:val="0"/>
                      <w:iCs/>
                      <w:color w:val="auto"/>
                      <w:sz w:val="21"/>
                      <w:szCs w:val="21"/>
                      <w:highlight w:val="none"/>
                      <w:lang w:val="en-US" w:eastAsia="zh-CN"/>
                    </w:rPr>
                    <w:t>5</w:t>
                  </w:r>
                </w:p>
              </w:tc>
            </w:tr>
            <w:tr w14:paraId="75C5FB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continue"/>
                  <w:tcBorders>
                    <w:tl2br w:val="nil"/>
                    <w:tr2bl w:val="nil"/>
                  </w:tcBorders>
                  <w:vAlign w:val="center"/>
                </w:tcPr>
                <w:p w14:paraId="01D7AB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2000" w:type="dxa"/>
                  <w:tcBorders>
                    <w:tl2br w:val="nil"/>
                    <w:tr2bl w:val="nil"/>
                  </w:tcBorders>
                  <w:shd w:val="clear" w:color="auto" w:fill="auto"/>
                  <w:vAlign w:val="center"/>
                </w:tcPr>
                <w:p w14:paraId="54291DC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生产废水</w:t>
                  </w:r>
                </w:p>
              </w:tc>
              <w:tc>
                <w:tcPr>
                  <w:tcW w:w="2704" w:type="dxa"/>
                  <w:tcBorders>
                    <w:tl2br w:val="nil"/>
                    <w:tr2bl w:val="nil"/>
                  </w:tcBorders>
                  <w:shd w:val="clear" w:color="auto" w:fill="auto"/>
                  <w:vAlign w:val="center"/>
                </w:tcPr>
                <w:p w14:paraId="0DC2503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6"/>
                      <w:position w:val="1"/>
                      <w:sz w:val="21"/>
                    </w:rPr>
                    <w:t>经“</w:t>
                  </w:r>
                  <w:r>
                    <w:rPr>
                      <w:rFonts w:hint="eastAsia" w:ascii="Times New Roman" w:hAnsi="Times New Roman"/>
                      <w:color w:val="auto"/>
                      <w:spacing w:val="6"/>
                      <w:position w:val="1"/>
                      <w:sz w:val="21"/>
                      <w:lang w:eastAsia="zh-CN"/>
                    </w:rPr>
                    <w:t>物化+A/O+沉淀</w:t>
                  </w:r>
                  <w:r>
                    <w:rPr>
                      <w:rFonts w:ascii="Times New Roman" w:hAnsi="Times New Roman" w:eastAsia="宋体"/>
                      <w:color w:val="auto"/>
                      <w:spacing w:val="6"/>
                      <w:position w:val="1"/>
                      <w:sz w:val="21"/>
                    </w:rPr>
                    <w:t>”处理后，接</w:t>
                  </w:r>
                </w:p>
                <w:p w14:paraId="50ED880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市政污水管网</w:t>
                  </w:r>
                </w:p>
              </w:tc>
              <w:tc>
                <w:tcPr>
                  <w:tcW w:w="1974" w:type="dxa"/>
                  <w:tcBorders>
                    <w:tl2br w:val="nil"/>
                    <w:tr2bl w:val="nil"/>
                  </w:tcBorders>
                  <w:shd w:val="clear" w:color="auto" w:fill="auto"/>
                  <w:vAlign w:val="center"/>
                </w:tcPr>
                <w:p w14:paraId="12052A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2"/>
                      <w:position w:val="2"/>
                      <w:sz w:val="21"/>
                      <w:szCs w:val="20"/>
                    </w:rPr>
                    <w:t>20</w:t>
                  </w:r>
                </w:p>
              </w:tc>
            </w:tr>
            <w:tr w14:paraId="495143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vAlign w:val="center"/>
                </w:tcPr>
                <w:p w14:paraId="767787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噪声</w:t>
                  </w:r>
                </w:p>
              </w:tc>
              <w:tc>
                <w:tcPr>
                  <w:tcW w:w="2000" w:type="dxa"/>
                  <w:tcBorders>
                    <w:tl2br w:val="nil"/>
                    <w:tr2bl w:val="nil"/>
                  </w:tcBorders>
                  <w:vAlign w:val="center"/>
                </w:tcPr>
                <w:p w14:paraId="48D9C2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设备</w:t>
                  </w:r>
                </w:p>
              </w:tc>
              <w:tc>
                <w:tcPr>
                  <w:tcW w:w="2704" w:type="dxa"/>
                  <w:tcBorders>
                    <w:tl2br w:val="nil"/>
                    <w:tr2bl w:val="nil"/>
                  </w:tcBorders>
                  <w:vAlign w:val="center"/>
                </w:tcPr>
                <w:p w14:paraId="3A32B2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降噪减震</w:t>
                  </w:r>
                </w:p>
              </w:tc>
              <w:tc>
                <w:tcPr>
                  <w:tcW w:w="1974" w:type="dxa"/>
                  <w:tcBorders>
                    <w:tl2br w:val="nil"/>
                    <w:tr2bl w:val="nil"/>
                  </w:tcBorders>
                  <w:vAlign w:val="center"/>
                </w:tcPr>
                <w:p w14:paraId="4C6650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5</w:t>
                  </w:r>
                </w:p>
              </w:tc>
            </w:tr>
            <w:tr w14:paraId="29970A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restart"/>
                  <w:tcBorders>
                    <w:tl2br w:val="nil"/>
                    <w:tr2bl w:val="nil"/>
                  </w:tcBorders>
                  <w:vAlign w:val="center"/>
                </w:tcPr>
                <w:p w14:paraId="6387CE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固废</w:t>
                  </w:r>
                </w:p>
              </w:tc>
              <w:tc>
                <w:tcPr>
                  <w:tcW w:w="2000" w:type="dxa"/>
                  <w:tcBorders>
                    <w:tl2br w:val="nil"/>
                    <w:tr2bl w:val="nil"/>
                  </w:tcBorders>
                  <w:vAlign w:val="center"/>
                </w:tcPr>
                <w:p w14:paraId="1B7181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一般固废</w:t>
                  </w:r>
                </w:p>
              </w:tc>
              <w:tc>
                <w:tcPr>
                  <w:tcW w:w="2704" w:type="dxa"/>
                  <w:tcBorders>
                    <w:tl2br w:val="nil"/>
                    <w:tr2bl w:val="nil"/>
                  </w:tcBorders>
                  <w:vAlign w:val="center"/>
                </w:tcPr>
                <w:p w14:paraId="6C1E08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一般固废间</w:t>
                  </w:r>
                </w:p>
              </w:tc>
              <w:tc>
                <w:tcPr>
                  <w:tcW w:w="1974" w:type="dxa"/>
                  <w:tcBorders>
                    <w:tl2br w:val="nil"/>
                    <w:tr2bl w:val="nil"/>
                  </w:tcBorders>
                  <w:vAlign w:val="center"/>
                </w:tcPr>
                <w:p w14:paraId="786E24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2</w:t>
                  </w:r>
                </w:p>
              </w:tc>
            </w:tr>
            <w:tr w14:paraId="63CBB9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vMerge w:val="continue"/>
                  <w:tcBorders>
                    <w:tl2br w:val="nil"/>
                    <w:tr2bl w:val="nil"/>
                  </w:tcBorders>
                  <w:vAlign w:val="center"/>
                </w:tcPr>
                <w:p w14:paraId="061346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2000" w:type="dxa"/>
                  <w:tcBorders>
                    <w:tl2br w:val="nil"/>
                    <w:tr2bl w:val="nil"/>
                  </w:tcBorders>
                  <w:vAlign w:val="center"/>
                </w:tcPr>
                <w:p w14:paraId="0810B0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危险废物</w:t>
                  </w:r>
                </w:p>
              </w:tc>
              <w:tc>
                <w:tcPr>
                  <w:tcW w:w="2704" w:type="dxa"/>
                  <w:tcBorders>
                    <w:tl2br w:val="nil"/>
                    <w:tr2bl w:val="nil"/>
                  </w:tcBorders>
                  <w:vAlign w:val="center"/>
                </w:tcPr>
                <w:p w14:paraId="57FD96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b w:val="0"/>
                      <w:bCs w:val="0"/>
                      <w:iCs/>
                      <w:color w:val="auto"/>
                      <w:sz w:val="21"/>
                      <w:szCs w:val="21"/>
                      <w:highlight w:val="none"/>
                      <w:lang w:val="en-US" w:eastAsia="zh-CN"/>
                    </w:rPr>
                    <w:t>危废储存库</w:t>
                  </w:r>
                  <w:r>
                    <w:rPr>
                      <w:rFonts w:hint="eastAsia" w:ascii="Times New Roman" w:hAnsi="Times New Roman" w:eastAsia="宋体"/>
                      <w:b w:val="0"/>
                      <w:bCs w:val="0"/>
                      <w:iCs/>
                      <w:color w:val="auto"/>
                      <w:sz w:val="21"/>
                      <w:szCs w:val="21"/>
                      <w:highlight w:val="none"/>
                      <w:lang w:val="en-US" w:eastAsia="zh-CN"/>
                    </w:rPr>
                    <w:t>、</w:t>
                  </w:r>
                  <w:r>
                    <w:rPr>
                      <w:rFonts w:hint="eastAsia"/>
                      <w:b w:val="0"/>
                      <w:bCs w:val="0"/>
                      <w:iCs/>
                      <w:color w:val="auto"/>
                      <w:sz w:val="21"/>
                      <w:szCs w:val="21"/>
                      <w:highlight w:val="none"/>
                      <w:lang w:val="en-US" w:eastAsia="zh-CN"/>
                    </w:rPr>
                    <w:t>危废</w:t>
                  </w:r>
                  <w:r>
                    <w:rPr>
                      <w:rFonts w:hint="eastAsia" w:ascii="Times New Roman" w:hAnsi="Times New Roman" w:eastAsia="宋体"/>
                      <w:b w:val="0"/>
                      <w:bCs w:val="0"/>
                      <w:iCs/>
                      <w:color w:val="auto"/>
                      <w:sz w:val="21"/>
                      <w:szCs w:val="21"/>
                      <w:highlight w:val="none"/>
                      <w:lang w:val="en-US" w:eastAsia="zh-CN"/>
                    </w:rPr>
                    <w:t>委托有资质单位处置</w:t>
                  </w:r>
                </w:p>
              </w:tc>
              <w:tc>
                <w:tcPr>
                  <w:tcW w:w="1974" w:type="dxa"/>
                  <w:tcBorders>
                    <w:tl2br w:val="nil"/>
                    <w:tr2bl w:val="nil"/>
                  </w:tcBorders>
                  <w:vAlign w:val="center"/>
                </w:tcPr>
                <w:p w14:paraId="3195D8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3</w:t>
                  </w:r>
                </w:p>
              </w:tc>
            </w:tr>
            <w:tr w14:paraId="427FA3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tcBorders>
                    <w:tl2br w:val="nil"/>
                    <w:tr2bl w:val="nil"/>
                  </w:tcBorders>
                  <w:vAlign w:val="center"/>
                </w:tcPr>
                <w:p w14:paraId="03B031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风险</w:t>
                  </w:r>
                </w:p>
              </w:tc>
              <w:tc>
                <w:tcPr>
                  <w:tcW w:w="2000" w:type="dxa"/>
                  <w:tcBorders>
                    <w:tl2br w:val="nil"/>
                    <w:tr2bl w:val="nil"/>
                  </w:tcBorders>
                  <w:vAlign w:val="center"/>
                </w:tcPr>
                <w:p w14:paraId="34095C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防渗</w:t>
                  </w:r>
                </w:p>
              </w:tc>
              <w:tc>
                <w:tcPr>
                  <w:tcW w:w="2704" w:type="dxa"/>
                  <w:tcBorders>
                    <w:tl2br w:val="nil"/>
                    <w:tr2bl w:val="nil"/>
                  </w:tcBorders>
                  <w:vAlign w:val="center"/>
                </w:tcPr>
                <w:p w14:paraId="75649F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地面防渗措施</w:t>
                  </w:r>
                </w:p>
              </w:tc>
              <w:tc>
                <w:tcPr>
                  <w:tcW w:w="1974" w:type="dxa"/>
                  <w:tcBorders>
                    <w:tl2br w:val="nil"/>
                    <w:tr2bl w:val="nil"/>
                  </w:tcBorders>
                  <w:vAlign w:val="center"/>
                </w:tcPr>
                <w:p w14:paraId="05976D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10</w:t>
                  </w:r>
                </w:p>
              </w:tc>
            </w:tr>
            <w:tr w14:paraId="76C4F3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vAlign w:val="center"/>
                </w:tcPr>
                <w:p w14:paraId="095962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自行监测</w:t>
                  </w:r>
                </w:p>
              </w:tc>
              <w:tc>
                <w:tcPr>
                  <w:tcW w:w="2000" w:type="dxa"/>
                  <w:tcBorders>
                    <w:tl2br w:val="nil"/>
                    <w:tr2bl w:val="nil"/>
                  </w:tcBorders>
                  <w:vAlign w:val="center"/>
                </w:tcPr>
                <w:p w14:paraId="5A3E80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废气、废水、噪声</w:t>
                  </w:r>
                </w:p>
              </w:tc>
              <w:tc>
                <w:tcPr>
                  <w:tcW w:w="2704" w:type="dxa"/>
                  <w:tcBorders>
                    <w:tl2br w:val="nil"/>
                    <w:tr2bl w:val="nil"/>
                  </w:tcBorders>
                  <w:vAlign w:val="center"/>
                </w:tcPr>
                <w:p w14:paraId="463B02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自行监测</w:t>
                  </w:r>
                </w:p>
              </w:tc>
              <w:tc>
                <w:tcPr>
                  <w:tcW w:w="1974" w:type="dxa"/>
                  <w:tcBorders>
                    <w:tl2br w:val="nil"/>
                    <w:tr2bl w:val="nil"/>
                  </w:tcBorders>
                  <w:vAlign w:val="center"/>
                </w:tcPr>
                <w:p w14:paraId="6DD90E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5</w:t>
                  </w:r>
                </w:p>
              </w:tc>
            </w:tr>
            <w:tr w14:paraId="2681DF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8" w:type="dxa"/>
                  <w:gridSpan w:val="3"/>
                  <w:tcBorders>
                    <w:tl2br w:val="nil"/>
                    <w:tr2bl w:val="nil"/>
                  </w:tcBorders>
                  <w:vAlign w:val="center"/>
                </w:tcPr>
                <w:p w14:paraId="1A87D5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合计</w:t>
                  </w:r>
                </w:p>
              </w:tc>
              <w:tc>
                <w:tcPr>
                  <w:tcW w:w="1974" w:type="dxa"/>
                  <w:tcBorders>
                    <w:tl2br w:val="nil"/>
                    <w:tr2bl w:val="nil"/>
                  </w:tcBorders>
                  <w:vAlign w:val="center"/>
                </w:tcPr>
                <w:p w14:paraId="3F7698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b w:val="0"/>
                      <w:bCs w:val="0"/>
                      <w:iCs/>
                      <w:color w:val="auto"/>
                      <w:sz w:val="21"/>
                      <w:szCs w:val="21"/>
                      <w:highlight w:val="none"/>
                      <w:lang w:val="en-US" w:eastAsia="zh-CN"/>
                    </w:rPr>
                    <w:t>95</w:t>
                  </w:r>
                </w:p>
              </w:tc>
            </w:tr>
          </w:tbl>
          <w:p w14:paraId="003DBA4D">
            <w:pPr>
              <w:pStyle w:val="46"/>
              <w:pageBreakBefore w:val="0"/>
              <w:kinsoku/>
              <w:overflowPunct/>
              <w:topLinePunct w:val="0"/>
              <w:bidi w:val="0"/>
              <w:spacing w:line="240" w:lineRule="auto"/>
              <w:ind w:left="0" w:firstLine="0" w:firstLineChars="0"/>
              <w:textAlignment w:val="auto"/>
              <w:rPr>
                <w:rFonts w:hint="default"/>
                <w:color w:val="auto"/>
                <w:kern w:val="0"/>
                <w:sz w:val="21"/>
                <w:szCs w:val="21"/>
                <w:highlight w:val="none"/>
                <w:lang w:val="en-US" w:eastAsia="zh-CN"/>
              </w:rPr>
            </w:pPr>
          </w:p>
        </w:tc>
      </w:tr>
    </w:tbl>
    <w:p w14:paraId="2A812123">
      <w:pPr>
        <w:pStyle w:val="2"/>
        <w:numPr>
          <w:ilvl w:val="0"/>
          <w:numId w:val="0"/>
        </w:numPr>
        <w:tabs>
          <w:tab w:val="left" w:pos="0"/>
        </w:tabs>
        <w:ind w:left="432" w:leftChars="0" w:hanging="432" w:firstLineChars="0"/>
        <w:outlineLvl w:val="9"/>
        <w:rPr>
          <w:snapToGrid w:val="0"/>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6A67F4C2">
      <w:pPr>
        <w:pStyle w:val="2"/>
        <w:numPr>
          <w:ilvl w:val="0"/>
          <w:numId w:val="1"/>
        </w:numPr>
        <w:bidi w:val="0"/>
        <w:ind w:left="432" w:leftChars="0" w:hanging="432" w:firstLineChars="0"/>
        <w:rPr>
          <w:rFonts w:hint="eastAsia" w:ascii="Times New Roman" w:hAnsi="Times New Roman" w:eastAsia="宋体"/>
          <w:color w:val="auto"/>
          <w:highlight w:val="none"/>
        </w:rPr>
      </w:pPr>
      <w:bookmarkStart w:id="66" w:name="_Toc288"/>
      <w:bookmarkStart w:id="67" w:name="_Toc17753"/>
      <w:bookmarkStart w:id="68" w:name="_Toc14873"/>
      <w:bookmarkStart w:id="69" w:name="_Toc4502"/>
      <w:bookmarkStart w:id="70" w:name="_Toc15523"/>
      <w:bookmarkStart w:id="71" w:name="_Toc846"/>
      <w:bookmarkStart w:id="72" w:name="_Toc22600"/>
      <w:bookmarkStart w:id="73" w:name="_Toc3022"/>
      <w:bookmarkStart w:id="74" w:name="_Toc15365"/>
      <w:bookmarkStart w:id="75" w:name="_Toc8552"/>
      <w:r>
        <w:rPr>
          <w:rFonts w:hint="eastAsia" w:ascii="Times New Roman" w:hAnsi="Times New Roman" w:eastAsia="宋体"/>
          <w:color w:val="auto"/>
          <w:highlight w:val="none"/>
        </w:rPr>
        <w:drawing>
          <wp:anchor distT="0" distB="0" distL="114300" distR="114300" simplePos="0" relativeHeight="251674624" behindDoc="0" locked="0" layoutInCell="1" allowOverlap="1">
            <wp:simplePos x="0" y="0"/>
            <wp:positionH relativeFrom="column">
              <wp:posOffset>-458470</wp:posOffset>
            </wp:positionH>
            <wp:positionV relativeFrom="paragraph">
              <wp:posOffset>-38100</wp:posOffset>
            </wp:positionV>
            <wp:extent cx="6790690" cy="9208770"/>
            <wp:effectExtent l="0" t="0" r="10160" b="11430"/>
            <wp:wrapNone/>
            <wp:docPr id="261" name="图片 261" descr="doc006519202602071413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doc00651920260207141311_10"/>
                    <pic:cNvPicPr>
                      <a:picLocks noChangeAspect="1"/>
                    </pic:cNvPicPr>
                  </pic:nvPicPr>
                  <pic:blipFill>
                    <a:blip r:embed="rId38"/>
                    <a:stretch>
                      <a:fillRect/>
                    </a:stretch>
                  </pic:blipFill>
                  <pic:spPr>
                    <a:xfrm>
                      <a:off x="0" y="0"/>
                      <a:ext cx="6790690" cy="9208770"/>
                    </a:xfrm>
                    <a:prstGeom prst="rect">
                      <a:avLst/>
                    </a:prstGeom>
                  </pic:spPr>
                </pic:pic>
              </a:graphicData>
            </a:graphic>
          </wp:anchor>
        </w:drawing>
      </w:r>
      <w:r>
        <w:rPr>
          <w:rFonts w:hint="eastAsia" w:ascii="Times New Roman" w:hAnsi="Times New Roman" w:eastAsia="宋体"/>
          <w:color w:val="auto"/>
          <w:highlight w:val="none"/>
        </w:rPr>
        <w:t>结论</w:t>
      </w:r>
      <w:bookmarkEnd w:id="66"/>
      <w:bookmarkEnd w:id="67"/>
      <w:bookmarkEnd w:id="68"/>
      <w:bookmarkEnd w:id="69"/>
      <w:bookmarkEnd w:id="70"/>
    </w:p>
    <w:tbl>
      <w:tblPr>
        <w:tblStyle w:val="3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ECF0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531CBA69">
            <w:pPr>
              <w:pStyle w:val="157"/>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left"/>
              <w:textAlignment w:val="baseline"/>
              <w:outlineLvl w:val="1"/>
              <w:rPr>
                <w:rFonts w:hint="eastAsia" w:ascii="Times New Roman" w:hAnsi="Times New Roman" w:eastAsia="宋体" w:cs="Times New Roman"/>
                <w:color w:val="auto"/>
                <w:sz w:val="28"/>
                <w:szCs w:val="28"/>
                <w:highlight w:val="none"/>
                <w:lang w:eastAsia="zh-CN"/>
              </w:rPr>
            </w:pPr>
            <w:bookmarkStart w:id="76" w:name="_Toc22364"/>
            <w:bookmarkStart w:id="77" w:name="_Toc8175"/>
            <w:bookmarkStart w:id="78" w:name="_Toc18917"/>
            <w:bookmarkStart w:id="79" w:name="_Toc4427"/>
            <w:r>
              <w:rPr>
                <w:rFonts w:hint="default" w:ascii="Times New Roman" w:hAnsi="Times New Roman" w:eastAsia="宋体" w:cs="Times New Roman"/>
                <w:b/>
                <w:color w:val="auto"/>
                <w:sz w:val="28"/>
                <w:szCs w:val="28"/>
                <w:highlight w:val="none"/>
                <w:lang w:val="en-US" w:eastAsia="zh-CN"/>
              </w:rPr>
              <w:t>6.1</w:t>
            </w:r>
            <w:r>
              <w:rPr>
                <w:rFonts w:hint="default" w:ascii="Times New Roman" w:hAnsi="Times New Roman" w:eastAsia="宋体" w:cs="Times New Roman"/>
                <w:b/>
                <w:color w:val="auto"/>
                <w:sz w:val="28"/>
                <w:szCs w:val="28"/>
                <w:highlight w:val="none"/>
              </w:rPr>
              <w:t xml:space="preserve"> 总结论</w:t>
            </w:r>
            <w:bookmarkEnd w:id="76"/>
            <w:bookmarkEnd w:id="77"/>
            <w:bookmarkEnd w:id="78"/>
            <w:bookmarkEnd w:id="79"/>
          </w:p>
          <w:p w14:paraId="0258E83A">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ascii="Times New Roman" w:hAnsi="Times New Roman" w:eastAsia="宋体"/>
                <w:color w:val="auto"/>
                <w:highlight w:val="none"/>
              </w:rPr>
            </w:pPr>
            <w:r>
              <w:rPr>
                <w:rFonts w:hint="eastAsia"/>
                <w:color w:val="auto"/>
                <w:szCs w:val="21"/>
                <w:highlight w:val="none"/>
                <w:lang w:eastAsia="zh-CN"/>
              </w:rPr>
              <w:t>福州景卓汽车零部件有限公司年加工汽车座椅骨架12万套项目</w:t>
            </w:r>
            <w:r>
              <w:rPr>
                <w:rFonts w:ascii="Times New Roman" w:hAnsi="Times New Roman" w:eastAsia="宋体"/>
                <w:color w:val="auto"/>
                <w:highlight w:val="none"/>
              </w:rPr>
              <w:t>的建设符合国家有关产业政策，项目选址合理</w:t>
            </w:r>
            <w:r>
              <w:rPr>
                <w:rFonts w:ascii="Times New Roman" w:hAnsi="Times New Roman" w:eastAsia="宋体"/>
                <w:color w:val="auto"/>
                <w:highlight w:val="none"/>
                <w:lang w:val="zh-CN"/>
              </w:rPr>
              <w:t>，</w:t>
            </w:r>
            <w:r>
              <w:rPr>
                <w:rFonts w:hint="eastAsia" w:ascii="Times New Roman" w:hAnsi="Times New Roman" w:eastAsia="宋体"/>
                <w:color w:val="auto"/>
                <w:highlight w:val="none"/>
              </w:rPr>
              <w:t>平面布局可行。经核查，项目选址位于福清融侨经济技术开发区，符合该区域实施的《福清融侨经济技术开发区总体规划</w:t>
            </w:r>
            <w:r>
              <w:rPr>
                <w:rFonts w:hint="eastAsia"/>
                <w:color w:val="auto"/>
                <w:highlight w:val="none"/>
                <w:lang w:eastAsia="zh-CN"/>
              </w:rPr>
              <w:t>（</w:t>
            </w:r>
            <w:r>
              <w:rPr>
                <w:rFonts w:hint="eastAsia" w:ascii="Times New Roman" w:hAnsi="Times New Roman" w:eastAsia="宋体"/>
                <w:color w:val="auto"/>
                <w:highlight w:val="none"/>
              </w:rPr>
              <w:t>2018</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2035年</w:t>
            </w:r>
            <w:r>
              <w:rPr>
                <w:rFonts w:hint="eastAsia"/>
                <w:color w:val="auto"/>
                <w:highlight w:val="none"/>
                <w:lang w:eastAsia="zh-CN"/>
              </w:rPr>
              <w:t>）</w:t>
            </w:r>
            <w:r>
              <w:rPr>
                <w:rFonts w:hint="eastAsia" w:ascii="Times New Roman" w:hAnsi="Times New Roman" w:eastAsia="宋体"/>
                <w:color w:val="auto"/>
                <w:highlight w:val="none"/>
              </w:rPr>
              <w:t>》的要求及产业定位、环境功能区划和空间布局等要求。同时，项目符合</w:t>
            </w:r>
            <w:r>
              <w:rPr>
                <w:rFonts w:hint="eastAsia"/>
                <w:color w:val="auto"/>
                <w:highlight w:val="none"/>
                <w:lang w:val="en-US" w:eastAsia="zh-CN"/>
              </w:rPr>
              <w:t>福建省</w:t>
            </w:r>
            <w:r>
              <w:rPr>
                <w:rFonts w:hint="eastAsia" w:ascii="Times New Roman" w:hAnsi="Times New Roman" w:eastAsia="宋体"/>
                <w:color w:val="auto"/>
                <w:highlight w:val="none"/>
              </w:rPr>
              <w:t>生态环境分区管控（“三线一单”）要求，本项目所在地管控单位类别为重点管控单元（环境管控单元编码：</w:t>
            </w:r>
            <w:r>
              <w:rPr>
                <w:rFonts w:hint="eastAsia" w:ascii="Times New Roman" w:hAnsi="Times New Roman" w:eastAsia="宋体"/>
                <w:color w:val="auto"/>
                <w:highlight w:val="none"/>
                <w:lang w:val="en-US" w:eastAsia="zh-CN"/>
              </w:rPr>
              <w:t>ZH35018120008</w:t>
            </w:r>
            <w:r>
              <w:rPr>
                <w:rFonts w:hint="eastAsia" w:ascii="Times New Roman" w:hAnsi="Times New Roman" w:eastAsia="宋体"/>
                <w:color w:val="auto"/>
                <w:highlight w:val="none"/>
              </w:rPr>
              <w:t>）的许可范围内，其规模、生产工艺、污染物排放控制符合该单元的生态环境准入清单规定，选址具有环境可行性，布局合理。</w:t>
            </w:r>
            <w:r>
              <w:rPr>
                <w:rFonts w:ascii="Times New Roman" w:hAnsi="Times New Roman" w:eastAsia="宋体"/>
                <w:color w:val="auto"/>
                <w:highlight w:val="none"/>
              </w:rPr>
              <w:t>项目运营后产生的污水、废气、噪声、固废通过采取相应的措施治理，能够实现污染物的达标排放。在工程建设中，严格执行“三同时”制度，项目投产后，严格</w:t>
            </w:r>
            <w:r>
              <w:rPr>
                <w:rFonts w:hint="eastAsia" w:ascii="Times New Roman" w:hAnsi="Times New Roman" w:eastAsia="宋体"/>
                <w:color w:val="auto"/>
                <w:highlight w:val="none"/>
              </w:rPr>
              <w:t>遵守</w:t>
            </w:r>
            <w:r>
              <w:rPr>
                <w:rFonts w:ascii="Times New Roman" w:hAnsi="Times New Roman" w:eastAsia="宋体"/>
                <w:color w:val="auto"/>
                <w:highlight w:val="none"/>
              </w:rPr>
              <w:t>国家有关法律法规</w:t>
            </w:r>
            <w:r>
              <w:rPr>
                <w:rFonts w:hint="eastAsia" w:ascii="Times New Roman" w:hAnsi="Times New Roman" w:eastAsia="宋体"/>
                <w:color w:val="auto"/>
                <w:highlight w:val="none"/>
              </w:rPr>
              <w:t>，严格执行相关标准和</w:t>
            </w:r>
            <w:r>
              <w:rPr>
                <w:rFonts w:ascii="Times New Roman" w:hAnsi="Times New Roman" w:eastAsia="宋体"/>
                <w:color w:val="auto"/>
                <w:highlight w:val="none"/>
              </w:rPr>
              <w:t>技术规范，</w:t>
            </w:r>
            <w:r>
              <w:rPr>
                <w:rFonts w:hint="eastAsia" w:ascii="Times New Roman" w:hAnsi="Times New Roman" w:eastAsia="宋体"/>
                <w:color w:val="auto"/>
                <w:highlight w:val="none"/>
              </w:rPr>
              <w:t>严格</w:t>
            </w:r>
            <w:r>
              <w:rPr>
                <w:rFonts w:ascii="Times New Roman" w:hAnsi="Times New Roman" w:eastAsia="宋体"/>
                <w:color w:val="auto"/>
                <w:highlight w:val="none"/>
              </w:rPr>
              <w:t>落实各项环境风险防范措施，确保污染物排放总量控制在经</w:t>
            </w:r>
            <w:r>
              <w:rPr>
                <w:rFonts w:hint="eastAsia" w:ascii="Times New Roman" w:hAnsi="Times New Roman" w:eastAsia="宋体"/>
                <w:color w:val="auto"/>
                <w:highlight w:val="none"/>
                <w:lang w:val="en-US" w:eastAsia="zh-CN"/>
              </w:rPr>
              <w:t>生态环境</w:t>
            </w:r>
            <w:r>
              <w:rPr>
                <w:rFonts w:ascii="Times New Roman" w:hAnsi="Times New Roman" w:eastAsia="宋体"/>
                <w:color w:val="auto"/>
                <w:highlight w:val="none"/>
              </w:rPr>
              <w:t>主管部门核定的范围内，污染物达标排放的前提下，对周边环境影响较小，</w:t>
            </w:r>
            <w:r>
              <w:rPr>
                <w:rFonts w:hint="eastAsia" w:ascii="Times New Roman" w:hAnsi="Times New Roman" w:eastAsia="宋体"/>
                <w:color w:val="auto"/>
                <w:highlight w:val="none"/>
              </w:rPr>
              <w:t>该项目可实现经济效益、环境效益的协调性发展。</w:t>
            </w:r>
            <w:r>
              <w:rPr>
                <w:rFonts w:ascii="Times New Roman" w:hAnsi="Times New Roman" w:eastAsia="宋体"/>
                <w:color w:val="auto"/>
                <w:highlight w:val="none"/>
              </w:rPr>
              <w:t>从环境保护的角度分析，该项目的建设是可行的。</w:t>
            </w:r>
          </w:p>
          <w:p w14:paraId="721B3360">
            <w:pPr>
              <w:pStyle w:val="157"/>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left"/>
              <w:textAlignment w:val="baseline"/>
              <w:outlineLvl w:val="1"/>
              <w:rPr>
                <w:rFonts w:hint="default" w:ascii="Times New Roman" w:hAnsi="Times New Roman" w:eastAsia="宋体" w:cs="Times New Roman"/>
                <w:b/>
                <w:color w:val="auto"/>
                <w:sz w:val="28"/>
                <w:szCs w:val="28"/>
                <w:highlight w:val="none"/>
              </w:rPr>
            </w:pPr>
            <w:bookmarkStart w:id="80" w:name="_Toc29401"/>
            <w:bookmarkStart w:id="81" w:name="_Toc11017"/>
            <w:bookmarkStart w:id="82" w:name="_Toc29899"/>
            <w:bookmarkStart w:id="83" w:name="_Toc29585"/>
            <w:r>
              <w:rPr>
                <w:rFonts w:hint="default" w:ascii="Times New Roman" w:hAnsi="Times New Roman" w:eastAsia="宋体" w:cs="Times New Roman"/>
                <w:b/>
                <w:color w:val="auto"/>
                <w:sz w:val="28"/>
                <w:szCs w:val="28"/>
                <w:highlight w:val="none"/>
                <w:lang w:val="en-US" w:eastAsia="zh-CN"/>
              </w:rPr>
              <w:t>6.2</w:t>
            </w:r>
            <w:r>
              <w:rPr>
                <w:rFonts w:hint="default" w:ascii="Times New Roman" w:hAnsi="Times New Roman" w:eastAsia="宋体" w:cs="Times New Roman"/>
                <w:b/>
                <w:color w:val="auto"/>
                <w:sz w:val="28"/>
                <w:szCs w:val="28"/>
                <w:highlight w:val="none"/>
              </w:rPr>
              <w:t xml:space="preserve"> 建议</w:t>
            </w:r>
            <w:bookmarkEnd w:id="80"/>
            <w:bookmarkEnd w:id="81"/>
            <w:bookmarkEnd w:id="82"/>
            <w:bookmarkEnd w:id="83"/>
          </w:p>
          <w:p w14:paraId="0D7CB421">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加强管理，保证生产设备正常运行，防止设备带故障使用，防止异常噪声的产生。</w:t>
            </w:r>
          </w:p>
          <w:p w14:paraId="0E92A28C">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由厂内技术管理人员兼职环保工作负责环保设施的运行、检查、维护等工作。</w:t>
            </w:r>
          </w:p>
          <w:p w14:paraId="4AC66712">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加强职工的环保、安全教育，</w:t>
            </w:r>
            <w:r>
              <w:rPr>
                <w:rFonts w:hint="eastAsia" w:ascii="Times New Roman" w:hAnsi="Times New Roman" w:cs="Times New Roman"/>
                <w:color w:val="auto"/>
                <w:sz w:val="24"/>
                <w:szCs w:val="24"/>
                <w:highlight w:val="none"/>
                <w:lang w:eastAsia="zh-CN"/>
              </w:rPr>
              <w:t>增强</w:t>
            </w:r>
            <w:r>
              <w:rPr>
                <w:rFonts w:hint="default" w:ascii="Times New Roman" w:hAnsi="Times New Roman" w:eastAsia="宋体" w:cs="Times New Roman"/>
                <w:color w:val="auto"/>
                <w:sz w:val="24"/>
                <w:szCs w:val="24"/>
                <w:highlight w:val="none"/>
                <w:lang w:eastAsia="zh-CN"/>
              </w:rPr>
              <w:t>环保意识和安全生产意识。</w:t>
            </w:r>
          </w:p>
          <w:p w14:paraId="3C287AE6">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遵守国家关于环保治理措施管理的规定，定期提交设施运行及监测报告，接受环保管理部门的监督。</w:t>
            </w:r>
          </w:p>
          <w:p w14:paraId="3BBED43F">
            <w:pPr>
              <w:pStyle w:val="18"/>
              <w:ind w:firstLine="480" w:firstLineChars="200"/>
              <w:rPr>
                <w:rFonts w:ascii="Times New Roman" w:hAnsi="Times New Roman" w:eastAsia="宋体"/>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加强环保工作的管理，要认真落实环保“三同时”制度。</w:t>
            </w:r>
          </w:p>
          <w:p w14:paraId="605195C7">
            <w:pPr>
              <w:pStyle w:val="18"/>
              <w:rPr>
                <w:rFonts w:ascii="Times New Roman" w:hAnsi="Times New Roman" w:eastAsia="宋体"/>
                <w:color w:val="auto"/>
                <w:sz w:val="24"/>
                <w:szCs w:val="24"/>
                <w:highlight w:val="none"/>
              </w:rPr>
            </w:pPr>
          </w:p>
          <w:p w14:paraId="2564EB4F">
            <w:pPr>
              <w:pStyle w:val="18"/>
              <w:rPr>
                <w:rFonts w:ascii="Times New Roman" w:hAnsi="Times New Roman" w:eastAsia="宋体"/>
                <w:color w:val="auto"/>
                <w:sz w:val="24"/>
                <w:szCs w:val="24"/>
                <w:highlight w:val="none"/>
              </w:rPr>
            </w:pPr>
          </w:p>
          <w:p w14:paraId="5EF0F89D">
            <w:pPr>
              <w:jc w:val="right"/>
              <w:rPr>
                <w:rFonts w:ascii="Times New Roman" w:hAnsi="Times New Roman" w:eastAsia="宋体"/>
                <w:b/>
                <w:bCs/>
                <w:color w:val="auto"/>
                <w:sz w:val="24"/>
                <w:highlight w:val="none"/>
              </w:rPr>
            </w:pPr>
            <w:r>
              <w:rPr>
                <w:rFonts w:hint="eastAsia" w:ascii="Times New Roman" w:hAnsi="Times New Roman" w:eastAsia="宋体"/>
                <w:b/>
                <w:bCs/>
                <w:color w:val="auto"/>
                <w:sz w:val="24"/>
                <w:highlight w:val="none"/>
              </w:rPr>
              <w:t>福州朴诚至信环保科技有限公</w:t>
            </w:r>
            <w:r>
              <w:rPr>
                <w:rFonts w:ascii="Times New Roman" w:hAnsi="Times New Roman" w:eastAsia="宋体"/>
                <w:b/>
                <w:bCs/>
                <w:color w:val="auto"/>
                <w:sz w:val="24"/>
                <w:highlight w:val="none"/>
              </w:rPr>
              <w:t>司</w:t>
            </w:r>
          </w:p>
          <w:p w14:paraId="7A054B27">
            <w:pPr>
              <w:wordWrap w:val="0"/>
              <w:jc w:val="right"/>
              <w:rPr>
                <w:rFonts w:hint="default" w:ascii="Times New Roman" w:hAnsi="Times New Roman" w:eastAsia="宋体"/>
                <w:b/>
                <w:bCs/>
                <w:color w:val="auto"/>
                <w:sz w:val="24"/>
                <w:highlight w:val="none"/>
                <w:lang w:val="en-US" w:eastAsia="zh-CN"/>
              </w:rPr>
            </w:pPr>
            <w:r>
              <w:rPr>
                <w:rFonts w:ascii="Times New Roman" w:hAnsi="Times New Roman" w:eastAsia="宋体"/>
                <w:b/>
                <w:bCs/>
                <w:color w:val="auto"/>
                <w:sz w:val="24"/>
                <w:highlight w:val="none"/>
                <w:lang w:val="zh-CN"/>
              </w:rPr>
              <w:t>202</w:t>
            </w:r>
            <w:r>
              <w:rPr>
                <w:rFonts w:hint="eastAsia"/>
                <w:b/>
                <w:bCs/>
                <w:color w:val="auto"/>
                <w:sz w:val="24"/>
                <w:highlight w:val="none"/>
                <w:lang w:val="en-US" w:eastAsia="zh-CN"/>
              </w:rPr>
              <w:t>6</w:t>
            </w:r>
            <w:r>
              <w:rPr>
                <w:rFonts w:ascii="Times New Roman" w:hAnsi="Times New Roman" w:eastAsia="宋体"/>
                <w:b/>
                <w:bCs/>
                <w:color w:val="auto"/>
                <w:sz w:val="24"/>
                <w:highlight w:val="none"/>
                <w:lang w:val="zh-CN"/>
              </w:rPr>
              <w:t>年</w:t>
            </w:r>
            <w:r>
              <w:rPr>
                <w:rFonts w:hint="eastAsia"/>
                <w:b/>
                <w:bCs/>
                <w:color w:val="auto"/>
                <w:sz w:val="24"/>
                <w:highlight w:val="none"/>
                <w:lang w:val="en-US" w:eastAsia="zh-CN"/>
              </w:rPr>
              <w:t>1</w:t>
            </w:r>
            <w:r>
              <w:rPr>
                <w:rFonts w:ascii="Times New Roman" w:hAnsi="Times New Roman" w:eastAsia="宋体"/>
                <w:b/>
                <w:bCs/>
                <w:color w:val="auto"/>
                <w:sz w:val="24"/>
                <w:highlight w:val="none"/>
                <w:lang w:val="zh-CN"/>
              </w:rPr>
              <w:t>月</w:t>
            </w:r>
          </w:p>
          <w:p w14:paraId="2E07B3B1">
            <w:pPr>
              <w:spacing w:line="360" w:lineRule="auto"/>
              <w:rPr>
                <w:rFonts w:ascii="Times New Roman" w:hAnsi="Times New Roman" w:eastAsia="宋体" w:cs="宋体"/>
                <w:color w:val="auto"/>
                <w:sz w:val="24"/>
                <w:highlight w:val="none"/>
              </w:rPr>
            </w:pPr>
          </w:p>
        </w:tc>
      </w:tr>
    </w:tbl>
    <w:p w14:paraId="6A64D2BA">
      <w:pPr>
        <w:rPr>
          <w:rFonts w:hint="eastAsia" w:ascii="宋体" w:eastAsia="宋体"/>
          <w:color w:val="auto"/>
          <w:highlight w:val="none"/>
          <w:lang w:eastAsia="zh-CN"/>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71DF7117">
      <w:pPr>
        <w:pStyle w:val="30"/>
        <w:adjustRightInd w:val="0"/>
        <w:snapToGrid w:val="0"/>
        <w:spacing w:before="0" w:beforeAutospacing="0" w:after="0" w:afterAutospacing="0"/>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bookmarkEnd w:id="71"/>
      <w:bookmarkEnd w:id="72"/>
      <w:bookmarkEnd w:id="73"/>
      <w:bookmarkEnd w:id="74"/>
      <w:bookmarkEnd w:id="75"/>
    </w:p>
    <w:p w14:paraId="68A1ACE8">
      <w:pPr>
        <w:pStyle w:val="30"/>
        <w:adjustRightInd w:val="0"/>
        <w:snapToGrid w:val="0"/>
        <w:spacing w:before="0" w:beforeAutospacing="0" w:after="0" w:afterAutospacing="0"/>
        <w:jc w:val="center"/>
        <w:outlineLvl w:val="0"/>
        <w:rPr>
          <w:rFonts w:ascii="方正小标宋_GBK" w:hAnsi="黑体" w:eastAsia="方正小标宋_GBK"/>
          <w:snapToGrid w:val="0"/>
          <w:color w:val="auto"/>
          <w:sz w:val="32"/>
          <w:szCs w:val="32"/>
          <w:highlight w:val="none"/>
        </w:rPr>
      </w:pPr>
      <w:bookmarkStart w:id="84" w:name="_Toc2648"/>
      <w:bookmarkStart w:id="85" w:name="_Toc3813"/>
      <w:bookmarkStart w:id="86" w:name="_Toc27685"/>
      <w:bookmarkStart w:id="87" w:name="_Toc29555"/>
      <w:bookmarkStart w:id="88" w:name="_Toc297"/>
      <w:r>
        <w:rPr>
          <w:rFonts w:hint="eastAsia" w:ascii="方正小标宋_GBK" w:hAnsi="黑体" w:eastAsia="方正小标宋_GBK"/>
          <w:snapToGrid w:val="0"/>
          <w:color w:val="auto"/>
          <w:sz w:val="32"/>
          <w:szCs w:val="32"/>
          <w:highlight w:val="none"/>
        </w:rPr>
        <w:t>建设项目</w:t>
      </w:r>
      <w:r>
        <w:rPr>
          <w:rFonts w:hint="eastAsia" w:ascii="方正小标宋_GBK" w:hAnsi="黑体" w:eastAsia="方正小标宋_GBK"/>
          <w:b w:val="0"/>
          <w:bCs w:val="0"/>
          <w:snapToGrid w:val="0"/>
          <w:color w:val="auto"/>
          <w:sz w:val="32"/>
          <w:szCs w:val="32"/>
          <w:highlight w:val="none"/>
        </w:rPr>
        <w:t>污染物排放量汇总</w:t>
      </w:r>
      <w:r>
        <w:rPr>
          <w:rFonts w:hint="eastAsia" w:ascii="方正小标宋_GBK" w:hAnsi="黑体" w:eastAsia="方正小标宋_GBK"/>
          <w:snapToGrid w:val="0"/>
          <w:color w:val="auto"/>
          <w:sz w:val="32"/>
          <w:szCs w:val="32"/>
          <w:highlight w:val="none"/>
        </w:rPr>
        <w:t>表</w:t>
      </w:r>
      <w:bookmarkEnd w:id="84"/>
      <w:bookmarkEnd w:id="85"/>
      <w:bookmarkEnd w:id="86"/>
      <w:bookmarkEnd w:id="87"/>
      <w:bookmarkEnd w:id="88"/>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850"/>
        <w:gridCol w:w="1554"/>
        <w:gridCol w:w="1255"/>
        <w:gridCol w:w="1486"/>
        <w:gridCol w:w="1514"/>
        <w:gridCol w:w="1418"/>
        <w:gridCol w:w="1562"/>
        <w:gridCol w:w="1337"/>
      </w:tblGrid>
      <w:tr w14:paraId="4D300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dxa"/>
            <w:tcBorders>
              <w:tl2br w:val="single" w:color="auto" w:sz="4" w:space="0"/>
            </w:tcBorders>
            <w:tcMar>
              <w:left w:w="28" w:type="dxa"/>
              <w:right w:w="28" w:type="dxa"/>
            </w:tcMar>
            <w:vAlign w:val="center"/>
          </w:tcPr>
          <w:p w14:paraId="553AE1FD">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项目</w:t>
            </w:r>
          </w:p>
          <w:p w14:paraId="754A48F3">
            <w:pPr>
              <w:pStyle w:val="51"/>
              <w:keepNext w:val="0"/>
              <w:keepLines w:val="0"/>
              <w:pageBreakBefore w:val="0"/>
              <w:kinsoku/>
              <w:wordWrap/>
              <w:overflowPunct/>
              <w:topLinePunct w:val="0"/>
              <w:autoSpaceDE/>
              <w:autoSpaceDN/>
              <w:bidi w:val="0"/>
              <w:spacing w:beforeLines="0" w:afterLines="0" w:line="240" w:lineRule="auto"/>
              <w:ind w:left="0"/>
              <w:jc w:val="both"/>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分类</w:t>
            </w:r>
          </w:p>
        </w:tc>
        <w:tc>
          <w:tcPr>
            <w:tcW w:w="2850" w:type="dxa"/>
            <w:tcMar>
              <w:left w:w="28" w:type="dxa"/>
              <w:right w:w="28" w:type="dxa"/>
            </w:tcMar>
            <w:vAlign w:val="center"/>
          </w:tcPr>
          <w:p w14:paraId="50265AFD">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污染物名称</w:t>
            </w:r>
          </w:p>
        </w:tc>
        <w:tc>
          <w:tcPr>
            <w:tcW w:w="1554" w:type="dxa"/>
            <w:tcMar>
              <w:left w:w="28" w:type="dxa"/>
              <w:right w:w="28" w:type="dxa"/>
            </w:tcMar>
            <w:vAlign w:val="center"/>
          </w:tcPr>
          <w:p w14:paraId="4F52A08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现有工程</w:t>
            </w:r>
          </w:p>
          <w:p w14:paraId="2D30399F">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=1\*GB3\*MERGEFORMAT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①</w:t>
            </w:r>
            <w:r>
              <w:rPr>
                <w:rFonts w:ascii="Times New Roman" w:hAnsi="Times New Roman" w:eastAsia="宋体"/>
                <w:snapToGrid w:val="0"/>
                <w:color w:val="auto"/>
                <w:spacing w:val="-6"/>
                <w:kern w:val="21"/>
                <w:sz w:val="21"/>
                <w:szCs w:val="21"/>
                <w:highlight w:val="none"/>
              </w:rPr>
              <w:fldChar w:fldCharType="end"/>
            </w:r>
          </w:p>
        </w:tc>
        <w:tc>
          <w:tcPr>
            <w:tcW w:w="1255" w:type="dxa"/>
            <w:tcMar>
              <w:left w:w="28" w:type="dxa"/>
              <w:right w:w="28" w:type="dxa"/>
            </w:tcMar>
            <w:vAlign w:val="center"/>
          </w:tcPr>
          <w:p w14:paraId="33168A72">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现有工程</w:t>
            </w:r>
          </w:p>
          <w:p w14:paraId="3B5649E7">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许可排放量</w:t>
            </w:r>
          </w:p>
          <w:p w14:paraId="1B6B2DB7">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=2\*GB3\*MERGEFORMAT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snapToGrid w:val="0"/>
                <w:color w:val="auto"/>
                <w:spacing w:val="-6"/>
                <w:kern w:val="21"/>
                <w:sz w:val="21"/>
                <w:szCs w:val="21"/>
                <w:highlight w:val="none"/>
              </w:rPr>
              <w:t>②</w:t>
            </w:r>
            <w:r>
              <w:rPr>
                <w:rFonts w:ascii="Times New Roman" w:hAnsi="Times New Roman" w:eastAsia="宋体"/>
                <w:snapToGrid w:val="0"/>
                <w:color w:val="auto"/>
                <w:spacing w:val="-6"/>
                <w:kern w:val="21"/>
                <w:sz w:val="21"/>
                <w:szCs w:val="21"/>
                <w:highlight w:val="none"/>
              </w:rPr>
              <w:fldChar w:fldCharType="end"/>
            </w:r>
          </w:p>
        </w:tc>
        <w:tc>
          <w:tcPr>
            <w:tcW w:w="1486" w:type="dxa"/>
            <w:tcMar>
              <w:left w:w="28" w:type="dxa"/>
              <w:right w:w="28" w:type="dxa"/>
            </w:tcMar>
            <w:vAlign w:val="center"/>
          </w:tcPr>
          <w:p w14:paraId="67FE48D4">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在建工程</w:t>
            </w:r>
          </w:p>
          <w:p w14:paraId="254A244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=3\*GB3\*MERGEFORMAT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③</w:t>
            </w:r>
            <w:r>
              <w:rPr>
                <w:rFonts w:ascii="Times New Roman" w:hAnsi="Times New Roman" w:eastAsia="宋体"/>
                <w:snapToGrid w:val="0"/>
                <w:color w:val="auto"/>
                <w:spacing w:val="-6"/>
                <w:kern w:val="21"/>
                <w:sz w:val="21"/>
                <w:szCs w:val="21"/>
                <w:highlight w:val="none"/>
              </w:rPr>
              <w:fldChar w:fldCharType="end"/>
            </w:r>
          </w:p>
        </w:tc>
        <w:tc>
          <w:tcPr>
            <w:tcW w:w="1514" w:type="dxa"/>
            <w:tcMar>
              <w:left w:w="28" w:type="dxa"/>
              <w:right w:w="28" w:type="dxa"/>
            </w:tcMar>
            <w:vAlign w:val="center"/>
          </w:tcPr>
          <w:p w14:paraId="2C005E64">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本项目</w:t>
            </w:r>
          </w:p>
          <w:p w14:paraId="739C03E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=4\*GB3\*MERGEFORMAT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④</w:t>
            </w:r>
            <w:r>
              <w:rPr>
                <w:rFonts w:ascii="Times New Roman" w:hAnsi="Times New Roman" w:eastAsia="宋体"/>
                <w:snapToGrid w:val="0"/>
                <w:color w:val="auto"/>
                <w:spacing w:val="-6"/>
                <w:kern w:val="21"/>
                <w:sz w:val="21"/>
                <w:szCs w:val="21"/>
                <w:highlight w:val="none"/>
              </w:rPr>
              <w:fldChar w:fldCharType="end"/>
            </w:r>
          </w:p>
        </w:tc>
        <w:tc>
          <w:tcPr>
            <w:tcW w:w="1418" w:type="dxa"/>
            <w:tcMar>
              <w:left w:w="28" w:type="dxa"/>
              <w:right w:w="28" w:type="dxa"/>
            </w:tcMar>
            <w:vAlign w:val="center"/>
          </w:tcPr>
          <w:p w14:paraId="2E23D1B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以新带老削减量</w:t>
            </w:r>
          </w:p>
          <w:p w14:paraId="0988D599">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（新建项目不填）</w:t>
            </w:r>
            <w:r>
              <w:rPr>
                <w:rFonts w:ascii="Times New Roman" w:hAnsi="Times New Roman" w:eastAsia="宋体"/>
                <w:snapToGrid w:val="0"/>
                <w:color w:val="auto"/>
                <w:spacing w:val="-16"/>
                <w:kern w:val="21"/>
                <w:sz w:val="21"/>
                <w:szCs w:val="21"/>
                <w:highlight w:val="none"/>
              </w:rPr>
              <w:fldChar w:fldCharType="begin"/>
            </w:r>
            <w:r>
              <w:rPr>
                <w:rFonts w:ascii="Times New Roman" w:hAnsi="Times New Roman" w:eastAsia="宋体"/>
                <w:snapToGrid w:val="0"/>
                <w:color w:val="auto"/>
                <w:spacing w:val="-16"/>
                <w:kern w:val="21"/>
                <w:sz w:val="21"/>
                <w:szCs w:val="21"/>
                <w:highlight w:val="none"/>
              </w:rPr>
              <w:instrText xml:space="preserve">=5\*GB3\*MERGEFORMAT</w:instrText>
            </w:r>
            <w:r>
              <w:rPr>
                <w:rFonts w:ascii="Times New Roman" w:hAnsi="Times New Roman" w:eastAsia="宋体"/>
                <w:snapToGrid w:val="0"/>
                <w:color w:val="auto"/>
                <w:spacing w:val="-16"/>
                <w:kern w:val="21"/>
                <w:sz w:val="21"/>
                <w:szCs w:val="21"/>
                <w:highlight w:val="none"/>
              </w:rPr>
              <w:fldChar w:fldCharType="separate"/>
            </w:r>
            <w:r>
              <w:rPr>
                <w:rFonts w:ascii="Times New Roman" w:hAnsi="Times New Roman" w:eastAsia="宋体"/>
                <w:color w:val="auto"/>
                <w:kern w:val="2"/>
                <w:sz w:val="21"/>
                <w:szCs w:val="21"/>
                <w:highlight w:val="none"/>
              </w:rPr>
              <w:t>⑤</w:t>
            </w:r>
            <w:r>
              <w:rPr>
                <w:rFonts w:ascii="Times New Roman" w:hAnsi="Times New Roman" w:eastAsia="宋体"/>
                <w:snapToGrid w:val="0"/>
                <w:color w:val="auto"/>
                <w:spacing w:val="-16"/>
                <w:kern w:val="21"/>
                <w:sz w:val="21"/>
                <w:szCs w:val="21"/>
                <w:highlight w:val="none"/>
              </w:rPr>
              <w:fldChar w:fldCharType="end"/>
            </w:r>
          </w:p>
        </w:tc>
        <w:tc>
          <w:tcPr>
            <w:tcW w:w="1562" w:type="dxa"/>
            <w:tcMar>
              <w:left w:w="28" w:type="dxa"/>
              <w:right w:w="28" w:type="dxa"/>
            </w:tcMar>
            <w:vAlign w:val="center"/>
          </w:tcPr>
          <w:p w14:paraId="0ED57691">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本项目建成后</w:t>
            </w:r>
          </w:p>
          <w:p w14:paraId="42DD77EC">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全厂排放量（固体废物产生量）</w:t>
            </w:r>
            <w:r>
              <w:rPr>
                <w:rFonts w:ascii="Times New Roman" w:hAnsi="Times New Roman" w:eastAsia="宋体"/>
                <w:snapToGrid w:val="0"/>
                <w:color w:val="auto"/>
                <w:spacing w:val="-16"/>
                <w:kern w:val="21"/>
                <w:sz w:val="21"/>
                <w:szCs w:val="21"/>
                <w:highlight w:val="none"/>
              </w:rPr>
              <w:fldChar w:fldCharType="begin"/>
            </w:r>
            <w:r>
              <w:rPr>
                <w:rFonts w:ascii="Times New Roman" w:hAnsi="Times New Roman" w:eastAsia="宋体"/>
                <w:snapToGrid w:val="0"/>
                <w:color w:val="auto"/>
                <w:spacing w:val="-16"/>
                <w:kern w:val="21"/>
                <w:sz w:val="21"/>
                <w:szCs w:val="21"/>
                <w:highlight w:val="none"/>
              </w:rPr>
              <w:instrText xml:space="preserve">=6\*GB3\*MERGEFORMAT</w:instrText>
            </w:r>
            <w:r>
              <w:rPr>
                <w:rFonts w:ascii="Times New Roman" w:hAnsi="Times New Roman" w:eastAsia="宋体"/>
                <w:snapToGrid w:val="0"/>
                <w:color w:val="auto"/>
                <w:spacing w:val="-16"/>
                <w:kern w:val="21"/>
                <w:sz w:val="21"/>
                <w:szCs w:val="21"/>
                <w:highlight w:val="none"/>
              </w:rPr>
              <w:fldChar w:fldCharType="separate"/>
            </w:r>
            <w:r>
              <w:rPr>
                <w:rFonts w:ascii="Times New Roman" w:hAnsi="Times New Roman" w:eastAsia="宋体"/>
                <w:color w:val="auto"/>
                <w:kern w:val="2"/>
                <w:sz w:val="21"/>
                <w:szCs w:val="21"/>
                <w:highlight w:val="none"/>
              </w:rPr>
              <w:t>⑥</w:t>
            </w:r>
            <w:r>
              <w:rPr>
                <w:rFonts w:ascii="Times New Roman" w:hAnsi="Times New Roman" w:eastAsia="宋体"/>
                <w:snapToGrid w:val="0"/>
                <w:color w:val="auto"/>
                <w:spacing w:val="-16"/>
                <w:kern w:val="21"/>
                <w:sz w:val="21"/>
                <w:szCs w:val="21"/>
                <w:highlight w:val="none"/>
              </w:rPr>
              <w:fldChar w:fldCharType="end"/>
            </w:r>
          </w:p>
        </w:tc>
        <w:tc>
          <w:tcPr>
            <w:tcW w:w="1337" w:type="dxa"/>
            <w:tcMar>
              <w:left w:w="28" w:type="dxa"/>
              <w:right w:w="28" w:type="dxa"/>
            </w:tcMar>
            <w:vAlign w:val="center"/>
          </w:tcPr>
          <w:p w14:paraId="2667B1C8">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变化量</w:t>
            </w:r>
          </w:p>
          <w:p w14:paraId="6E33FEF5">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=7\*GB3\*MERGEFORMAT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⑦</w:t>
            </w:r>
            <w:r>
              <w:rPr>
                <w:rFonts w:ascii="Times New Roman" w:hAnsi="Times New Roman" w:eastAsia="宋体"/>
                <w:snapToGrid w:val="0"/>
                <w:color w:val="auto"/>
                <w:spacing w:val="-6"/>
                <w:kern w:val="21"/>
                <w:sz w:val="21"/>
                <w:szCs w:val="21"/>
                <w:highlight w:val="none"/>
              </w:rPr>
              <w:fldChar w:fldCharType="end"/>
            </w:r>
          </w:p>
        </w:tc>
      </w:tr>
      <w:tr w14:paraId="2870A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812" w:type="dxa"/>
            <w:vMerge w:val="restart"/>
            <w:shd w:val="clear" w:color="auto" w:fill="auto"/>
            <w:vAlign w:val="center"/>
          </w:tcPr>
          <w:p w14:paraId="1EC82F9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废气</w:t>
            </w:r>
          </w:p>
        </w:tc>
        <w:tc>
          <w:tcPr>
            <w:tcW w:w="2850" w:type="dxa"/>
            <w:shd w:val="clear" w:color="auto" w:fill="auto"/>
            <w:vAlign w:val="center"/>
          </w:tcPr>
          <w:p w14:paraId="2D143C9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VOCs</w:t>
            </w:r>
          </w:p>
        </w:tc>
        <w:tc>
          <w:tcPr>
            <w:tcW w:w="1554" w:type="dxa"/>
            <w:vAlign w:val="center"/>
          </w:tcPr>
          <w:p w14:paraId="5A6FB286">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hint="eastAsia" w:ascii="Times New Roman" w:hAnsi="Times New Roman" w:eastAsia="宋体"/>
                <w:color w:val="auto"/>
                <w:kern w:val="0"/>
                <w:sz w:val="21"/>
                <w:szCs w:val="21"/>
                <w:highlight w:val="none"/>
                <w:lang w:val="en-US" w:eastAsia="zh-CN" w:bidi="ar"/>
              </w:rPr>
              <w:t>/</w:t>
            </w:r>
          </w:p>
        </w:tc>
        <w:tc>
          <w:tcPr>
            <w:tcW w:w="1255" w:type="dxa"/>
            <w:vAlign w:val="center"/>
          </w:tcPr>
          <w:p w14:paraId="677EEA7F">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snapToGrid w:val="0"/>
                <w:color w:val="auto"/>
                <w:kern w:val="21"/>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w:t>
            </w:r>
          </w:p>
        </w:tc>
        <w:tc>
          <w:tcPr>
            <w:tcW w:w="1486" w:type="dxa"/>
            <w:vAlign w:val="center"/>
          </w:tcPr>
          <w:p w14:paraId="1F0A9E75">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auto"/>
                <w:kern w:val="21"/>
                <w:sz w:val="21"/>
                <w:szCs w:val="21"/>
                <w:highlight w:val="none"/>
                <w:lang w:eastAsia="zh-CN"/>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57F8824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0.8845</w:t>
            </w:r>
          </w:p>
        </w:tc>
        <w:tc>
          <w:tcPr>
            <w:tcW w:w="1418" w:type="dxa"/>
            <w:vAlign w:val="center"/>
          </w:tcPr>
          <w:p w14:paraId="161C996A">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hint="eastAsia" w:ascii="Times New Roman" w:hAnsi="Times New Roman" w:eastAsia="宋体"/>
                <w:color w:val="auto"/>
                <w:kern w:val="0"/>
                <w:sz w:val="21"/>
                <w:szCs w:val="21"/>
                <w:highlight w:val="none"/>
                <w:lang w:val="en-US" w:eastAsia="zh-CN" w:bidi="ar"/>
              </w:rPr>
              <w:t>/</w:t>
            </w:r>
          </w:p>
        </w:tc>
        <w:tc>
          <w:tcPr>
            <w:tcW w:w="1562" w:type="dxa"/>
            <w:shd w:val="clear" w:color="auto" w:fill="auto"/>
            <w:vAlign w:val="center"/>
          </w:tcPr>
          <w:p w14:paraId="642911C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0.8845</w:t>
            </w:r>
          </w:p>
        </w:tc>
        <w:tc>
          <w:tcPr>
            <w:tcW w:w="1337" w:type="dxa"/>
            <w:shd w:val="clear" w:color="auto" w:fill="auto"/>
            <w:vAlign w:val="center"/>
          </w:tcPr>
          <w:p w14:paraId="62D7514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+0.8845</w:t>
            </w:r>
          </w:p>
        </w:tc>
      </w:tr>
      <w:tr w14:paraId="19F98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14:paraId="76DFCAA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5E408B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颗粒物</w:t>
            </w:r>
          </w:p>
        </w:tc>
        <w:tc>
          <w:tcPr>
            <w:tcW w:w="1554" w:type="dxa"/>
            <w:vAlign w:val="center"/>
          </w:tcPr>
          <w:p w14:paraId="58DD1DB4">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255" w:type="dxa"/>
            <w:vAlign w:val="center"/>
          </w:tcPr>
          <w:p w14:paraId="7FB6CF50">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486" w:type="dxa"/>
            <w:vAlign w:val="center"/>
          </w:tcPr>
          <w:p w14:paraId="202BD87B">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auto"/>
                <w:kern w:val="21"/>
                <w:sz w:val="21"/>
                <w:szCs w:val="21"/>
                <w:highlight w:val="none"/>
                <w:lang w:eastAsia="zh-CN"/>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6542E9E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0.8376</w:t>
            </w:r>
          </w:p>
        </w:tc>
        <w:tc>
          <w:tcPr>
            <w:tcW w:w="1418" w:type="dxa"/>
            <w:vAlign w:val="center"/>
          </w:tcPr>
          <w:p w14:paraId="572D41D6">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006A8DC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0.8376</w:t>
            </w:r>
          </w:p>
        </w:tc>
        <w:tc>
          <w:tcPr>
            <w:tcW w:w="1337" w:type="dxa"/>
            <w:shd w:val="clear" w:color="auto" w:fill="auto"/>
            <w:vAlign w:val="center"/>
          </w:tcPr>
          <w:p w14:paraId="3BF6F82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+0.8376</w:t>
            </w:r>
          </w:p>
        </w:tc>
      </w:tr>
      <w:tr w14:paraId="4E6D7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5ABDD1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45BE8A1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二氧化硫</w:t>
            </w:r>
          </w:p>
        </w:tc>
        <w:tc>
          <w:tcPr>
            <w:tcW w:w="1554" w:type="dxa"/>
            <w:shd w:val="clear" w:color="auto" w:fill="auto"/>
            <w:vAlign w:val="center"/>
          </w:tcPr>
          <w:p w14:paraId="575047BA">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5FF5E41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316E5FA7">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0E1B53C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0.01</w:t>
            </w:r>
          </w:p>
        </w:tc>
        <w:tc>
          <w:tcPr>
            <w:tcW w:w="1418" w:type="dxa"/>
            <w:shd w:val="clear" w:color="auto" w:fill="auto"/>
            <w:vAlign w:val="center"/>
          </w:tcPr>
          <w:p w14:paraId="62021B50">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302F994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0.01</w:t>
            </w:r>
          </w:p>
        </w:tc>
        <w:tc>
          <w:tcPr>
            <w:tcW w:w="1337" w:type="dxa"/>
            <w:shd w:val="clear" w:color="auto" w:fill="auto"/>
            <w:vAlign w:val="center"/>
          </w:tcPr>
          <w:p w14:paraId="7C75F1A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+0.01</w:t>
            </w:r>
          </w:p>
        </w:tc>
      </w:tr>
      <w:tr w14:paraId="7B322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B5FDB0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2190FCD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氮氧化物</w:t>
            </w:r>
          </w:p>
        </w:tc>
        <w:tc>
          <w:tcPr>
            <w:tcW w:w="1554" w:type="dxa"/>
            <w:shd w:val="clear" w:color="auto" w:fill="auto"/>
            <w:vAlign w:val="center"/>
          </w:tcPr>
          <w:p w14:paraId="57D6D3D3">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6BD3EC8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1C83ED6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2704D48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0.082</w:t>
            </w:r>
          </w:p>
        </w:tc>
        <w:tc>
          <w:tcPr>
            <w:tcW w:w="1418" w:type="dxa"/>
            <w:shd w:val="clear" w:color="auto" w:fill="auto"/>
            <w:vAlign w:val="center"/>
          </w:tcPr>
          <w:p w14:paraId="73AF274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70AFD6A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0.082</w:t>
            </w:r>
          </w:p>
        </w:tc>
        <w:tc>
          <w:tcPr>
            <w:tcW w:w="1337" w:type="dxa"/>
            <w:shd w:val="clear" w:color="auto" w:fill="auto"/>
            <w:vAlign w:val="center"/>
          </w:tcPr>
          <w:p w14:paraId="12E7C2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+0.082</w:t>
            </w:r>
          </w:p>
        </w:tc>
      </w:tr>
      <w:tr w14:paraId="43659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exact"/>
        </w:trPr>
        <w:tc>
          <w:tcPr>
            <w:tcW w:w="812" w:type="dxa"/>
            <w:vMerge w:val="continue"/>
            <w:vAlign w:val="center"/>
          </w:tcPr>
          <w:p w14:paraId="3C8D763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F377D9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氨</w:t>
            </w:r>
          </w:p>
        </w:tc>
        <w:tc>
          <w:tcPr>
            <w:tcW w:w="1554" w:type="dxa"/>
            <w:vAlign w:val="center"/>
          </w:tcPr>
          <w:p w14:paraId="4F0E40EB">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283C214B">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20C0EC8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4707DC9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0.06</w:t>
            </w:r>
          </w:p>
        </w:tc>
        <w:tc>
          <w:tcPr>
            <w:tcW w:w="1418" w:type="dxa"/>
            <w:vAlign w:val="center"/>
          </w:tcPr>
          <w:p w14:paraId="2FB4DB45">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5C62BCB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0.06</w:t>
            </w:r>
          </w:p>
        </w:tc>
        <w:tc>
          <w:tcPr>
            <w:tcW w:w="1337" w:type="dxa"/>
            <w:shd w:val="clear" w:color="auto" w:fill="auto"/>
            <w:vAlign w:val="center"/>
          </w:tcPr>
          <w:p w14:paraId="34ED5F3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+0.06</w:t>
            </w:r>
          </w:p>
        </w:tc>
      </w:tr>
      <w:tr w14:paraId="473AE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812" w:type="dxa"/>
            <w:vMerge w:val="continue"/>
            <w:vAlign w:val="center"/>
          </w:tcPr>
          <w:p w14:paraId="25B7F00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00B324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硫化氢</w:t>
            </w:r>
          </w:p>
        </w:tc>
        <w:tc>
          <w:tcPr>
            <w:tcW w:w="1554" w:type="dxa"/>
            <w:vAlign w:val="center"/>
          </w:tcPr>
          <w:p w14:paraId="25D3B72B">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304ED5A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7C5F9E99">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370C1A3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0.12</w:t>
            </w:r>
          </w:p>
        </w:tc>
        <w:tc>
          <w:tcPr>
            <w:tcW w:w="1418" w:type="dxa"/>
            <w:vAlign w:val="center"/>
          </w:tcPr>
          <w:p w14:paraId="4C6EA662">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53A32BF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0.12</w:t>
            </w:r>
          </w:p>
        </w:tc>
        <w:tc>
          <w:tcPr>
            <w:tcW w:w="1337" w:type="dxa"/>
            <w:shd w:val="clear" w:color="auto" w:fill="auto"/>
            <w:vAlign w:val="center"/>
          </w:tcPr>
          <w:p w14:paraId="1D53595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+0.12</w:t>
            </w:r>
          </w:p>
        </w:tc>
      </w:tr>
      <w:tr w14:paraId="66581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14:paraId="3D38D74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废水</w:t>
            </w:r>
          </w:p>
        </w:tc>
        <w:tc>
          <w:tcPr>
            <w:tcW w:w="2850" w:type="dxa"/>
            <w:shd w:val="clear" w:color="auto" w:fill="auto"/>
            <w:vAlign w:val="center"/>
          </w:tcPr>
          <w:p w14:paraId="7410A20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COD</w:t>
            </w:r>
          </w:p>
        </w:tc>
        <w:tc>
          <w:tcPr>
            <w:tcW w:w="1554" w:type="dxa"/>
            <w:vAlign w:val="center"/>
          </w:tcPr>
          <w:p w14:paraId="74C9FA94">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57798AC0">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2457B992">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6D5C69A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宋体"/>
                <w:color w:val="auto"/>
                <w:spacing w:val="7"/>
                <w:sz w:val="21"/>
                <w:lang w:val="en-US" w:eastAsia="zh-CN"/>
              </w:rPr>
              <w:t>0.335</w:t>
            </w:r>
          </w:p>
        </w:tc>
        <w:tc>
          <w:tcPr>
            <w:tcW w:w="1418" w:type="dxa"/>
            <w:vAlign w:val="center"/>
          </w:tcPr>
          <w:p w14:paraId="7DC16A10">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73AFA66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0.335</w:t>
            </w:r>
          </w:p>
        </w:tc>
        <w:tc>
          <w:tcPr>
            <w:tcW w:w="1337" w:type="dxa"/>
            <w:shd w:val="clear" w:color="auto" w:fill="auto"/>
            <w:vAlign w:val="center"/>
          </w:tcPr>
          <w:p w14:paraId="7D8E8E9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+0.335</w:t>
            </w:r>
          </w:p>
        </w:tc>
      </w:tr>
      <w:tr w14:paraId="7CB86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7B3645A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6ACFFA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BOD</w:t>
            </w:r>
            <w:r>
              <w:rPr>
                <w:rFonts w:ascii="Times New Roman" w:hAnsi="Times New Roman" w:eastAsia="宋体" w:cs="宋体"/>
                <w:color w:val="auto"/>
                <w:spacing w:val="7"/>
                <w:sz w:val="21"/>
                <w:vertAlign w:val="subscript"/>
              </w:rPr>
              <w:t>5</w:t>
            </w:r>
          </w:p>
        </w:tc>
        <w:tc>
          <w:tcPr>
            <w:tcW w:w="1554" w:type="dxa"/>
            <w:shd w:val="clear" w:color="auto" w:fill="auto"/>
            <w:vAlign w:val="center"/>
          </w:tcPr>
          <w:p w14:paraId="0ACCEFF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6F1CE6FA">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51533383">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616FF7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0.1416</w:t>
            </w:r>
          </w:p>
        </w:tc>
        <w:tc>
          <w:tcPr>
            <w:tcW w:w="1418" w:type="dxa"/>
            <w:shd w:val="clear" w:color="auto" w:fill="auto"/>
            <w:vAlign w:val="center"/>
          </w:tcPr>
          <w:p w14:paraId="6966EA34">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7C9411CB">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0.1416</w:t>
            </w:r>
          </w:p>
        </w:tc>
        <w:tc>
          <w:tcPr>
            <w:tcW w:w="1337" w:type="dxa"/>
            <w:shd w:val="clear" w:color="auto" w:fill="auto"/>
            <w:vAlign w:val="center"/>
          </w:tcPr>
          <w:p w14:paraId="7820E727">
            <w:pPr>
              <w:keepNext w:val="0"/>
              <w:keepLines w:val="0"/>
              <w:widowControl/>
              <w:suppressLineNumbers w:val="0"/>
              <w:jc w:val="center"/>
              <w:textAlignment w:val="center"/>
              <w:rPr>
                <w:rFonts w:hint="eastAsia"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0.1416</w:t>
            </w:r>
          </w:p>
        </w:tc>
      </w:tr>
      <w:tr w14:paraId="04F31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114685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50BFD4F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SS</w:t>
            </w:r>
          </w:p>
        </w:tc>
        <w:tc>
          <w:tcPr>
            <w:tcW w:w="1554" w:type="dxa"/>
            <w:vAlign w:val="center"/>
          </w:tcPr>
          <w:p w14:paraId="1FC2704C">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454A11F4">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07E31028">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65E1B8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0.2129</w:t>
            </w:r>
          </w:p>
        </w:tc>
        <w:tc>
          <w:tcPr>
            <w:tcW w:w="1418" w:type="dxa"/>
            <w:vAlign w:val="center"/>
          </w:tcPr>
          <w:p w14:paraId="17B994F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ED472C8">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0.2129</w:t>
            </w:r>
          </w:p>
        </w:tc>
        <w:tc>
          <w:tcPr>
            <w:tcW w:w="1337" w:type="dxa"/>
            <w:shd w:val="clear" w:color="auto" w:fill="auto"/>
            <w:vAlign w:val="center"/>
          </w:tcPr>
          <w:p w14:paraId="1D635282">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0.2129</w:t>
            </w:r>
          </w:p>
        </w:tc>
      </w:tr>
      <w:tr w14:paraId="189A8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3A3AE7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7AF9528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石油类</w:t>
            </w:r>
          </w:p>
        </w:tc>
        <w:tc>
          <w:tcPr>
            <w:tcW w:w="1554" w:type="dxa"/>
            <w:vAlign w:val="center"/>
          </w:tcPr>
          <w:p w14:paraId="277368E6">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127BE50E">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620C7CF2">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517824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1418" w:type="dxa"/>
            <w:vAlign w:val="center"/>
          </w:tcPr>
          <w:p w14:paraId="7096A285">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3D55A6B8">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1337" w:type="dxa"/>
            <w:shd w:val="clear" w:color="auto" w:fill="auto"/>
            <w:vAlign w:val="center"/>
          </w:tcPr>
          <w:p w14:paraId="4134BB02">
            <w:pPr>
              <w:keepNext w:val="0"/>
              <w:keepLines w:val="0"/>
              <w:widowControl/>
              <w:suppressLineNumbers w:val="0"/>
              <w:jc w:val="center"/>
              <w:textAlignment w:val="center"/>
              <w:rPr>
                <w:rFonts w:hint="eastAsia"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0.0136</w:t>
            </w:r>
          </w:p>
        </w:tc>
      </w:tr>
      <w:tr w14:paraId="11F8C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06F9F17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p>
        </w:tc>
        <w:tc>
          <w:tcPr>
            <w:tcW w:w="2850" w:type="dxa"/>
            <w:shd w:val="clear" w:color="auto" w:fill="auto"/>
            <w:vAlign w:val="center"/>
          </w:tcPr>
          <w:p w14:paraId="02BDF67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LAS</w:t>
            </w:r>
          </w:p>
        </w:tc>
        <w:tc>
          <w:tcPr>
            <w:tcW w:w="1554" w:type="dxa"/>
            <w:vAlign w:val="center"/>
          </w:tcPr>
          <w:p w14:paraId="2DF293AB">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2D8FE77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731AA360">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3B43C6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0.0019</w:t>
            </w:r>
          </w:p>
        </w:tc>
        <w:tc>
          <w:tcPr>
            <w:tcW w:w="1418" w:type="dxa"/>
            <w:vAlign w:val="center"/>
          </w:tcPr>
          <w:p w14:paraId="0F317D83">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0511EB07">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0.0019</w:t>
            </w:r>
          </w:p>
        </w:tc>
        <w:tc>
          <w:tcPr>
            <w:tcW w:w="1337" w:type="dxa"/>
            <w:shd w:val="clear" w:color="auto" w:fill="auto"/>
            <w:vAlign w:val="center"/>
          </w:tcPr>
          <w:p w14:paraId="1C92ACBD">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0.0019</w:t>
            </w:r>
          </w:p>
        </w:tc>
      </w:tr>
      <w:tr w14:paraId="52C96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7340D8F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43D3656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氨氮</w:t>
            </w:r>
          </w:p>
        </w:tc>
        <w:tc>
          <w:tcPr>
            <w:tcW w:w="1554" w:type="dxa"/>
            <w:vAlign w:val="center"/>
          </w:tcPr>
          <w:p w14:paraId="3327BEEC">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5287274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43BFBA0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1211E8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0.01334</w:t>
            </w:r>
          </w:p>
        </w:tc>
        <w:tc>
          <w:tcPr>
            <w:tcW w:w="1418" w:type="dxa"/>
            <w:vAlign w:val="center"/>
          </w:tcPr>
          <w:p w14:paraId="6760A8C5">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A03FE24">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0.01334</w:t>
            </w:r>
          </w:p>
        </w:tc>
        <w:tc>
          <w:tcPr>
            <w:tcW w:w="1337" w:type="dxa"/>
            <w:shd w:val="clear" w:color="auto" w:fill="auto"/>
            <w:vAlign w:val="center"/>
          </w:tcPr>
          <w:p w14:paraId="5B25538B">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0.01334</w:t>
            </w:r>
          </w:p>
        </w:tc>
      </w:tr>
      <w:tr w14:paraId="738DA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B96531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71012D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TN</w:t>
            </w:r>
          </w:p>
        </w:tc>
        <w:tc>
          <w:tcPr>
            <w:tcW w:w="1554" w:type="dxa"/>
            <w:vAlign w:val="center"/>
          </w:tcPr>
          <w:p w14:paraId="56700256">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7D2EBC2F">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6010E49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6C0201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0.0204</w:t>
            </w:r>
          </w:p>
        </w:tc>
        <w:tc>
          <w:tcPr>
            <w:tcW w:w="1418" w:type="dxa"/>
            <w:vAlign w:val="center"/>
          </w:tcPr>
          <w:p w14:paraId="4DD943E0">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D25D2F6">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0.0204</w:t>
            </w:r>
          </w:p>
        </w:tc>
        <w:tc>
          <w:tcPr>
            <w:tcW w:w="1337" w:type="dxa"/>
            <w:shd w:val="clear" w:color="auto" w:fill="auto"/>
            <w:vAlign w:val="center"/>
          </w:tcPr>
          <w:p w14:paraId="562AE588">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0.0204</w:t>
            </w:r>
          </w:p>
        </w:tc>
      </w:tr>
      <w:tr w14:paraId="17279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14:paraId="62018C1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一般工业</w:t>
            </w:r>
          </w:p>
          <w:p w14:paraId="2FB1909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固体废物</w:t>
            </w:r>
          </w:p>
        </w:tc>
        <w:tc>
          <w:tcPr>
            <w:tcW w:w="2850" w:type="dxa"/>
            <w:shd w:val="clear" w:color="auto" w:fill="auto"/>
            <w:vAlign w:val="center"/>
          </w:tcPr>
          <w:p w14:paraId="413D2F7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废一般包装材料</w:t>
            </w:r>
          </w:p>
        </w:tc>
        <w:tc>
          <w:tcPr>
            <w:tcW w:w="1554" w:type="dxa"/>
            <w:shd w:val="clear" w:color="auto" w:fill="auto"/>
            <w:vAlign w:val="center"/>
          </w:tcPr>
          <w:p w14:paraId="1E635EFB">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255" w:type="dxa"/>
            <w:shd w:val="clear" w:color="auto" w:fill="auto"/>
            <w:vAlign w:val="center"/>
          </w:tcPr>
          <w:p w14:paraId="109AAF80">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486" w:type="dxa"/>
            <w:shd w:val="clear" w:color="auto" w:fill="auto"/>
            <w:vAlign w:val="center"/>
          </w:tcPr>
          <w:p w14:paraId="4935B12F">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514" w:type="dxa"/>
            <w:shd w:val="clear" w:color="auto" w:fill="auto"/>
            <w:vAlign w:val="center"/>
          </w:tcPr>
          <w:p w14:paraId="663D368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0.9</w:t>
            </w:r>
          </w:p>
        </w:tc>
        <w:tc>
          <w:tcPr>
            <w:tcW w:w="1418" w:type="dxa"/>
            <w:shd w:val="clear" w:color="auto" w:fill="auto"/>
            <w:vAlign w:val="center"/>
          </w:tcPr>
          <w:p w14:paraId="2892EB05">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562" w:type="dxa"/>
            <w:shd w:val="clear" w:color="auto" w:fill="auto"/>
            <w:vAlign w:val="center"/>
          </w:tcPr>
          <w:p w14:paraId="2143795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0.9</w:t>
            </w:r>
          </w:p>
        </w:tc>
        <w:tc>
          <w:tcPr>
            <w:tcW w:w="1337" w:type="dxa"/>
            <w:shd w:val="clear" w:color="auto" w:fill="auto"/>
            <w:vAlign w:val="center"/>
          </w:tcPr>
          <w:p w14:paraId="21FF528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0.9</w:t>
            </w:r>
          </w:p>
        </w:tc>
      </w:tr>
      <w:tr w14:paraId="22BEF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9FC0E0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57164E1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废金属料</w:t>
            </w:r>
          </w:p>
        </w:tc>
        <w:tc>
          <w:tcPr>
            <w:tcW w:w="1554" w:type="dxa"/>
            <w:shd w:val="clear" w:color="auto" w:fill="auto"/>
            <w:vAlign w:val="center"/>
          </w:tcPr>
          <w:p w14:paraId="47AB142B">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67F98D21">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26F67AF3">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0255508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10</w:t>
            </w:r>
          </w:p>
        </w:tc>
        <w:tc>
          <w:tcPr>
            <w:tcW w:w="1418" w:type="dxa"/>
            <w:shd w:val="clear" w:color="auto" w:fill="auto"/>
            <w:vAlign w:val="center"/>
          </w:tcPr>
          <w:p w14:paraId="52021C73">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D0C146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10</w:t>
            </w:r>
          </w:p>
        </w:tc>
        <w:tc>
          <w:tcPr>
            <w:tcW w:w="1337" w:type="dxa"/>
            <w:shd w:val="clear" w:color="auto" w:fill="auto"/>
            <w:vAlign w:val="center"/>
          </w:tcPr>
          <w:p w14:paraId="3DF6069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10</w:t>
            </w:r>
          </w:p>
        </w:tc>
      </w:tr>
      <w:tr w14:paraId="4B3F3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25229B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21FE759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焊渣</w:t>
            </w:r>
          </w:p>
        </w:tc>
        <w:tc>
          <w:tcPr>
            <w:tcW w:w="1554" w:type="dxa"/>
            <w:shd w:val="clear" w:color="auto" w:fill="auto"/>
            <w:vAlign w:val="center"/>
          </w:tcPr>
          <w:p w14:paraId="279396A4">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66652F2C">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7E72F5B8">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3B40550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4</w:t>
            </w:r>
          </w:p>
        </w:tc>
        <w:tc>
          <w:tcPr>
            <w:tcW w:w="1418" w:type="dxa"/>
            <w:shd w:val="clear" w:color="auto" w:fill="auto"/>
            <w:vAlign w:val="center"/>
          </w:tcPr>
          <w:p w14:paraId="01CFC1D4">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554BC6A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4</w:t>
            </w:r>
          </w:p>
        </w:tc>
        <w:tc>
          <w:tcPr>
            <w:tcW w:w="1337" w:type="dxa"/>
            <w:shd w:val="clear" w:color="auto" w:fill="auto"/>
            <w:vAlign w:val="center"/>
          </w:tcPr>
          <w:p w14:paraId="7B07545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4</w:t>
            </w:r>
          </w:p>
        </w:tc>
      </w:tr>
      <w:tr w14:paraId="14A4D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E16A41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A349C2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废金属灰</w:t>
            </w:r>
          </w:p>
        </w:tc>
        <w:tc>
          <w:tcPr>
            <w:tcW w:w="1554" w:type="dxa"/>
            <w:shd w:val="clear" w:color="auto" w:fill="auto"/>
            <w:vAlign w:val="center"/>
          </w:tcPr>
          <w:p w14:paraId="4551FA2E">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255" w:type="dxa"/>
            <w:shd w:val="clear" w:color="auto" w:fill="auto"/>
            <w:vAlign w:val="center"/>
          </w:tcPr>
          <w:p w14:paraId="5D7EF735">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486" w:type="dxa"/>
            <w:shd w:val="clear" w:color="auto" w:fill="auto"/>
            <w:vAlign w:val="center"/>
          </w:tcPr>
          <w:p w14:paraId="2E230092">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626C983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0.35</w:t>
            </w:r>
          </w:p>
        </w:tc>
        <w:tc>
          <w:tcPr>
            <w:tcW w:w="1418" w:type="dxa"/>
            <w:shd w:val="clear" w:color="auto" w:fill="auto"/>
            <w:vAlign w:val="center"/>
          </w:tcPr>
          <w:p w14:paraId="30343661">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8B0697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0.35</w:t>
            </w:r>
          </w:p>
        </w:tc>
        <w:tc>
          <w:tcPr>
            <w:tcW w:w="1337" w:type="dxa"/>
            <w:shd w:val="clear" w:color="auto" w:fill="auto"/>
            <w:vAlign w:val="center"/>
          </w:tcPr>
          <w:p w14:paraId="1E3BC75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0.35</w:t>
            </w:r>
          </w:p>
        </w:tc>
      </w:tr>
      <w:tr w14:paraId="5A352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vAlign w:val="center"/>
          </w:tcPr>
          <w:p w14:paraId="142C94D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危险废物</w:t>
            </w:r>
          </w:p>
        </w:tc>
        <w:tc>
          <w:tcPr>
            <w:tcW w:w="2850" w:type="dxa"/>
            <w:shd w:val="clear" w:color="auto" w:fill="auto"/>
            <w:vAlign w:val="center"/>
          </w:tcPr>
          <w:p w14:paraId="72E2200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废涂料桶</w:t>
            </w:r>
          </w:p>
        </w:tc>
        <w:tc>
          <w:tcPr>
            <w:tcW w:w="1554" w:type="dxa"/>
            <w:shd w:val="clear" w:color="auto" w:fill="auto"/>
            <w:vAlign w:val="center"/>
          </w:tcPr>
          <w:p w14:paraId="0895E74B">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091DF760">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75640033">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22C920F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1418" w:type="dxa"/>
            <w:shd w:val="clear" w:color="auto" w:fill="auto"/>
            <w:vAlign w:val="center"/>
          </w:tcPr>
          <w:p w14:paraId="05632ABE">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30A4CE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26E615F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14438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shd w:val="clear" w:color="auto" w:fill="auto"/>
            <w:vAlign w:val="center"/>
          </w:tcPr>
          <w:p w14:paraId="34EC3C5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p>
        </w:tc>
        <w:tc>
          <w:tcPr>
            <w:tcW w:w="2850" w:type="dxa"/>
            <w:shd w:val="clear" w:color="auto" w:fill="auto"/>
            <w:vAlign w:val="center"/>
          </w:tcPr>
          <w:p w14:paraId="7D5B92C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废化学品包装</w:t>
            </w:r>
          </w:p>
        </w:tc>
        <w:tc>
          <w:tcPr>
            <w:tcW w:w="1554" w:type="dxa"/>
            <w:shd w:val="clear" w:color="auto" w:fill="auto"/>
            <w:vAlign w:val="center"/>
          </w:tcPr>
          <w:p w14:paraId="15992370">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2C112353">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7B414D72">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0CA6280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1418" w:type="dxa"/>
            <w:shd w:val="clear" w:color="auto" w:fill="auto"/>
            <w:vAlign w:val="center"/>
          </w:tcPr>
          <w:p w14:paraId="4193D955">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0DC9477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6FEADAD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5DF4D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7A66745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55F1C9F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废过滤物</w:t>
            </w:r>
          </w:p>
        </w:tc>
        <w:tc>
          <w:tcPr>
            <w:tcW w:w="1554" w:type="dxa"/>
            <w:shd w:val="clear" w:color="auto" w:fill="auto"/>
            <w:vAlign w:val="center"/>
          </w:tcPr>
          <w:p w14:paraId="4026D851">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3BABA9BC">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14982991">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3927D1B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0.8</w:t>
            </w:r>
          </w:p>
        </w:tc>
        <w:tc>
          <w:tcPr>
            <w:tcW w:w="1418" w:type="dxa"/>
            <w:shd w:val="clear" w:color="auto" w:fill="auto"/>
            <w:vAlign w:val="center"/>
          </w:tcPr>
          <w:p w14:paraId="4E4FDFE3">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2FEDC80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0.8</w:t>
            </w:r>
          </w:p>
        </w:tc>
        <w:tc>
          <w:tcPr>
            <w:tcW w:w="1337" w:type="dxa"/>
            <w:shd w:val="clear" w:color="auto" w:fill="auto"/>
            <w:vAlign w:val="center"/>
          </w:tcPr>
          <w:p w14:paraId="004494F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0.8</w:t>
            </w:r>
          </w:p>
        </w:tc>
      </w:tr>
      <w:tr w14:paraId="1532A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3E0D776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808F97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废水处理污泥</w:t>
            </w:r>
          </w:p>
        </w:tc>
        <w:tc>
          <w:tcPr>
            <w:tcW w:w="1554" w:type="dxa"/>
            <w:shd w:val="clear" w:color="auto" w:fill="auto"/>
            <w:vAlign w:val="center"/>
          </w:tcPr>
          <w:p w14:paraId="6952CC46">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255" w:type="dxa"/>
            <w:shd w:val="clear" w:color="auto" w:fill="auto"/>
            <w:vAlign w:val="center"/>
          </w:tcPr>
          <w:p w14:paraId="07A3179E">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486" w:type="dxa"/>
            <w:shd w:val="clear" w:color="auto" w:fill="auto"/>
            <w:vAlign w:val="center"/>
          </w:tcPr>
          <w:p w14:paraId="2BAAB4D2">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27F89CC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0.95</w:t>
            </w:r>
          </w:p>
        </w:tc>
        <w:tc>
          <w:tcPr>
            <w:tcW w:w="1418" w:type="dxa"/>
            <w:shd w:val="clear" w:color="auto" w:fill="auto"/>
            <w:vAlign w:val="center"/>
          </w:tcPr>
          <w:p w14:paraId="198CC137">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4405029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0.95</w:t>
            </w:r>
          </w:p>
        </w:tc>
        <w:tc>
          <w:tcPr>
            <w:tcW w:w="1337" w:type="dxa"/>
            <w:shd w:val="clear" w:color="auto" w:fill="auto"/>
            <w:vAlign w:val="center"/>
          </w:tcPr>
          <w:p w14:paraId="5E7B70B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0.95</w:t>
            </w:r>
          </w:p>
        </w:tc>
      </w:tr>
      <w:tr w14:paraId="5AE61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6E8D23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2DF99E9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废活性炭</w:t>
            </w:r>
          </w:p>
        </w:tc>
        <w:tc>
          <w:tcPr>
            <w:tcW w:w="1554" w:type="dxa"/>
            <w:shd w:val="clear" w:color="auto" w:fill="auto"/>
            <w:vAlign w:val="center"/>
          </w:tcPr>
          <w:p w14:paraId="5AEEF283">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255" w:type="dxa"/>
            <w:shd w:val="clear" w:color="auto" w:fill="auto"/>
            <w:vAlign w:val="center"/>
          </w:tcPr>
          <w:p w14:paraId="5B866E65">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486" w:type="dxa"/>
            <w:shd w:val="clear" w:color="auto" w:fill="auto"/>
            <w:vAlign w:val="center"/>
          </w:tcPr>
          <w:p w14:paraId="7B525386">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12DEB9F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7.9599</w:t>
            </w:r>
          </w:p>
        </w:tc>
        <w:tc>
          <w:tcPr>
            <w:tcW w:w="1418" w:type="dxa"/>
            <w:shd w:val="clear" w:color="auto" w:fill="auto"/>
            <w:vAlign w:val="center"/>
          </w:tcPr>
          <w:p w14:paraId="5EDAFF34">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05B0E61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7.9599</w:t>
            </w:r>
          </w:p>
        </w:tc>
        <w:tc>
          <w:tcPr>
            <w:tcW w:w="1337" w:type="dxa"/>
            <w:shd w:val="clear" w:color="auto" w:fill="auto"/>
            <w:vAlign w:val="center"/>
          </w:tcPr>
          <w:p w14:paraId="6258A83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+7.9599</w:t>
            </w:r>
          </w:p>
        </w:tc>
      </w:tr>
      <w:tr w14:paraId="34972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5F9B2B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17908A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废机油</w:t>
            </w:r>
          </w:p>
        </w:tc>
        <w:tc>
          <w:tcPr>
            <w:tcW w:w="1554" w:type="dxa"/>
            <w:shd w:val="clear" w:color="auto" w:fill="auto"/>
            <w:vAlign w:val="center"/>
          </w:tcPr>
          <w:p w14:paraId="6B70F619">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255" w:type="dxa"/>
            <w:shd w:val="clear" w:color="auto" w:fill="auto"/>
            <w:vAlign w:val="center"/>
          </w:tcPr>
          <w:p w14:paraId="294385A9">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1486" w:type="dxa"/>
            <w:shd w:val="clear" w:color="auto" w:fill="auto"/>
            <w:vAlign w:val="center"/>
          </w:tcPr>
          <w:p w14:paraId="06494F88">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78A4BAE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1418" w:type="dxa"/>
            <w:shd w:val="clear" w:color="auto" w:fill="auto"/>
            <w:vAlign w:val="center"/>
          </w:tcPr>
          <w:p w14:paraId="2233A06F">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385A69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4230F2A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27AFC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67CE32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7217E24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废油桶</w:t>
            </w:r>
          </w:p>
        </w:tc>
        <w:tc>
          <w:tcPr>
            <w:tcW w:w="1554" w:type="dxa"/>
            <w:shd w:val="clear" w:color="auto" w:fill="auto"/>
            <w:vAlign w:val="center"/>
          </w:tcPr>
          <w:p w14:paraId="69D4D08D">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28156969">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13104AED">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767B106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1418" w:type="dxa"/>
            <w:shd w:val="clear" w:color="auto" w:fill="auto"/>
            <w:vAlign w:val="center"/>
          </w:tcPr>
          <w:p w14:paraId="59C2E111">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2A2E60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3CD7A1A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1113E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BC84AB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F348ED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废弃纯水制备耗材</w:t>
            </w:r>
          </w:p>
        </w:tc>
        <w:tc>
          <w:tcPr>
            <w:tcW w:w="1554" w:type="dxa"/>
            <w:shd w:val="clear" w:color="auto" w:fill="auto"/>
            <w:vAlign w:val="center"/>
          </w:tcPr>
          <w:p w14:paraId="77FC5A76">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040C956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22C8FF85">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5B7AC8C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0.1</w:t>
            </w:r>
          </w:p>
        </w:tc>
        <w:tc>
          <w:tcPr>
            <w:tcW w:w="1418" w:type="dxa"/>
            <w:shd w:val="clear" w:color="auto" w:fill="auto"/>
            <w:vAlign w:val="center"/>
          </w:tcPr>
          <w:p w14:paraId="41E3EEF4">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942C7D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0.1</w:t>
            </w:r>
          </w:p>
        </w:tc>
        <w:tc>
          <w:tcPr>
            <w:tcW w:w="1337" w:type="dxa"/>
            <w:shd w:val="clear" w:color="auto" w:fill="auto"/>
            <w:vAlign w:val="center"/>
          </w:tcPr>
          <w:p w14:paraId="560738D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0.1</w:t>
            </w:r>
          </w:p>
        </w:tc>
      </w:tr>
      <w:tr w14:paraId="6A433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exact"/>
        </w:trPr>
        <w:tc>
          <w:tcPr>
            <w:tcW w:w="812" w:type="dxa"/>
            <w:vMerge w:val="continue"/>
            <w:vAlign w:val="center"/>
          </w:tcPr>
          <w:p w14:paraId="64DA052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38AF58E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废滤膜</w:t>
            </w:r>
          </w:p>
        </w:tc>
        <w:tc>
          <w:tcPr>
            <w:tcW w:w="1554" w:type="dxa"/>
            <w:shd w:val="clear" w:color="auto" w:fill="auto"/>
            <w:vAlign w:val="center"/>
          </w:tcPr>
          <w:p w14:paraId="03F9B2A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19EB503C">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48C97AE5">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40A58B6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1418" w:type="dxa"/>
            <w:shd w:val="clear" w:color="auto" w:fill="auto"/>
            <w:vAlign w:val="center"/>
          </w:tcPr>
          <w:p w14:paraId="52FE7E56">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11A8CA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041AEE4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0710C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EADA688">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2850" w:type="dxa"/>
            <w:shd w:val="clear" w:color="auto" w:fill="auto"/>
            <w:vAlign w:val="center"/>
          </w:tcPr>
          <w:p w14:paraId="0F6C087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废含油抹布手套</w:t>
            </w:r>
          </w:p>
        </w:tc>
        <w:tc>
          <w:tcPr>
            <w:tcW w:w="1554" w:type="dxa"/>
            <w:shd w:val="clear" w:color="auto" w:fill="auto"/>
            <w:vAlign w:val="center"/>
          </w:tcPr>
          <w:p w14:paraId="43535F62">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0F0AF33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6BC3E81B">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07ED11F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1418" w:type="dxa"/>
            <w:shd w:val="clear" w:color="auto" w:fill="auto"/>
            <w:vAlign w:val="center"/>
          </w:tcPr>
          <w:p w14:paraId="42EA6FB9">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0FDB98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0B4F472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4E03F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C35866E">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2850" w:type="dxa"/>
            <w:shd w:val="clear" w:color="auto" w:fill="auto"/>
            <w:vAlign w:val="center"/>
          </w:tcPr>
          <w:p w14:paraId="0400FAF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废滤筒滤芯</w:t>
            </w:r>
          </w:p>
        </w:tc>
        <w:tc>
          <w:tcPr>
            <w:tcW w:w="1554" w:type="dxa"/>
            <w:shd w:val="clear" w:color="auto" w:fill="auto"/>
            <w:vAlign w:val="center"/>
          </w:tcPr>
          <w:p w14:paraId="40717C3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5E797C9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7DC98177">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5C0C12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c>
          <w:tcPr>
            <w:tcW w:w="1418" w:type="dxa"/>
            <w:shd w:val="clear" w:color="auto" w:fill="auto"/>
            <w:vAlign w:val="center"/>
          </w:tcPr>
          <w:p w14:paraId="18DD0B7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576D41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2.0</w:t>
            </w:r>
          </w:p>
        </w:tc>
        <w:tc>
          <w:tcPr>
            <w:tcW w:w="1337" w:type="dxa"/>
            <w:shd w:val="clear" w:color="auto" w:fill="auto"/>
            <w:vAlign w:val="center"/>
          </w:tcPr>
          <w:p w14:paraId="6E6D392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r>
      <w:tr w14:paraId="05B98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029A80EB">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2850" w:type="dxa"/>
            <w:shd w:val="clear" w:color="auto" w:fill="auto"/>
            <w:vAlign w:val="center"/>
          </w:tcPr>
          <w:p w14:paraId="44D767D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浮油</w:t>
            </w:r>
          </w:p>
        </w:tc>
        <w:tc>
          <w:tcPr>
            <w:tcW w:w="1554" w:type="dxa"/>
            <w:shd w:val="clear" w:color="auto" w:fill="auto"/>
            <w:vAlign w:val="center"/>
          </w:tcPr>
          <w:p w14:paraId="1173C93B">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449D3701">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421D569F">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64FCB1F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w:t>
            </w:r>
          </w:p>
        </w:tc>
        <w:tc>
          <w:tcPr>
            <w:tcW w:w="1418" w:type="dxa"/>
            <w:shd w:val="clear" w:color="auto" w:fill="auto"/>
            <w:vAlign w:val="center"/>
          </w:tcPr>
          <w:p w14:paraId="6875574A">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C0C679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0.2</w:t>
            </w:r>
          </w:p>
        </w:tc>
        <w:tc>
          <w:tcPr>
            <w:tcW w:w="1337" w:type="dxa"/>
            <w:shd w:val="clear" w:color="auto" w:fill="auto"/>
            <w:vAlign w:val="center"/>
          </w:tcPr>
          <w:p w14:paraId="379808D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w:t>
            </w:r>
          </w:p>
        </w:tc>
      </w:tr>
      <w:tr w14:paraId="16681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31945C00">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2850" w:type="dxa"/>
            <w:shd w:val="clear" w:color="auto" w:fill="auto"/>
            <w:vAlign w:val="center"/>
          </w:tcPr>
          <w:p w14:paraId="32FF1A4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废漆渣</w:t>
            </w:r>
          </w:p>
        </w:tc>
        <w:tc>
          <w:tcPr>
            <w:tcW w:w="1554" w:type="dxa"/>
            <w:shd w:val="clear" w:color="auto" w:fill="auto"/>
            <w:vAlign w:val="center"/>
          </w:tcPr>
          <w:p w14:paraId="09E171F4">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7CD81B5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0609D5D0">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0A23A65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1.6524</w:t>
            </w:r>
          </w:p>
        </w:tc>
        <w:tc>
          <w:tcPr>
            <w:tcW w:w="1418" w:type="dxa"/>
            <w:shd w:val="clear" w:color="auto" w:fill="auto"/>
            <w:vAlign w:val="center"/>
          </w:tcPr>
          <w:p w14:paraId="4C467B6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7B29D92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1.6524</w:t>
            </w:r>
          </w:p>
        </w:tc>
        <w:tc>
          <w:tcPr>
            <w:tcW w:w="1337" w:type="dxa"/>
            <w:shd w:val="clear" w:color="auto" w:fill="auto"/>
            <w:vAlign w:val="center"/>
          </w:tcPr>
          <w:p w14:paraId="48A8258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+1.6524</w:t>
            </w:r>
          </w:p>
        </w:tc>
      </w:tr>
      <w:tr w14:paraId="0880D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96966D6">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2850" w:type="dxa"/>
            <w:shd w:val="clear" w:color="auto" w:fill="auto"/>
            <w:vAlign w:val="center"/>
          </w:tcPr>
          <w:p w14:paraId="2F04DAE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废槽液</w:t>
            </w:r>
          </w:p>
        </w:tc>
        <w:tc>
          <w:tcPr>
            <w:tcW w:w="1554" w:type="dxa"/>
            <w:shd w:val="clear" w:color="auto" w:fill="auto"/>
            <w:vAlign w:val="center"/>
          </w:tcPr>
          <w:p w14:paraId="67A4A13B">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0B6D642B">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77567676">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17479F3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c>
          <w:tcPr>
            <w:tcW w:w="1418" w:type="dxa"/>
            <w:shd w:val="clear" w:color="auto" w:fill="auto"/>
            <w:vAlign w:val="center"/>
          </w:tcPr>
          <w:p w14:paraId="01CD54BA">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2" w:type="dxa"/>
            <w:shd w:val="clear" w:color="auto" w:fill="auto"/>
            <w:vAlign w:val="center"/>
          </w:tcPr>
          <w:p w14:paraId="55A9611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c>
          <w:tcPr>
            <w:tcW w:w="1337" w:type="dxa"/>
            <w:shd w:val="clear" w:color="auto" w:fill="auto"/>
            <w:vAlign w:val="center"/>
          </w:tcPr>
          <w:p w14:paraId="20994AC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r>
    </w:tbl>
    <w:p w14:paraId="5182E1FF">
      <w:pPr>
        <w:pStyle w:val="51"/>
        <w:keepNext w:val="0"/>
        <w:keepLines w:val="0"/>
        <w:pageBreakBefore w:val="0"/>
        <w:widowControl w:val="0"/>
        <w:kinsoku/>
        <w:wordWrap/>
        <w:overflowPunct/>
        <w:topLinePunct w:val="0"/>
        <w:autoSpaceDE/>
        <w:autoSpaceDN/>
        <w:bidi w:val="0"/>
        <w:spacing w:before="192" w:beforeLines="80" w:after="24" w:line="240" w:lineRule="auto"/>
        <w:jc w:val="left"/>
        <w:textAlignment w:val="auto"/>
        <w:rPr>
          <w:color w:val="auto"/>
          <w:highlight w:val="magenta"/>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40B5A77C">
      <w:pPr>
        <w:keepNext w:val="0"/>
        <w:keepLines w:val="0"/>
        <w:pageBreakBefore w:val="0"/>
        <w:widowControl w:val="0"/>
        <w:kinsoku/>
        <w:wordWrap/>
        <w:overflowPunct/>
        <w:topLinePunct w:val="0"/>
        <w:autoSpaceDE/>
        <w:autoSpaceDN/>
        <w:bidi w:val="0"/>
        <w:spacing w:line="240" w:lineRule="exact"/>
        <w:textAlignment w:val="auto"/>
        <w:rPr>
          <w:color w:val="auto"/>
          <w:highlight w:val="none"/>
        </w:rPr>
        <w:sectPr>
          <w:footerReference r:id="rId5" w:type="default"/>
          <w:pgSz w:w="16838" w:h="11905" w:orient="landscape"/>
          <w:pgMar w:top="1247" w:right="1417" w:bottom="124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4FF8A81A">
      <w:pPr>
        <w:pStyle w:val="112"/>
        <w:bidi w:val="0"/>
        <w:outlineLvl w:val="0"/>
        <w:rPr>
          <w:rFonts w:hint="default"/>
          <w:lang w:val="en-US" w:eastAsia="zh-CN"/>
        </w:rPr>
      </w:pPr>
      <w:r>
        <w:rPr>
          <w:rFonts w:hint="eastAsia"/>
          <w:lang w:val="en-US" w:eastAsia="zh-CN"/>
        </w:rPr>
        <w:t>附件：关于环评文件公开文本删除的涉及国家秘密、商业秘密等内容的删除依据和理由说明</w:t>
      </w:r>
    </w:p>
    <w:p w14:paraId="1F17CCBE">
      <w:pPr>
        <w:rPr>
          <w:rFonts w:hint="default"/>
          <w:lang w:val="en-US" w:eastAsia="zh-CN"/>
        </w:rPr>
      </w:pPr>
      <w:r>
        <w:rPr>
          <w:rFonts w:hint="default"/>
          <w:lang w:val="en-US" w:eastAsia="zh-CN"/>
        </w:rPr>
        <w:drawing>
          <wp:inline distT="0" distB="0" distL="114300" distR="114300">
            <wp:extent cx="5450840" cy="7708900"/>
            <wp:effectExtent l="0" t="0" r="16510" b="6350"/>
            <wp:docPr id="220" name="图片 220" descr="建设项目环境影响报告表(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建设项目环境影响报告表(1)_06"/>
                    <pic:cNvPicPr>
                      <a:picLocks noChangeAspect="1"/>
                    </pic:cNvPicPr>
                  </pic:nvPicPr>
                  <pic:blipFill>
                    <a:blip r:embed="rId39"/>
                    <a:stretch>
                      <a:fillRect/>
                    </a:stretch>
                  </pic:blipFill>
                  <pic:spPr>
                    <a:xfrm>
                      <a:off x="0" y="0"/>
                      <a:ext cx="5450840" cy="7708900"/>
                    </a:xfrm>
                    <a:prstGeom prst="rect">
                      <a:avLst/>
                    </a:prstGeom>
                  </pic:spPr>
                </pic:pic>
              </a:graphicData>
            </a:graphic>
          </wp:inline>
        </w:drawing>
      </w:r>
      <w:r>
        <w:rPr>
          <w:rFonts w:hint="default"/>
          <w:lang w:val="en-US" w:eastAsia="zh-CN"/>
        </w:rPr>
        <w:drawing>
          <wp:inline distT="0" distB="0" distL="114300" distR="114300">
            <wp:extent cx="5586095" cy="7899400"/>
            <wp:effectExtent l="0" t="0" r="14605" b="6350"/>
            <wp:docPr id="219" name="图片 219" descr="建设项目环境影响报告表(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建设项目环境影响报告表(1)_05"/>
                    <pic:cNvPicPr>
                      <a:picLocks noChangeAspect="1"/>
                    </pic:cNvPicPr>
                  </pic:nvPicPr>
                  <pic:blipFill>
                    <a:blip r:embed="rId40"/>
                    <a:stretch>
                      <a:fillRect/>
                    </a:stretch>
                  </pic:blipFill>
                  <pic:spPr>
                    <a:xfrm>
                      <a:off x="0" y="0"/>
                      <a:ext cx="5586095" cy="7899400"/>
                    </a:xfrm>
                    <a:prstGeom prst="rect">
                      <a:avLst/>
                    </a:prstGeom>
                  </pic:spPr>
                </pic:pic>
              </a:graphicData>
            </a:graphic>
          </wp:inline>
        </w:drawing>
      </w:r>
    </w:p>
    <w:p w14:paraId="54F8EEDB">
      <w:pPr>
        <w:rPr>
          <w:rFonts w:hint="default"/>
          <w:lang w:val="en-US" w:eastAsia="zh-CN"/>
        </w:rPr>
      </w:pPr>
      <w:r>
        <w:rPr>
          <w:rFonts w:hint="default"/>
          <w:lang w:val="en-US" w:eastAsia="zh-CN"/>
        </w:rPr>
        <w:br w:type="page"/>
      </w:r>
    </w:p>
    <w:sectPr>
      <w:headerReference r:id="rId6" w:type="default"/>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42">
      <wne:acd wne:acdName="acd1"/>
    </wne:keymap>
  </wne:keymaps>
  <wne:acds>
    <wne:acd wne:argValue="AQAAAAEA" wne:acdName="acd0" wne:fciIndexBasedOn="0065"/>
    <wne:acd wne:argValue="AgBoiDxoB2iYm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p&gt;:#">
    <w:altName w:val="Calibri"/>
    <w:panose1 w:val="020B0604020202020204"/>
    <w:charset w:val="4D"/>
    <w:family w:val="auto"/>
    <w:pitch w:val="default"/>
    <w:sig w:usb0="00000000" w:usb1="00000000" w:usb2="00000000" w:usb3="00000000" w:csb0="00000001" w:csb1="00000000"/>
  </w:font>
  <w:font w:name="方正小标宋_GBK">
    <w:altName w:val="微软雅黑"/>
    <w:panose1 w:val="02000000000000000000"/>
    <w:charset w:val="86"/>
    <w:family w:val="script"/>
    <w:pitch w:val="default"/>
    <w:sig w:usb0="00000000" w:usb1="00000000" w:usb2="00082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63EF0">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C517F">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72F1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372F1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E06C9">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BC7C6">
                          <w:pPr>
                            <w:pStyle w:val="2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5BC7C6">
                    <w:pPr>
                      <w:pStyle w:val="2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614D8">
    <w:pPr>
      <w:tabs>
        <w:tab w:val="center" w:pos="4153"/>
        <w:tab w:val="right" w:pos="8306"/>
      </w:tabs>
      <w:ind w:firstLine="48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9663B">
                          <w:pPr>
                            <w:pStyle w:val="2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119663B">
                    <w:pPr>
                      <w:pStyle w:val="2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DD536">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9"/>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BBEE175C"/>
    <w:multiLevelType w:val="multilevel"/>
    <w:tmpl w:val="BBEE175C"/>
    <w:lvl w:ilvl="0" w:tentative="0">
      <w:start w:val="1"/>
      <w:numFmt w:val="decimal"/>
      <w:suff w:val="space"/>
      <w:lvlText w:val="第%1章 "/>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420"/>
        </w:tabs>
        <w:ind w:left="0" w:firstLine="0"/>
      </w:pPr>
      <w:rPr>
        <w:rFonts w:hint="default" w:ascii="Times New Roman" w:hAnsi="Times New Roman" w:eastAsia="宋体" w:cs="宋体"/>
      </w:rPr>
    </w:lvl>
    <w:lvl w:ilvl="2" w:tentative="0">
      <w:start w:val="1"/>
      <w:numFmt w:val="decimal"/>
      <w:suff w:val="space"/>
      <w:lvlText w:val="%1.%2.%3"/>
      <w:lvlJc w:val="left"/>
      <w:pPr>
        <w:tabs>
          <w:tab w:val="left" w:pos="420"/>
        </w:tabs>
        <w:ind w:left="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0" w:firstLine="0"/>
      </w:pPr>
      <w:rPr>
        <w:rFonts w:hint="default" w:ascii="Times New Roman" w:hAnsi="Times New Roman" w:eastAsia="宋体" w:cs="宋体"/>
      </w:rPr>
    </w:lvl>
    <w:lvl w:ilvl="4" w:tentative="0">
      <w:start w:val="1"/>
      <w:numFmt w:val="decimal"/>
      <w:lvlRestart w:val="2"/>
      <w:pStyle w:val="76"/>
      <w:suff w:val="space"/>
      <w:lvlText w:val="表%1.%2-%5 "/>
      <w:lvlJc w:val="left"/>
      <w:pPr>
        <w:tabs>
          <w:tab w:val="left" w:pos="42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420"/>
        </w:tabs>
        <w:ind w:left="0" w:firstLine="0"/>
      </w:pPr>
      <w:rPr>
        <w:rFonts w:hint="default" w:ascii="Times New Roman" w:hAnsi="Times New Roman" w:eastAsia="宋体" w:cs="宋体"/>
      </w:rPr>
    </w:lvl>
    <w:lvl w:ilvl="6" w:tentative="0">
      <w:start w:val="1"/>
      <w:numFmt w:val="none"/>
      <w:suff w:val="nothing"/>
      <w:lvlText w:val=""/>
      <w:lvlJc w:val="left"/>
      <w:pPr>
        <w:tabs>
          <w:tab w:val="left" w:pos="0"/>
        </w:tabs>
        <w:ind w:left="0" w:firstLine="402"/>
      </w:pPr>
      <w:rPr>
        <w:rFonts w:hint="default" w:ascii="宋体" w:hAnsi="宋体" w:eastAsia="宋体" w:cs="宋体"/>
      </w:rPr>
    </w:lvl>
    <w:lvl w:ilvl="7" w:tentative="0">
      <w:start w:val="1"/>
      <w:numFmt w:val="none"/>
      <w:suff w:val="nothing"/>
      <w:lvlText w:val=""/>
      <w:lvlJc w:val="left"/>
      <w:pPr>
        <w:ind w:left="0" w:firstLine="402"/>
      </w:pPr>
      <w:rPr>
        <w:rFonts w:hint="default" w:ascii="宋体" w:hAnsi="宋体" w:eastAsia="宋体" w:cs="宋体"/>
      </w:rPr>
    </w:lvl>
    <w:lvl w:ilvl="8" w:tentative="0">
      <w:start w:val="1"/>
      <w:numFmt w:val="none"/>
      <w:suff w:val="nothing"/>
      <w:lvlText w:val=""/>
      <w:lvlJc w:val="left"/>
      <w:pPr>
        <w:ind w:left="0" w:firstLine="402"/>
      </w:pPr>
      <w:rPr>
        <w:rFonts w:hint="default" w:ascii="宋体" w:hAnsi="宋体" w:eastAsia="宋体" w:cs="宋体"/>
      </w:rPr>
    </w:lvl>
  </w:abstractNum>
  <w:abstractNum w:abstractNumId="2">
    <w:nsid w:val="E17324D8"/>
    <w:multiLevelType w:val="singleLevel"/>
    <w:tmpl w:val="E17324D8"/>
    <w:lvl w:ilvl="0" w:tentative="0">
      <w:start w:val="1"/>
      <w:numFmt w:val="decimal"/>
      <w:lvlText w:val="(%1)"/>
      <w:lvlJc w:val="left"/>
      <w:pPr>
        <w:ind w:left="425" w:hanging="425"/>
      </w:pPr>
      <w:rPr>
        <w:rFonts w:hint="default"/>
      </w:rPr>
    </w:lvl>
  </w:abstractNum>
  <w:abstractNum w:abstractNumId="3">
    <w:nsid w:val="0C388FF6"/>
    <w:multiLevelType w:val="multilevel"/>
    <w:tmpl w:val="0C388FF6"/>
    <w:lvl w:ilvl="0" w:tentative="0">
      <w:start w:val="1"/>
      <w:numFmt w:val="chineseCounting"/>
      <w:suff w:val="nothing"/>
      <w:lvlText w:val="%1、"/>
      <w:lvlJc w:val="left"/>
      <w:pPr>
        <w:tabs>
          <w:tab w:val="left" w:pos="0"/>
        </w:tabs>
        <w:ind w:left="0" w:firstLine="0"/>
      </w:pPr>
      <w:rPr>
        <w:rFonts w:hint="eastAsia" w:ascii="黑体" w:hAnsi="黑体" w:eastAsia="黑体" w:cs="宋体"/>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131"/>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Text w:val="%1.%2.%3.%4.%5.%6.%7."/>
      <w:lvlJc w:val="left"/>
      <w:pPr>
        <w:tabs>
          <w:tab w:val="left" w:pos="420"/>
        </w:tabs>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0"/>
      <w:lvlText w:val="%1.%2.%3.%4.%5.%6.%7.%8.%9."/>
      <w:lvlJc w:val="left"/>
      <w:pPr>
        <w:ind w:left="1941" w:hanging="1583"/>
      </w:pPr>
      <w:rPr>
        <w:rFonts w:hint="eastAsia"/>
      </w:rPr>
    </w:lvl>
  </w:abstractNum>
  <w:abstractNum w:abstractNumId="5">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6"/>
      <w:lvlText w:val="%1.%2.%3.%4.%5."/>
      <w:lvlJc w:val="left"/>
      <w:pPr>
        <w:ind w:left="1366" w:hanging="1008"/>
      </w:pPr>
      <w:rPr>
        <w:rFonts w:hint="eastAsia" w:ascii="宋体" w:hAnsi="宋体" w:eastAsia="宋体" w:cs="宋体"/>
      </w:rPr>
    </w:lvl>
    <w:lvl w:ilvl="5" w:tentative="0">
      <w:start w:val="1"/>
      <w:numFmt w:val="decimal"/>
      <w:pStyle w:val="7"/>
      <w:lvlText w:val="%1.%2.%3.%4.%5.%6."/>
      <w:lvlJc w:val="left"/>
      <w:pPr>
        <w:ind w:left="1509" w:hanging="1151"/>
      </w:pPr>
      <w:rPr>
        <w:rFonts w:hint="eastAsia" w:ascii="宋体" w:hAnsi="宋体" w:eastAsia="宋体" w:cs="宋体"/>
      </w:rPr>
    </w:lvl>
    <w:lvl w:ilvl="6" w:tentative="0">
      <w:start w:val="1"/>
      <w:numFmt w:val="decimal"/>
      <w:pStyle w:val="8"/>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6">
    <w:nsid w:val="335756DA"/>
    <w:multiLevelType w:val="singleLevel"/>
    <w:tmpl w:val="335756DA"/>
    <w:lvl w:ilvl="0" w:tentative="0">
      <w:start w:val="2"/>
      <w:numFmt w:val="decimal"/>
      <w:suff w:val="nothing"/>
      <w:lvlText w:val="（%1）"/>
      <w:lvlJc w:val="left"/>
    </w:lvl>
  </w:abstractNum>
  <w:abstractNum w:abstractNumId="7">
    <w:nsid w:val="64996C12"/>
    <w:multiLevelType w:val="multilevel"/>
    <w:tmpl w:val="64996C12"/>
    <w:lvl w:ilvl="0" w:tentative="0">
      <w:start w:val="7"/>
      <w:numFmt w:val="decimal"/>
      <w:lvlText w:val="%1"/>
      <w:lvlJc w:val="left"/>
      <w:pPr>
        <w:ind w:left="432" w:hanging="432"/>
      </w:pPr>
    </w:lvl>
    <w:lvl w:ilvl="1" w:tentative="0">
      <w:start w:val="1"/>
      <w:numFmt w:val="decimal"/>
      <w:lvlText w:val="%1.%2"/>
      <w:lvlJc w:val="left"/>
      <w:pPr>
        <w:ind w:left="576" w:hanging="576"/>
        <w:textAlignment w:val="baseline"/>
      </w:pPr>
      <w:rPr>
        <w:b/>
        <w:bCs w:val="0"/>
        <w:i w:val="0"/>
        <w:iCs w:val="0"/>
        <w:caps w:val="0"/>
        <w:strike w:val="0"/>
        <w:dstrike w:val="0"/>
        <w:vanish w:val="0"/>
        <w:color w:val="000000"/>
        <w:spacing w:val="0"/>
        <w:position w:val="0"/>
        <w:u w:val="none"/>
      </w:rPr>
    </w:lvl>
    <w:lvl w:ilvl="2" w:tentative="0">
      <w:start w:val="1"/>
      <w:numFmt w:val="decimal"/>
      <w:pStyle w:val="110"/>
      <w:lvlText w:val="%1.%2.%3"/>
      <w:lvlJc w:val="left"/>
      <w:pPr>
        <w:ind w:left="4832" w:hanging="720"/>
      </w:pPr>
    </w:lvl>
    <w:lvl w:ilvl="3" w:tentative="0">
      <w:start w:val="1"/>
      <w:numFmt w:val="decimal"/>
      <w:lvlText w:val="%1.%2.%3.%4"/>
      <w:lvlJc w:val="left"/>
      <w:pPr>
        <w:snapToGrid w:val="0"/>
        <w:ind w:left="864" w:hanging="864"/>
        <w:textAlignment w:val="baseline"/>
      </w:pPr>
      <w:rPr>
        <w:rFonts w:ascii="Times New Roman" w:hAnsi="Times New Roman" w:cs="Times New Roman"/>
        <w:b/>
        <w:bCs w:val="0"/>
        <w:i w:val="0"/>
        <w:iCs w:val="0"/>
        <w:caps w:val="0"/>
        <w:strike w:val="0"/>
        <w:dstrike w:val="0"/>
        <w:vanish w:val="0"/>
        <w:color w:val="000000"/>
        <w:spacing w:val="0"/>
        <w:w w:val="0"/>
        <w:kern w:val="0"/>
        <w:position w:val="0"/>
        <w:szCs w:val="0"/>
        <w:u w:val="none"/>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
    <w:nsid w:val="6C142216"/>
    <w:multiLevelType w:val="singleLevel"/>
    <w:tmpl w:val="6C142216"/>
    <w:lvl w:ilvl="0" w:tentative="0">
      <w:start w:val="3"/>
      <w:numFmt w:val="decimal"/>
      <w:suff w:val="nothing"/>
      <w:lvlText w:val="（%1）"/>
      <w:lvlJc w:val="left"/>
    </w:lvl>
  </w:abstractNum>
  <w:abstractNum w:abstractNumId="9">
    <w:nsid w:val="6D196F0D"/>
    <w:multiLevelType w:val="multilevel"/>
    <w:tmpl w:val="6D196F0D"/>
    <w:lvl w:ilvl="0" w:tentative="0">
      <w:start w:val="1"/>
      <w:numFmt w:val="chineseCounting"/>
      <w:pStyle w:val="2"/>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pStyle w:val="3"/>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4"/>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5"/>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44"/>
      <w:isLgl/>
      <w:suff w:val="space"/>
      <w:lvlText w:val="表%1.%2-%8"/>
      <w:lvlJc w:val="center"/>
      <w:pPr>
        <w:tabs>
          <w:tab w:val="left" w:pos="0"/>
        </w:tabs>
        <w:ind w:left="630" w:leftChars="0" w:firstLine="0" w:firstLineChars="0"/>
      </w:pPr>
      <w:rPr>
        <w:rFonts w:hint="eastAsia" w:ascii="Times New Roman" w:hAnsi="Times New Roman" w:eastAsia="宋体" w:cs="宋体"/>
      </w:rPr>
    </w:lvl>
    <w:lvl w:ilvl="8" w:tentative="0">
      <w:start w:val="1"/>
      <w:numFmt w:val="decimal"/>
      <w:lvlRestart w:val="2"/>
      <w:pStyle w:val="49"/>
      <w:isLgl/>
      <w:suff w:val="space"/>
      <w:lvlText w:val="图%1.%2-%9"/>
      <w:lvlJc w:val="left"/>
      <w:pPr>
        <w:tabs>
          <w:tab w:val="left" w:pos="420"/>
        </w:tabs>
        <w:ind w:left="1583" w:hanging="1583"/>
      </w:pPr>
      <w:rPr>
        <w:rFonts w:hint="eastAsia" w:ascii="Times New Roman" w:hAnsi="Times New Roman" w:eastAsia="宋体" w:cs="宋体"/>
      </w:rPr>
    </w:lvl>
  </w:abstractNum>
  <w:num w:numId="1">
    <w:abstractNumId w:val="9"/>
  </w:num>
  <w:num w:numId="2">
    <w:abstractNumId w:val="5"/>
  </w:num>
  <w:num w:numId="3">
    <w:abstractNumId w:val="0"/>
  </w:num>
  <w:num w:numId="4">
    <w:abstractNumId w:val="4"/>
  </w:num>
  <w:num w:numId="5">
    <w:abstractNumId w:val="1"/>
  </w:num>
  <w:num w:numId="6">
    <w:abstractNumId w:val="7"/>
  </w:num>
  <w:num w:numId="7">
    <w:abstractNumId w:val="3"/>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ODgxMGI5Yzg3MjZlOGMzZTU4NTc1ZGRiMWEwZmIifQ=="/>
  </w:docVars>
  <w:rsids>
    <w:rsidRoot w:val="00172A27"/>
    <w:rsid w:val="000044D7"/>
    <w:rsid w:val="000060B3"/>
    <w:rsid w:val="00010C32"/>
    <w:rsid w:val="00010D61"/>
    <w:rsid w:val="000118A6"/>
    <w:rsid w:val="00013DB6"/>
    <w:rsid w:val="000150ED"/>
    <w:rsid w:val="00017225"/>
    <w:rsid w:val="000244E7"/>
    <w:rsid w:val="00027F64"/>
    <w:rsid w:val="00031A9B"/>
    <w:rsid w:val="00031EFE"/>
    <w:rsid w:val="00040EDE"/>
    <w:rsid w:val="00041B57"/>
    <w:rsid w:val="0004364B"/>
    <w:rsid w:val="000500AF"/>
    <w:rsid w:val="00051602"/>
    <w:rsid w:val="000566B6"/>
    <w:rsid w:val="0005675D"/>
    <w:rsid w:val="00057803"/>
    <w:rsid w:val="0006124E"/>
    <w:rsid w:val="00061B1F"/>
    <w:rsid w:val="00061C20"/>
    <w:rsid w:val="000629F7"/>
    <w:rsid w:val="000733C4"/>
    <w:rsid w:val="00074783"/>
    <w:rsid w:val="00077BD5"/>
    <w:rsid w:val="0008070B"/>
    <w:rsid w:val="000810AC"/>
    <w:rsid w:val="00081A02"/>
    <w:rsid w:val="00082231"/>
    <w:rsid w:val="000841D3"/>
    <w:rsid w:val="00085629"/>
    <w:rsid w:val="00092D38"/>
    <w:rsid w:val="00093075"/>
    <w:rsid w:val="0009377B"/>
    <w:rsid w:val="00094146"/>
    <w:rsid w:val="00094AEE"/>
    <w:rsid w:val="000A20C9"/>
    <w:rsid w:val="000A712D"/>
    <w:rsid w:val="000A76F9"/>
    <w:rsid w:val="000B0530"/>
    <w:rsid w:val="000B058F"/>
    <w:rsid w:val="000B369C"/>
    <w:rsid w:val="000B4467"/>
    <w:rsid w:val="000B4DB9"/>
    <w:rsid w:val="000C09AC"/>
    <w:rsid w:val="000C119D"/>
    <w:rsid w:val="000C1900"/>
    <w:rsid w:val="000C1EE7"/>
    <w:rsid w:val="000C2F92"/>
    <w:rsid w:val="000C3640"/>
    <w:rsid w:val="000C57F5"/>
    <w:rsid w:val="000C6D42"/>
    <w:rsid w:val="000C767F"/>
    <w:rsid w:val="000D03D3"/>
    <w:rsid w:val="000D0960"/>
    <w:rsid w:val="000D54D6"/>
    <w:rsid w:val="000D5A44"/>
    <w:rsid w:val="000E3ED2"/>
    <w:rsid w:val="000E4B00"/>
    <w:rsid w:val="001005DC"/>
    <w:rsid w:val="00100FD2"/>
    <w:rsid w:val="001014DC"/>
    <w:rsid w:val="00102E61"/>
    <w:rsid w:val="001062FE"/>
    <w:rsid w:val="001074DE"/>
    <w:rsid w:val="001075B4"/>
    <w:rsid w:val="00110E2B"/>
    <w:rsid w:val="001133B7"/>
    <w:rsid w:val="00114B58"/>
    <w:rsid w:val="00125D00"/>
    <w:rsid w:val="001260FF"/>
    <w:rsid w:val="0013091B"/>
    <w:rsid w:val="00131F42"/>
    <w:rsid w:val="001357F1"/>
    <w:rsid w:val="00140538"/>
    <w:rsid w:val="00140FA8"/>
    <w:rsid w:val="001418CB"/>
    <w:rsid w:val="00141D71"/>
    <w:rsid w:val="00142FEB"/>
    <w:rsid w:val="00143A2D"/>
    <w:rsid w:val="00145035"/>
    <w:rsid w:val="00145A41"/>
    <w:rsid w:val="00146B60"/>
    <w:rsid w:val="00151675"/>
    <w:rsid w:val="00154C1F"/>
    <w:rsid w:val="001573EA"/>
    <w:rsid w:val="00157435"/>
    <w:rsid w:val="00167BA7"/>
    <w:rsid w:val="00172A27"/>
    <w:rsid w:val="00173954"/>
    <w:rsid w:val="0017504D"/>
    <w:rsid w:val="00175895"/>
    <w:rsid w:val="001762F6"/>
    <w:rsid w:val="0017671A"/>
    <w:rsid w:val="00177422"/>
    <w:rsid w:val="00180EF4"/>
    <w:rsid w:val="00182E99"/>
    <w:rsid w:val="00182F24"/>
    <w:rsid w:val="00184590"/>
    <w:rsid w:val="001870D1"/>
    <w:rsid w:val="0018781E"/>
    <w:rsid w:val="0019262D"/>
    <w:rsid w:val="001968F8"/>
    <w:rsid w:val="001A0E98"/>
    <w:rsid w:val="001A1302"/>
    <w:rsid w:val="001A1944"/>
    <w:rsid w:val="001A1B35"/>
    <w:rsid w:val="001A48A2"/>
    <w:rsid w:val="001A6F61"/>
    <w:rsid w:val="001B3F5A"/>
    <w:rsid w:val="001B72B8"/>
    <w:rsid w:val="001B7EB8"/>
    <w:rsid w:val="001C2D59"/>
    <w:rsid w:val="001C3BF1"/>
    <w:rsid w:val="001C548D"/>
    <w:rsid w:val="001C69B3"/>
    <w:rsid w:val="001D4206"/>
    <w:rsid w:val="001D5595"/>
    <w:rsid w:val="001D59B0"/>
    <w:rsid w:val="001D7874"/>
    <w:rsid w:val="001D7F22"/>
    <w:rsid w:val="001E0F48"/>
    <w:rsid w:val="001E4C8D"/>
    <w:rsid w:val="001F0F17"/>
    <w:rsid w:val="001F1E07"/>
    <w:rsid w:val="001F3347"/>
    <w:rsid w:val="001F3702"/>
    <w:rsid w:val="001F49F6"/>
    <w:rsid w:val="001F69E4"/>
    <w:rsid w:val="001F7DE2"/>
    <w:rsid w:val="00201724"/>
    <w:rsid w:val="002042D4"/>
    <w:rsid w:val="002125B4"/>
    <w:rsid w:val="002155B8"/>
    <w:rsid w:val="00217661"/>
    <w:rsid w:val="00224839"/>
    <w:rsid w:val="002249B2"/>
    <w:rsid w:val="00225378"/>
    <w:rsid w:val="00226574"/>
    <w:rsid w:val="002278EC"/>
    <w:rsid w:val="0023280E"/>
    <w:rsid w:val="002377D1"/>
    <w:rsid w:val="002406E5"/>
    <w:rsid w:val="002452E1"/>
    <w:rsid w:val="00245A88"/>
    <w:rsid w:val="002506BC"/>
    <w:rsid w:val="00253756"/>
    <w:rsid w:val="00253F02"/>
    <w:rsid w:val="00254345"/>
    <w:rsid w:val="002545A7"/>
    <w:rsid w:val="002555A2"/>
    <w:rsid w:val="00256695"/>
    <w:rsid w:val="00264557"/>
    <w:rsid w:val="002701B7"/>
    <w:rsid w:val="0027359D"/>
    <w:rsid w:val="002805AB"/>
    <w:rsid w:val="002812C8"/>
    <w:rsid w:val="002814F1"/>
    <w:rsid w:val="00284204"/>
    <w:rsid w:val="00285085"/>
    <w:rsid w:val="00287861"/>
    <w:rsid w:val="00287A3B"/>
    <w:rsid w:val="00287BFF"/>
    <w:rsid w:val="00291773"/>
    <w:rsid w:val="00292C5F"/>
    <w:rsid w:val="002A168C"/>
    <w:rsid w:val="002A3DC7"/>
    <w:rsid w:val="002A4303"/>
    <w:rsid w:val="002A7B7D"/>
    <w:rsid w:val="002B14DB"/>
    <w:rsid w:val="002B2C5C"/>
    <w:rsid w:val="002B4159"/>
    <w:rsid w:val="002B49E2"/>
    <w:rsid w:val="002B7135"/>
    <w:rsid w:val="002B7B00"/>
    <w:rsid w:val="002B7C44"/>
    <w:rsid w:val="002C2B17"/>
    <w:rsid w:val="002C486B"/>
    <w:rsid w:val="002D1B33"/>
    <w:rsid w:val="002D24B4"/>
    <w:rsid w:val="002D36C8"/>
    <w:rsid w:val="002D3DD0"/>
    <w:rsid w:val="002E1F3A"/>
    <w:rsid w:val="002E298A"/>
    <w:rsid w:val="002F468E"/>
    <w:rsid w:val="002F677F"/>
    <w:rsid w:val="002F6A84"/>
    <w:rsid w:val="00301978"/>
    <w:rsid w:val="00301A3E"/>
    <w:rsid w:val="0030332C"/>
    <w:rsid w:val="003051C2"/>
    <w:rsid w:val="003105DA"/>
    <w:rsid w:val="00312296"/>
    <w:rsid w:val="00314F0E"/>
    <w:rsid w:val="003200F4"/>
    <w:rsid w:val="00320F8F"/>
    <w:rsid w:val="00321AC6"/>
    <w:rsid w:val="00321D8E"/>
    <w:rsid w:val="00325928"/>
    <w:rsid w:val="00332863"/>
    <w:rsid w:val="00332A3D"/>
    <w:rsid w:val="0033684D"/>
    <w:rsid w:val="00336FF9"/>
    <w:rsid w:val="00337B42"/>
    <w:rsid w:val="00340DA9"/>
    <w:rsid w:val="00341B42"/>
    <w:rsid w:val="0034348F"/>
    <w:rsid w:val="00351F64"/>
    <w:rsid w:val="00354BF1"/>
    <w:rsid w:val="00356653"/>
    <w:rsid w:val="003568FE"/>
    <w:rsid w:val="0035743F"/>
    <w:rsid w:val="00357647"/>
    <w:rsid w:val="00357BE2"/>
    <w:rsid w:val="00357C21"/>
    <w:rsid w:val="0036170C"/>
    <w:rsid w:val="003629A3"/>
    <w:rsid w:val="00366E0F"/>
    <w:rsid w:val="00371C4D"/>
    <w:rsid w:val="00375248"/>
    <w:rsid w:val="00376344"/>
    <w:rsid w:val="00376AEF"/>
    <w:rsid w:val="00377DA9"/>
    <w:rsid w:val="00381040"/>
    <w:rsid w:val="0038152B"/>
    <w:rsid w:val="00381A72"/>
    <w:rsid w:val="00383579"/>
    <w:rsid w:val="00384676"/>
    <w:rsid w:val="00386D64"/>
    <w:rsid w:val="00390857"/>
    <w:rsid w:val="003954FA"/>
    <w:rsid w:val="003971F9"/>
    <w:rsid w:val="00397C02"/>
    <w:rsid w:val="003A0C4E"/>
    <w:rsid w:val="003A4BF3"/>
    <w:rsid w:val="003A6D3A"/>
    <w:rsid w:val="003B1284"/>
    <w:rsid w:val="003B2260"/>
    <w:rsid w:val="003B420D"/>
    <w:rsid w:val="003B46BE"/>
    <w:rsid w:val="003C2F0A"/>
    <w:rsid w:val="003C335B"/>
    <w:rsid w:val="003C5606"/>
    <w:rsid w:val="003C6C16"/>
    <w:rsid w:val="003C6E78"/>
    <w:rsid w:val="003D27CC"/>
    <w:rsid w:val="003D476F"/>
    <w:rsid w:val="003D6C52"/>
    <w:rsid w:val="003D794D"/>
    <w:rsid w:val="003E3058"/>
    <w:rsid w:val="003E30EE"/>
    <w:rsid w:val="003E76A9"/>
    <w:rsid w:val="003F0809"/>
    <w:rsid w:val="003F24B7"/>
    <w:rsid w:val="003F6A8C"/>
    <w:rsid w:val="003F755C"/>
    <w:rsid w:val="003F75FD"/>
    <w:rsid w:val="004007F4"/>
    <w:rsid w:val="00403E9E"/>
    <w:rsid w:val="00406F01"/>
    <w:rsid w:val="0041430D"/>
    <w:rsid w:val="00415C4F"/>
    <w:rsid w:val="004163AF"/>
    <w:rsid w:val="004165E4"/>
    <w:rsid w:val="00416721"/>
    <w:rsid w:val="00416D50"/>
    <w:rsid w:val="00416FD5"/>
    <w:rsid w:val="00417772"/>
    <w:rsid w:val="00420E6A"/>
    <w:rsid w:val="004214B1"/>
    <w:rsid w:val="0042178A"/>
    <w:rsid w:val="00424290"/>
    <w:rsid w:val="00425697"/>
    <w:rsid w:val="00425A9E"/>
    <w:rsid w:val="00426D6B"/>
    <w:rsid w:val="00427601"/>
    <w:rsid w:val="00427737"/>
    <w:rsid w:val="00431E6C"/>
    <w:rsid w:val="00433CE7"/>
    <w:rsid w:val="00434CCC"/>
    <w:rsid w:val="00442F7A"/>
    <w:rsid w:val="0044384E"/>
    <w:rsid w:val="00452738"/>
    <w:rsid w:val="00452EB2"/>
    <w:rsid w:val="0045494B"/>
    <w:rsid w:val="00455C13"/>
    <w:rsid w:val="00456091"/>
    <w:rsid w:val="00460877"/>
    <w:rsid w:val="00464233"/>
    <w:rsid w:val="00465D27"/>
    <w:rsid w:val="00466321"/>
    <w:rsid w:val="00471427"/>
    <w:rsid w:val="00480B81"/>
    <w:rsid w:val="004826E8"/>
    <w:rsid w:val="00484B9B"/>
    <w:rsid w:val="004855F6"/>
    <w:rsid w:val="0048661E"/>
    <w:rsid w:val="004930FE"/>
    <w:rsid w:val="0049347D"/>
    <w:rsid w:val="00494670"/>
    <w:rsid w:val="004957F7"/>
    <w:rsid w:val="004977A7"/>
    <w:rsid w:val="004A22C0"/>
    <w:rsid w:val="004A3823"/>
    <w:rsid w:val="004B072F"/>
    <w:rsid w:val="004B4C3D"/>
    <w:rsid w:val="004C0992"/>
    <w:rsid w:val="004C24B9"/>
    <w:rsid w:val="004D03BC"/>
    <w:rsid w:val="004D1DEA"/>
    <w:rsid w:val="004D53C0"/>
    <w:rsid w:val="004D7269"/>
    <w:rsid w:val="004E6946"/>
    <w:rsid w:val="004F1301"/>
    <w:rsid w:val="004F1AB3"/>
    <w:rsid w:val="004F1AD8"/>
    <w:rsid w:val="004F7EF0"/>
    <w:rsid w:val="00501CB7"/>
    <w:rsid w:val="005039CB"/>
    <w:rsid w:val="0050558F"/>
    <w:rsid w:val="00506286"/>
    <w:rsid w:val="00510813"/>
    <w:rsid w:val="00511990"/>
    <w:rsid w:val="00511DE0"/>
    <w:rsid w:val="00514090"/>
    <w:rsid w:val="00514870"/>
    <w:rsid w:val="00514B9B"/>
    <w:rsid w:val="005155CE"/>
    <w:rsid w:val="005166DA"/>
    <w:rsid w:val="0051690D"/>
    <w:rsid w:val="00517F02"/>
    <w:rsid w:val="0052098F"/>
    <w:rsid w:val="00523E89"/>
    <w:rsid w:val="00524283"/>
    <w:rsid w:val="00524303"/>
    <w:rsid w:val="005252E8"/>
    <w:rsid w:val="005258A2"/>
    <w:rsid w:val="00530161"/>
    <w:rsid w:val="005332E5"/>
    <w:rsid w:val="005401AE"/>
    <w:rsid w:val="00540D9F"/>
    <w:rsid w:val="00541FBC"/>
    <w:rsid w:val="00542A31"/>
    <w:rsid w:val="00542E07"/>
    <w:rsid w:val="005441EE"/>
    <w:rsid w:val="00544E42"/>
    <w:rsid w:val="00545424"/>
    <w:rsid w:val="005502E5"/>
    <w:rsid w:val="0055192A"/>
    <w:rsid w:val="005524AB"/>
    <w:rsid w:val="005539A0"/>
    <w:rsid w:val="00554A7B"/>
    <w:rsid w:val="00554A98"/>
    <w:rsid w:val="0055572C"/>
    <w:rsid w:val="0056081F"/>
    <w:rsid w:val="0056106A"/>
    <w:rsid w:val="00562308"/>
    <w:rsid w:val="00562804"/>
    <w:rsid w:val="005630B8"/>
    <w:rsid w:val="00564EAF"/>
    <w:rsid w:val="00566256"/>
    <w:rsid w:val="00571A06"/>
    <w:rsid w:val="005720AE"/>
    <w:rsid w:val="00574266"/>
    <w:rsid w:val="00577718"/>
    <w:rsid w:val="00577855"/>
    <w:rsid w:val="00580EB8"/>
    <w:rsid w:val="00583880"/>
    <w:rsid w:val="00593870"/>
    <w:rsid w:val="00593C6F"/>
    <w:rsid w:val="00594D77"/>
    <w:rsid w:val="005969E4"/>
    <w:rsid w:val="00596E55"/>
    <w:rsid w:val="005A06B7"/>
    <w:rsid w:val="005A1759"/>
    <w:rsid w:val="005A23BB"/>
    <w:rsid w:val="005A569C"/>
    <w:rsid w:val="005A611C"/>
    <w:rsid w:val="005A68A7"/>
    <w:rsid w:val="005B7084"/>
    <w:rsid w:val="005B7E0B"/>
    <w:rsid w:val="005C4544"/>
    <w:rsid w:val="005C5557"/>
    <w:rsid w:val="005C6079"/>
    <w:rsid w:val="005C6B61"/>
    <w:rsid w:val="005C6E58"/>
    <w:rsid w:val="005C6F05"/>
    <w:rsid w:val="005D143F"/>
    <w:rsid w:val="005D2AD3"/>
    <w:rsid w:val="005D36AB"/>
    <w:rsid w:val="005D42D4"/>
    <w:rsid w:val="005D6A8F"/>
    <w:rsid w:val="005E0E91"/>
    <w:rsid w:val="005E45AA"/>
    <w:rsid w:val="005E5417"/>
    <w:rsid w:val="005E6D12"/>
    <w:rsid w:val="005F32A7"/>
    <w:rsid w:val="005F65CD"/>
    <w:rsid w:val="005F678A"/>
    <w:rsid w:val="005F7DA6"/>
    <w:rsid w:val="00612E39"/>
    <w:rsid w:val="00614091"/>
    <w:rsid w:val="00617CC3"/>
    <w:rsid w:val="00620B0A"/>
    <w:rsid w:val="00621FB3"/>
    <w:rsid w:val="0062376A"/>
    <w:rsid w:val="006241B4"/>
    <w:rsid w:val="00626B64"/>
    <w:rsid w:val="006272DC"/>
    <w:rsid w:val="006309E7"/>
    <w:rsid w:val="00630EAA"/>
    <w:rsid w:val="00632DD4"/>
    <w:rsid w:val="00635A2C"/>
    <w:rsid w:val="006377A6"/>
    <w:rsid w:val="00637A3D"/>
    <w:rsid w:val="006411EF"/>
    <w:rsid w:val="00641E35"/>
    <w:rsid w:val="00650286"/>
    <w:rsid w:val="00656DE9"/>
    <w:rsid w:val="006572DD"/>
    <w:rsid w:val="00657F1A"/>
    <w:rsid w:val="00661F6F"/>
    <w:rsid w:val="006622C5"/>
    <w:rsid w:val="006672D3"/>
    <w:rsid w:val="00673BEF"/>
    <w:rsid w:val="006748B8"/>
    <w:rsid w:val="006775C3"/>
    <w:rsid w:val="006803E7"/>
    <w:rsid w:val="006821CB"/>
    <w:rsid w:val="00685593"/>
    <w:rsid w:val="006861A9"/>
    <w:rsid w:val="0069290A"/>
    <w:rsid w:val="00692B71"/>
    <w:rsid w:val="00694CDA"/>
    <w:rsid w:val="0069529F"/>
    <w:rsid w:val="0069775A"/>
    <w:rsid w:val="00697813"/>
    <w:rsid w:val="006A05C5"/>
    <w:rsid w:val="006A2F9F"/>
    <w:rsid w:val="006A3EE8"/>
    <w:rsid w:val="006A4002"/>
    <w:rsid w:val="006A6A7D"/>
    <w:rsid w:val="006A6A99"/>
    <w:rsid w:val="006A6F1A"/>
    <w:rsid w:val="006A72BF"/>
    <w:rsid w:val="006B03F2"/>
    <w:rsid w:val="006B1885"/>
    <w:rsid w:val="006B197D"/>
    <w:rsid w:val="006B37DC"/>
    <w:rsid w:val="006B4F68"/>
    <w:rsid w:val="006B5689"/>
    <w:rsid w:val="006C0592"/>
    <w:rsid w:val="006C272E"/>
    <w:rsid w:val="006C2DF8"/>
    <w:rsid w:val="006C3D18"/>
    <w:rsid w:val="006C52BF"/>
    <w:rsid w:val="006C5479"/>
    <w:rsid w:val="006C7F54"/>
    <w:rsid w:val="006D13B5"/>
    <w:rsid w:val="006D1B7A"/>
    <w:rsid w:val="006E12FF"/>
    <w:rsid w:val="006E1E7B"/>
    <w:rsid w:val="006E1FE5"/>
    <w:rsid w:val="006E2B7C"/>
    <w:rsid w:val="006E3839"/>
    <w:rsid w:val="006E4E7D"/>
    <w:rsid w:val="006E607E"/>
    <w:rsid w:val="006E6121"/>
    <w:rsid w:val="006E6229"/>
    <w:rsid w:val="006E68E5"/>
    <w:rsid w:val="006F4235"/>
    <w:rsid w:val="006F4B3C"/>
    <w:rsid w:val="006F67EF"/>
    <w:rsid w:val="00700434"/>
    <w:rsid w:val="007013BB"/>
    <w:rsid w:val="00706C5D"/>
    <w:rsid w:val="00711ABB"/>
    <w:rsid w:val="00712365"/>
    <w:rsid w:val="00712379"/>
    <w:rsid w:val="00713A0F"/>
    <w:rsid w:val="0071464A"/>
    <w:rsid w:val="007155D2"/>
    <w:rsid w:val="00715E44"/>
    <w:rsid w:val="007206CA"/>
    <w:rsid w:val="0072149F"/>
    <w:rsid w:val="0072691E"/>
    <w:rsid w:val="007270A1"/>
    <w:rsid w:val="00732922"/>
    <w:rsid w:val="0073444E"/>
    <w:rsid w:val="00744027"/>
    <w:rsid w:val="0074513C"/>
    <w:rsid w:val="00750323"/>
    <w:rsid w:val="0075162E"/>
    <w:rsid w:val="00754034"/>
    <w:rsid w:val="00756556"/>
    <w:rsid w:val="007570A8"/>
    <w:rsid w:val="0076052D"/>
    <w:rsid w:val="00761479"/>
    <w:rsid w:val="007618C4"/>
    <w:rsid w:val="007630CE"/>
    <w:rsid w:val="0076455E"/>
    <w:rsid w:val="007662BD"/>
    <w:rsid w:val="00767980"/>
    <w:rsid w:val="00770B19"/>
    <w:rsid w:val="007712CE"/>
    <w:rsid w:val="0077463F"/>
    <w:rsid w:val="00775B08"/>
    <w:rsid w:val="00780C6F"/>
    <w:rsid w:val="00781478"/>
    <w:rsid w:val="007836EA"/>
    <w:rsid w:val="00784CDA"/>
    <w:rsid w:val="007906C4"/>
    <w:rsid w:val="007940EA"/>
    <w:rsid w:val="00796411"/>
    <w:rsid w:val="007967E8"/>
    <w:rsid w:val="00796F67"/>
    <w:rsid w:val="007A2170"/>
    <w:rsid w:val="007A22BF"/>
    <w:rsid w:val="007A3323"/>
    <w:rsid w:val="007A6B91"/>
    <w:rsid w:val="007B3760"/>
    <w:rsid w:val="007B4B49"/>
    <w:rsid w:val="007B506A"/>
    <w:rsid w:val="007B72B8"/>
    <w:rsid w:val="007B7A58"/>
    <w:rsid w:val="007C0F2D"/>
    <w:rsid w:val="007C1109"/>
    <w:rsid w:val="007C21B5"/>
    <w:rsid w:val="007C21CE"/>
    <w:rsid w:val="007C39C9"/>
    <w:rsid w:val="007C453B"/>
    <w:rsid w:val="007D28A2"/>
    <w:rsid w:val="007E05AA"/>
    <w:rsid w:val="007E0EFD"/>
    <w:rsid w:val="007E11D2"/>
    <w:rsid w:val="007E49E5"/>
    <w:rsid w:val="007E4BD2"/>
    <w:rsid w:val="007E58F5"/>
    <w:rsid w:val="007E5A7E"/>
    <w:rsid w:val="007F0743"/>
    <w:rsid w:val="007F1787"/>
    <w:rsid w:val="007F1A14"/>
    <w:rsid w:val="007F5D15"/>
    <w:rsid w:val="00801393"/>
    <w:rsid w:val="00802F88"/>
    <w:rsid w:val="0080332F"/>
    <w:rsid w:val="008056A7"/>
    <w:rsid w:val="008109AB"/>
    <w:rsid w:val="0081293E"/>
    <w:rsid w:val="00812A66"/>
    <w:rsid w:val="00815465"/>
    <w:rsid w:val="00816122"/>
    <w:rsid w:val="00817E9A"/>
    <w:rsid w:val="00820597"/>
    <w:rsid w:val="00820F8F"/>
    <w:rsid w:val="008306BD"/>
    <w:rsid w:val="00831A80"/>
    <w:rsid w:val="00833743"/>
    <w:rsid w:val="00833CC0"/>
    <w:rsid w:val="008340A4"/>
    <w:rsid w:val="008342B6"/>
    <w:rsid w:val="008347C4"/>
    <w:rsid w:val="00834D1D"/>
    <w:rsid w:val="00837E78"/>
    <w:rsid w:val="00844986"/>
    <w:rsid w:val="0084520B"/>
    <w:rsid w:val="00846175"/>
    <w:rsid w:val="00856472"/>
    <w:rsid w:val="00860591"/>
    <w:rsid w:val="0086140A"/>
    <w:rsid w:val="008646BA"/>
    <w:rsid w:val="00866C83"/>
    <w:rsid w:val="0087131C"/>
    <w:rsid w:val="0087135F"/>
    <w:rsid w:val="00872D94"/>
    <w:rsid w:val="008741C4"/>
    <w:rsid w:val="00877FCF"/>
    <w:rsid w:val="00880364"/>
    <w:rsid w:val="008815CB"/>
    <w:rsid w:val="00883579"/>
    <w:rsid w:val="00885337"/>
    <w:rsid w:val="00885689"/>
    <w:rsid w:val="00886DC7"/>
    <w:rsid w:val="00891592"/>
    <w:rsid w:val="00891E9E"/>
    <w:rsid w:val="00893553"/>
    <w:rsid w:val="00893D06"/>
    <w:rsid w:val="00895C9A"/>
    <w:rsid w:val="008A2F68"/>
    <w:rsid w:val="008A3083"/>
    <w:rsid w:val="008A63FF"/>
    <w:rsid w:val="008B17A5"/>
    <w:rsid w:val="008B4FA6"/>
    <w:rsid w:val="008B5282"/>
    <w:rsid w:val="008B5446"/>
    <w:rsid w:val="008B6924"/>
    <w:rsid w:val="008B7C17"/>
    <w:rsid w:val="008C1E6E"/>
    <w:rsid w:val="008C2D01"/>
    <w:rsid w:val="008C40E6"/>
    <w:rsid w:val="008C689E"/>
    <w:rsid w:val="008D0F7A"/>
    <w:rsid w:val="008D1EB4"/>
    <w:rsid w:val="008D68E4"/>
    <w:rsid w:val="008E0506"/>
    <w:rsid w:val="008E0CFF"/>
    <w:rsid w:val="008E169E"/>
    <w:rsid w:val="008E28BC"/>
    <w:rsid w:val="008E34A0"/>
    <w:rsid w:val="008E5D6B"/>
    <w:rsid w:val="008E76F0"/>
    <w:rsid w:val="008F158B"/>
    <w:rsid w:val="008F15FE"/>
    <w:rsid w:val="008F2D29"/>
    <w:rsid w:val="008F3EFD"/>
    <w:rsid w:val="008F5187"/>
    <w:rsid w:val="008F60D8"/>
    <w:rsid w:val="008F6E35"/>
    <w:rsid w:val="008F6EB2"/>
    <w:rsid w:val="00902727"/>
    <w:rsid w:val="00902C2A"/>
    <w:rsid w:val="0090312B"/>
    <w:rsid w:val="009034FB"/>
    <w:rsid w:val="00903F6B"/>
    <w:rsid w:val="00905DCF"/>
    <w:rsid w:val="00906786"/>
    <w:rsid w:val="009110C4"/>
    <w:rsid w:val="0091186E"/>
    <w:rsid w:val="00912D18"/>
    <w:rsid w:val="0091736D"/>
    <w:rsid w:val="009268D1"/>
    <w:rsid w:val="00927ACB"/>
    <w:rsid w:val="0093037A"/>
    <w:rsid w:val="00930AD3"/>
    <w:rsid w:val="00931EEF"/>
    <w:rsid w:val="00934F08"/>
    <w:rsid w:val="0094154D"/>
    <w:rsid w:val="0094579C"/>
    <w:rsid w:val="00946ED7"/>
    <w:rsid w:val="00950F53"/>
    <w:rsid w:val="009513D1"/>
    <w:rsid w:val="00951439"/>
    <w:rsid w:val="0095155F"/>
    <w:rsid w:val="00954429"/>
    <w:rsid w:val="009563CE"/>
    <w:rsid w:val="00962D9D"/>
    <w:rsid w:val="00963589"/>
    <w:rsid w:val="00973F93"/>
    <w:rsid w:val="00973FCE"/>
    <w:rsid w:val="009760F1"/>
    <w:rsid w:val="00976328"/>
    <w:rsid w:val="0097680D"/>
    <w:rsid w:val="00977EAC"/>
    <w:rsid w:val="00980ACF"/>
    <w:rsid w:val="00982438"/>
    <w:rsid w:val="0098256A"/>
    <w:rsid w:val="009837A2"/>
    <w:rsid w:val="0098404C"/>
    <w:rsid w:val="00984EFB"/>
    <w:rsid w:val="00985283"/>
    <w:rsid w:val="00993133"/>
    <w:rsid w:val="00993585"/>
    <w:rsid w:val="00993935"/>
    <w:rsid w:val="00995992"/>
    <w:rsid w:val="0099731D"/>
    <w:rsid w:val="009A0241"/>
    <w:rsid w:val="009A03E5"/>
    <w:rsid w:val="009A0F3B"/>
    <w:rsid w:val="009A1BB4"/>
    <w:rsid w:val="009A1F39"/>
    <w:rsid w:val="009A2628"/>
    <w:rsid w:val="009A3200"/>
    <w:rsid w:val="009A3379"/>
    <w:rsid w:val="009A45BE"/>
    <w:rsid w:val="009A7CFB"/>
    <w:rsid w:val="009B0897"/>
    <w:rsid w:val="009B4AD9"/>
    <w:rsid w:val="009B5609"/>
    <w:rsid w:val="009B7BD9"/>
    <w:rsid w:val="009C7DD5"/>
    <w:rsid w:val="009D0FEE"/>
    <w:rsid w:val="009D1A93"/>
    <w:rsid w:val="009D2748"/>
    <w:rsid w:val="009D4E2B"/>
    <w:rsid w:val="009D77B2"/>
    <w:rsid w:val="009D79D6"/>
    <w:rsid w:val="009E18E4"/>
    <w:rsid w:val="009E227D"/>
    <w:rsid w:val="009E5019"/>
    <w:rsid w:val="009E5253"/>
    <w:rsid w:val="009E623D"/>
    <w:rsid w:val="009F2204"/>
    <w:rsid w:val="009F58F9"/>
    <w:rsid w:val="00A01AC5"/>
    <w:rsid w:val="00A04E90"/>
    <w:rsid w:val="00A04F1B"/>
    <w:rsid w:val="00A0501B"/>
    <w:rsid w:val="00A069FC"/>
    <w:rsid w:val="00A1108E"/>
    <w:rsid w:val="00A14947"/>
    <w:rsid w:val="00A16D19"/>
    <w:rsid w:val="00A20D6F"/>
    <w:rsid w:val="00A216F9"/>
    <w:rsid w:val="00A22342"/>
    <w:rsid w:val="00A2703B"/>
    <w:rsid w:val="00A27D49"/>
    <w:rsid w:val="00A322B4"/>
    <w:rsid w:val="00A32A83"/>
    <w:rsid w:val="00A3572D"/>
    <w:rsid w:val="00A368DB"/>
    <w:rsid w:val="00A41EB4"/>
    <w:rsid w:val="00A42273"/>
    <w:rsid w:val="00A423AA"/>
    <w:rsid w:val="00A444A9"/>
    <w:rsid w:val="00A44F0A"/>
    <w:rsid w:val="00A53220"/>
    <w:rsid w:val="00A53A1C"/>
    <w:rsid w:val="00A53EC6"/>
    <w:rsid w:val="00A54E5B"/>
    <w:rsid w:val="00A5520C"/>
    <w:rsid w:val="00A55C0F"/>
    <w:rsid w:val="00A5655A"/>
    <w:rsid w:val="00A56967"/>
    <w:rsid w:val="00A576C9"/>
    <w:rsid w:val="00A6159F"/>
    <w:rsid w:val="00A61FB3"/>
    <w:rsid w:val="00A67D58"/>
    <w:rsid w:val="00A703E5"/>
    <w:rsid w:val="00A72FBE"/>
    <w:rsid w:val="00A740FC"/>
    <w:rsid w:val="00A76CFF"/>
    <w:rsid w:val="00A80215"/>
    <w:rsid w:val="00A8386F"/>
    <w:rsid w:val="00A843C5"/>
    <w:rsid w:val="00A85B5B"/>
    <w:rsid w:val="00A8713F"/>
    <w:rsid w:val="00A87252"/>
    <w:rsid w:val="00A90BA1"/>
    <w:rsid w:val="00A90DCD"/>
    <w:rsid w:val="00A97846"/>
    <w:rsid w:val="00A97A9A"/>
    <w:rsid w:val="00A97F0F"/>
    <w:rsid w:val="00AA0417"/>
    <w:rsid w:val="00AA0671"/>
    <w:rsid w:val="00AA21DA"/>
    <w:rsid w:val="00AA2531"/>
    <w:rsid w:val="00AA3A21"/>
    <w:rsid w:val="00AA751B"/>
    <w:rsid w:val="00AB1E09"/>
    <w:rsid w:val="00AB2627"/>
    <w:rsid w:val="00AB5330"/>
    <w:rsid w:val="00AB7747"/>
    <w:rsid w:val="00AB7874"/>
    <w:rsid w:val="00AC017F"/>
    <w:rsid w:val="00AC14CE"/>
    <w:rsid w:val="00AC2A56"/>
    <w:rsid w:val="00AC49F5"/>
    <w:rsid w:val="00AC4D7A"/>
    <w:rsid w:val="00AD055E"/>
    <w:rsid w:val="00AD198C"/>
    <w:rsid w:val="00AD2054"/>
    <w:rsid w:val="00AD43D6"/>
    <w:rsid w:val="00AD47A7"/>
    <w:rsid w:val="00AD575B"/>
    <w:rsid w:val="00AD7338"/>
    <w:rsid w:val="00AE291D"/>
    <w:rsid w:val="00AE2BAC"/>
    <w:rsid w:val="00AE4E5E"/>
    <w:rsid w:val="00AE4FE1"/>
    <w:rsid w:val="00AE6A4E"/>
    <w:rsid w:val="00AF003F"/>
    <w:rsid w:val="00AF0CBF"/>
    <w:rsid w:val="00AF2082"/>
    <w:rsid w:val="00AF257F"/>
    <w:rsid w:val="00AF33CF"/>
    <w:rsid w:val="00AF4D50"/>
    <w:rsid w:val="00AF56FB"/>
    <w:rsid w:val="00AF6179"/>
    <w:rsid w:val="00AF754F"/>
    <w:rsid w:val="00B00D28"/>
    <w:rsid w:val="00B017EA"/>
    <w:rsid w:val="00B0330C"/>
    <w:rsid w:val="00B04662"/>
    <w:rsid w:val="00B07B3D"/>
    <w:rsid w:val="00B12080"/>
    <w:rsid w:val="00B128DD"/>
    <w:rsid w:val="00B1295A"/>
    <w:rsid w:val="00B12E88"/>
    <w:rsid w:val="00B16519"/>
    <w:rsid w:val="00B17FB0"/>
    <w:rsid w:val="00B2009E"/>
    <w:rsid w:val="00B20A45"/>
    <w:rsid w:val="00B22BFD"/>
    <w:rsid w:val="00B22C5C"/>
    <w:rsid w:val="00B24F30"/>
    <w:rsid w:val="00B253F3"/>
    <w:rsid w:val="00B30462"/>
    <w:rsid w:val="00B31ABF"/>
    <w:rsid w:val="00B3380D"/>
    <w:rsid w:val="00B33BE3"/>
    <w:rsid w:val="00B40BF0"/>
    <w:rsid w:val="00B43428"/>
    <w:rsid w:val="00B44183"/>
    <w:rsid w:val="00B4648B"/>
    <w:rsid w:val="00B47BC1"/>
    <w:rsid w:val="00B52557"/>
    <w:rsid w:val="00B531FE"/>
    <w:rsid w:val="00B535D5"/>
    <w:rsid w:val="00B53B5D"/>
    <w:rsid w:val="00B57FDE"/>
    <w:rsid w:val="00B6055E"/>
    <w:rsid w:val="00B60DDB"/>
    <w:rsid w:val="00B62049"/>
    <w:rsid w:val="00B6317D"/>
    <w:rsid w:val="00B63B6F"/>
    <w:rsid w:val="00B659A7"/>
    <w:rsid w:val="00B70EBE"/>
    <w:rsid w:val="00B71018"/>
    <w:rsid w:val="00B7144D"/>
    <w:rsid w:val="00B7723F"/>
    <w:rsid w:val="00B775C1"/>
    <w:rsid w:val="00B801AF"/>
    <w:rsid w:val="00B80534"/>
    <w:rsid w:val="00B8180B"/>
    <w:rsid w:val="00B8377A"/>
    <w:rsid w:val="00B8390D"/>
    <w:rsid w:val="00B839FB"/>
    <w:rsid w:val="00B8433C"/>
    <w:rsid w:val="00B87491"/>
    <w:rsid w:val="00B91147"/>
    <w:rsid w:val="00B95AAA"/>
    <w:rsid w:val="00B96EB4"/>
    <w:rsid w:val="00B9774A"/>
    <w:rsid w:val="00BA1F3E"/>
    <w:rsid w:val="00BA29E9"/>
    <w:rsid w:val="00BA7142"/>
    <w:rsid w:val="00BB1443"/>
    <w:rsid w:val="00BB237C"/>
    <w:rsid w:val="00BB2492"/>
    <w:rsid w:val="00BB41A3"/>
    <w:rsid w:val="00BB4E23"/>
    <w:rsid w:val="00BB7890"/>
    <w:rsid w:val="00BC32DC"/>
    <w:rsid w:val="00BC35B6"/>
    <w:rsid w:val="00BC6C7A"/>
    <w:rsid w:val="00BC7D6F"/>
    <w:rsid w:val="00BD1B51"/>
    <w:rsid w:val="00BD4596"/>
    <w:rsid w:val="00BE1405"/>
    <w:rsid w:val="00BE312D"/>
    <w:rsid w:val="00BE32F3"/>
    <w:rsid w:val="00BE4601"/>
    <w:rsid w:val="00BE7E86"/>
    <w:rsid w:val="00BF1C20"/>
    <w:rsid w:val="00C04FC1"/>
    <w:rsid w:val="00C0619C"/>
    <w:rsid w:val="00C10578"/>
    <w:rsid w:val="00C12D62"/>
    <w:rsid w:val="00C135BC"/>
    <w:rsid w:val="00C15C95"/>
    <w:rsid w:val="00C20E6A"/>
    <w:rsid w:val="00C211BC"/>
    <w:rsid w:val="00C24F0D"/>
    <w:rsid w:val="00C2596A"/>
    <w:rsid w:val="00C27537"/>
    <w:rsid w:val="00C328FE"/>
    <w:rsid w:val="00C33507"/>
    <w:rsid w:val="00C336C7"/>
    <w:rsid w:val="00C37C6E"/>
    <w:rsid w:val="00C4409D"/>
    <w:rsid w:val="00C44E72"/>
    <w:rsid w:val="00C45A06"/>
    <w:rsid w:val="00C4762A"/>
    <w:rsid w:val="00C47E5B"/>
    <w:rsid w:val="00C52DD6"/>
    <w:rsid w:val="00C572CE"/>
    <w:rsid w:val="00C61DEB"/>
    <w:rsid w:val="00C61E4B"/>
    <w:rsid w:val="00C621A8"/>
    <w:rsid w:val="00C64BFF"/>
    <w:rsid w:val="00C652B5"/>
    <w:rsid w:val="00C65AD9"/>
    <w:rsid w:val="00C65D27"/>
    <w:rsid w:val="00C67C87"/>
    <w:rsid w:val="00C67F8B"/>
    <w:rsid w:val="00C704E9"/>
    <w:rsid w:val="00C72ACE"/>
    <w:rsid w:val="00C763C9"/>
    <w:rsid w:val="00C77D12"/>
    <w:rsid w:val="00C80057"/>
    <w:rsid w:val="00C806E5"/>
    <w:rsid w:val="00C81FE5"/>
    <w:rsid w:val="00C82232"/>
    <w:rsid w:val="00C82913"/>
    <w:rsid w:val="00C906D8"/>
    <w:rsid w:val="00C91E1A"/>
    <w:rsid w:val="00C94135"/>
    <w:rsid w:val="00C972B1"/>
    <w:rsid w:val="00C978A8"/>
    <w:rsid w:val="00CA23ED"/>
    <w:rsid w:val="00CA2CCE"/>
    <w:rsid w:val="00CA43FD"/>
    <w:rsid w:val="00CA7EF8"/>
    <w:rsid w:val="00CB09CE"/>
    <w:rsid w:val="00CB184A"/>
    <w:rsid w:val="00CB5002"/>
    <w:rsid w:val="00CC152F"/>
    <w:rsid w:val="00CC2C19"/>
    <w:rsid w:val="00CC489B"/>
    <w:rsid w:val="00CC5CDD"/>
    <w:rsid w:val="00CC7B59"/>
    <w:rsid w:val="00CC7C9E"/>
    <w:rsid w:val="00CD0E6D"/>
    <w:rsid w:val="00CD2A33"/>
    <w:rsid w:val="00CD2BCD"/>
    <w:rsid w:val="00CD3A4C"/>
    <w:rsid w:val="00CE10E9"/>
    <w:rsid w:val="00CE2910"/>
    <w:rsid w:val="00CE5393"/>
    <w:rsid w:val="00CE6CD5"/>
    <w:rsid w:val="00CE7177"/>
    <w:rsid w:val="00CF2259"/>
    <w:rsid w:val="00CF3194"/>
    <w:rsid w:val="00CF36BE"/>
    <w:rsid w:val="00CF50BA"/>
    <w:rsid w:val="00CF6000"/>
    <w:rsid w:val="00CF78AF"/>
    <w:rsid w:val="00CF7E73"/>
    <w:rsid w:val="00D003F3"/>
    <w:rsid w:val="00D008F3"/>
    <w:rsid w:val="00D01B9C"/>
    <w:rsid w:val="00D0364F"/>
    <w:rsid w:val="00D038CB"/>
    <w:rsid w:val="00D06834"/>
    <w:rsid w:val="00D074CA"/>
    <w:rsid w:val="00D14F57"/>
    <w:rsid w:val="00D15112"/>
    <w:rsid w:val="00D15E6A"/>
    <w:rsid w:val="00D21454"/>
    <w:rsid w:val="00D2416B"/>
    <w:rsid w:val="00D245A4"/>
    <w:rsid w:val="00D2732C"/>
    <w:rsid w:val="00D308ED"/>
    <w:rsid w:val="00D31571"/>
    <w:rsid w:val="00D326AC"/>
    <w:rsid w:val="00D36D86"/>
    <w:rsid w:val="00D428AA"/>
    <w:rsid w:val="00D42B17"/>
    <w:rsid w:val="00D451A1"/>
    <w:rsid w:val="00D45BBF"/>
    <w:rsid w:val="00D50A34"/>
    <w:rsid w:val="00D525B9"/>
    <w:rsid w:val="00D53EFA"/>
    <w:rsid w:val="00D621AE"/>
    <w:rsid w:val="00D743B5"/>
    <w:rsid w:val="00D84242"/>
    <w:rsid w:val="00D86FB1"/>
    <w:rsid w:val="00D877C8"/>
    <w:rsid w:val="00D94A7C"/>
    <w:rsid w:val="00D95896"/>
    <w:rsid w:val="00D96B3D"/>
    <w:rsid w:val="00D97760"/>
    <w:rsid w:val="00D979F1"/>
    <w:rsid w:val="00DA3073"/>
    <w:rsid w:val="00DA38D9"/>
    <w:rsid w:val="00DB032D"/>
    <w:rsid w:val="00DB145B"/>
    <w:rsid w:val="00DB18E6"/>
    <w:rsid w:val="00DB2983"/>
    <w:rsid w:val="00DB3425"/>
    <w:rsid w:val="00DC1257"/>
    <w:rsid w:val="00DC38A6"/>
    <w:rsid w:val="00DC3A55"/>
    <w:rsid w:val="00DC3DC0"/>
    <w:rsid w:val="00DC5B2B"/>
    <w:rsid w:val="00DC6AB1"/>
    <w:rsid w:val="00DD318D"/>
    <w:rsid w:val="00DD5525"/>
    <w:rsid w:val="00DD6B72"/>
    <w:rsid w:val="00DD7536"/>
    <w:rsid w:val="00DE19EB"/>
    <w:rsid w:val="00DE5CB4"/>
    <w:rsid w:val="00DF217B"/>
    <w:rsid w:val="00DF2E12"/>
    <w:rsid w:val="00DF3633"/>
    <w:rsid w:val="00DF43B0"/>
    <w:rsid w:val="00DF514A"/>
    <w:rsid w:val="00DF6690"/>
    <w:rsid w:val="00DF6804"/>
    <w:rsid w:val="00E01990"/>
    <w:rsid w:val="00E02630"/>
    <w:rsid w:val="00E02C89"/>
    <w:rsid w:val="00E0358D"/>
    <w:rsid w:val="00E04323"/>
    <w:rsid w:val="00E070A2"/>
    <w:rsid w:val="00E1323E"/>
    <w:rsid w:val="00E16FEF"/>
    <w:rsid w:val="00E17158"/>
    <w:rsid w:val="00E17FF8"/>
    <w:rsid w:val="00E21B57"/>
    <w:rsid w:val="00E23E53"/>
    <w:rsid w:val="00E25546"/>
    <w:rsid w:val="00E2656A"/>
    <w:rsid w:val="00E2752D"/>
    <w:rsid w:val="00E2758C"/>
    <w:rsid w:val="00E330DA"/>
    <w:rsid w:val="00E36010"/>
    <w:rsid w:val="00E37E55"/>
    <w:rsid w:val="00E412D0"/>
    <w:rsid w:val="00E51F01"/>
    <w:rsid w:val="00E56322"/>
    <w:rsid w:val="00E60982"/>
    <w:rsid w:val="00E61CFA"/>
    <w:rsid w:val="00E62C62"/>
    <w:rsid w:val="00E62C94"/>
    <w:rsid w:val="00E654C1"/>
    <w:rsid w:val="00E65D97"/>
    <w:rsid w:val="00E71EEB"/>
    <w:rsid w:val="00E727E4"/>
    <w:rsid w:val="00E72A5A"/>
    <w:rsid w:val="00E73141"/>
    <w:rsid w:val="00E73354"/>
    <w:rsid w:val="00E7523A"/>
    <w:rsid w:val="00E8018A"/>
    <w:rsid w:val="00E82E20"/>
    <w:rsid w:val="00E843F0"/>
    <w:rsid w:val="00E86578"/>
    <w:rsid w:val="00E865C2"/>
    <w:rsid w:val="00E9242D"/>
    <w:rsid w:val="00E96BDF"/>
    <w:rsid w:val="00EA1BCE"/>
    <w:rsid w:val="00EA3264"/>
    <w:rsid w:val="00EA7761"/>
    <w:rsid w:val="00EB5255"/>
    <w:rsid w:val="00EB5C47"/>
    <w:rsid w:val="00EC0730"/>
    <w:rsid w:val="00EC2429"/>
    <w:rsid w:val="00EC332E"/>
    <w:rsid w:val="00ED0639"/>
    <w:rsid w:val="00ED20AB"/>
    <w:rsid w:val="00ED2FA8"/>
    <w:rsid w:val="00ED64CA"/>
    <w:rsid w:val="00EE0251"/>
    <w:rsid w:val="00EF2649"/>
    <w:rsid w:val="00EF3297"/>
    <w:rsid w:val="00EF380F"/>
    <w:rsid w:val="00EF4755"/>
    <w:rsid w:val="00EF5BA2"/>
    <w:rsid w:val="00EF7135"/>
    <w:rsid w:val="00F01B06"/>
    <w:rsid w:val="00F027DB"/>
    <w:rsid w:val="00F06167"/>
    <w:rsid w:val="00F06E9A"/>
    <w:rsid w:val="00F10742"/>
    <w:rsid w:val="00F14A7A"/>
    <w:rsid w:val="00F15CEA"/>
    <w:rsid w:val="00F16279"/>
    <w:rsid w:val="00F22985"/>
    <w:rsid w:val="00F2389E"/>
    <w:rsid w:val="00F26AB1"/>
    <w:rsid w:val="00F271E2"/>
    <w:rsid w:val="00F32FF8"/>
    <w:rsid w:val="00F33347"/>
    <w:rsid w:val="00F3383E"/>
    <w:rsid w:val="00F37BE6"/>
    <w:rsid w:val="00F40357"/>
    <w:rsid w:val="00F4099A"/>
    <w:rsid w:val="00F44E64"/>
    <w:rsid w:val="00F465A7"/>
    <w:rsid w:val="00F4666D"/>
    <w:rsid w:val="00F46F8E"/>
    <w:rsid w:val="00F50B7C"/>
    <w:rsid w:val="00F51ED4"/>
    <w:rsid w:val="00F52A8D"/>
    <w:rsid w:val="00F53303"/>
    <w:rsid w:val="00F550E6"/>
    <w:rsid w:val="00F575A4"/>
    <w:rsid w:val="00F5782B"/>
    <w:rsid w:val="00F63C0C"/>
    <w:rsid w:val="00F6462F"/>
    <w:rsid w:val="00F66529"/>
    <w:rsid w:val="00F70C59"/>
    <w:rsid w:val="00F72660"/>
    <w:rsid w:val="00F74345"/>
    <w:rsid w:val="00F74A57"/>
    <w:rsid w:val="00F755E6"/>
    <w:rsid w:val="00F759F3"/>
    <w:rsid w:val="00F75B94"/>
    <w:rsid w:val="00F80A0A"/>
    <w:rsid w:val="00F82B19"/>
    <w:rsid w:val="00F84D59"/>
    <w:rsid w:val="00F878E7"/>
    <w:rsid w:val="00F9212D"/>
    <w:rsid w:val="00F965DA"/>
    <w:rsid w:val="00F96819"/>
    <w:rsid w:val="00FA2391"/>
    <w:rsid w:val="00FA406A"/>
    <w:rsid w:val="00FB503A"/>
    <w:rsid w:val="00FB516C"/>
    <w:rsid w:val="00FB5674"/>
    <w:rsid w:val="00FB5F7E"/>
    <w:rsid w:val="00FB76CA"/>
    <w:rsid w:val="00FC24AD"/>
    <w:rsid w:val="00FC3895"/>
    <w:rsid w:val="00FC6A10"/>
    <w:rsid w:val="00FC79CB"/>
    <w:rsid w:val="00FD0236"/>
    <w:rsid w:val="00FD18F4"/>
    <w:rsid w:val="00FD26EE"/>
    <w:rsid w:val="00FD54DB"/>
    <w:rsid w:val="00FD619F"/>
    <w:rsid w:val="00FE1B8B"/>
    <w:rsid w:val="00FE2C4F"/>
    <w:rsid w:val="00FE532C"/>
    <w:rsid w:val="00FE5D81"/>
    <w:rsid w:val="00FE754F"/>
    <w:rsid w:val="00FE764F"/>
    <w:rsid w:val="00FF0CC8"/>
    <w:rsid w:val="00FF5B8C"/>
    <w:rsid w:val="01031C21"/>
    <w:rsid w:val="010B03A2"/>
    <w:rsid w:val="011473B7"/>
    <w:rsid w:val="011759ED"/>
    <w:rsid w:val="011C4005"/>
    <w:rsid w:val="011F3044"/>
    <w:rsid w:val="01221997"/>
    <w:rsid w:val="01284C10"/>
    <w:rsid w:val="01290F7E"/>
    <w:rsid w:val="01312193"/>
    <w:rsid w:val="013159A7"/>
    <w:rsid w:val="01351B14"/>
    <w:rsid w:val="013637D1"/>
    <w:rsid w:val="01366D4C"/>
    <w:rsid w:val="01381965"/>
    <w:rsid w:val="013E4434"/>
    <w:rsid w:val="013F7DD9"/>
    <w:rsid w:val="01431A4A"/>
    <w:rsid w:val="01435C42"/>
    <w:rsid w:val="014741DA"/>
    <w:rsid w:val="01503F3D"/>
    <w:rsid w:val="01514167"/>
    <w:rsid w:val="01533DD0"/>
    <w:rsid w:val="01534D67"/>
    <w:rsid w:val="01570B0A"/>
    <w:rsid w:val="015772A4"/>
    <w:rsid w:val="0159126E"/>
    <w:rsid w:val="015D1E09"/>
    <w:rsid w:val="015D36C0"/>
    <w:rsid w:val="01626374"/>
    <w:rsid w:val="01635C49"/>
    <w:rsid w:val="01663DA5"/>
    <w:rsid w:val="0169049A"/>
    <w:rsid w:val="016C257C"/>
    <w:rsid w:val="016D6AC7"/>
    <w:rsid w:val="017642C4"/>
    <w:rsid w:val="01795324"/>
    <w:rsid w:val="01822C60"/>
    <w:rsid w:val="01877B89"/>
    <w:rsid w:val="018B4D7A"/>
    <w:rsid w:val="018E7169"/>
    <w:rsid w:val="019404F8"/>
    <w:rsid w:val="019649B3"/>
    <w:rsid w:val="01992B49"/>
    <w:rsid w:val="01994A5B"/>
    <w:rsid w:val="019978BC"/>
    <w:rsid w:val="019B0C01"/>
    <w:rsid w:val="01A249C3"/>
    <w:rsid w:val="01AA7D1B"/>
    <w:rsid w:val="01B14C06"/>
    <w:rsid w:val="01B711E2"/>
    <w:rsid w:val="01BA61B0"/>
    <w:rsid w:val="01BD17FD"/>
    <w:rsid w:val="01BD4C9A"/>
    <w:rsid w:val="01BF0BDA"/>
    <w:rsid w:val="01C963F3"/>
    <w:rsid w:val="01CC3FA0"/>
    <w:rsid w:val="01CC7C92"/>
    <w:rsid w:val="01D32DCE"/>
    <w:rsid w:val="01D81E3B"/>
    <w:rsid w:val="01D83D26"/>
    <w:rsid w:val="01DE3E81"/>
    <w:rsid w:val="01DE6CE9"/>
    <w:rsid w:val="01E11BC6"/>
    <w:rsid w:val="01E30724"/>
    <w:rsid w:val="01E32192"/>
    <w:rsid w:val="01E7050A"/>
    <w:rsid w:val="01E90844"/>
    <w:rsid w:val="01F27B47"/>
    <w:rsid w:val="01F32EBA"/>
    <w:rsid w:val="01FB408B"/>
    <w:rsid w:val="01FD42EF"/>
    <w:rsid w:val="01FF44CB"/>
    <w:rsid w:val="02005A7B"/>
    <w:rsid w:val="02005B8D"/>
    <w:rsid w:val="020C62E0"/>
    <w:rsid w:val="020E7BCB"/>
    <w:rsid w:val="02160F0D"/>
    <w:rsid w:val="021876EC"/>
    <w:rsid w:val="021B4775"/>
    <w:rsid w:val="021D3D2C"/>
    <w:rsid w:val="02284DF1"/>
    <w:rsid w:val="02290C40"/>
    <w:rsid w:val="022D6017"/>
    <w:rsid w:val="022E6257"/>
    <w:rsid w:val="022F7E4F"/>
    <w:rsid w:val="02304CB8"/>
    <w:rsid w:val="02340733"/>
    <w:rsid w:val="02353375"/>
    <w:rsid w:val="023814FB"/>
    <w:rsid w:val="02436CFA"/>
    <w:rsid w:val="02532161"/>
    <w:rsid w:val="02532473"/>
    <w:rsid w:val="02570038"/>
    <w:rsid w:val="02570457"/>
    <w:rsid w:val="025A6E7A"/>
    <w:rsid w:val="025B3F76"/>
    <w:rsid w:val="026115F0"/>
    <w:rsid w:val="026659F0"/>
    <w:rsid w:val="02666686"/>
    <w:rsid w:val="02697903"/>
    <w:rsid w:val="026B1259"/>
    <w:rsid w:val="027A5940"/>
    <w:rsid w:val="027D47AD"/>
    <w:rsid w:val="02801D3F"/>
    <w:rsid w:val="028B583D"/>
    <w:rsid w:val="028E4DFF"/>
    <w:rsid w:val="029167E5"/>
    <w:rsid w:val="0293255D"/>
    <w:rsid w:val="029562D6"/>
    <w:rsid w:val="029E1F6C"/>
    <w:rsid w:val="029F53A6"/>
    <w:rsid w:val="02AE4C2A"/>
    <w:rsid w:val="02B0310F"/>
    <w:rsid w:val="02B153BE"/>
    <w:rsid w:val="02B55F34"/>
    <w:rsid w:val="02BB1EF3"/>
    <w:rsid w:val="02BF1304"/>
    <w:rsid w:val="02C26B15"/>
    <w:rsid w:val="02C82F21"/>
    <w:rsid w:val="02C8425D"/>
    <w:rsid w:val="02CD28BB"/>
    <w:rsid w:val="02D069A1"/>
    <w:rsid w:val="02D2318C"/>
    <w:rsid w:val="02D52B76"/>
    <w:rsid w:val="02D54924"/>
    <w:rsid w:val="02DB3646"/>
    <w:rsid w:val="02E81F09"/>
    <w:rsid w:val="02EC75E1"/>
    <w:rsid w:val="02ED10F0"/>
    <w:rsid w:val="02ED12BC"/>
    <w:rsid w:val="02F0175E"/>
    <w:rsid w:val="02F23728"/>
    <w:rsid w:val="02F54220"/>
    <w:rsid w:val="02F73C38"/>
    <w:rsid w:val="02F84D75"/>
    <w:rsid w:val="02F96569"/>
    <w:rsid w:val="02FF5E45"/>
    <w:rsid w:val="02FF7C6D"/>
    <w:rsid w:val="03035935"/>
    <w:rsid w:val="030560C6"/>
    <w:rsid w:val="030627CB"/>
    <w:rsid w:val="03065425"/>
    <w:rsid w:val="03074C27"/>
    <w:rsid w:val="03082EFC"/>
    <w:rsid w:val="031418F0"/>
    <w:rsid w:val="0317318F"/>
    <w:rsid w:val="031C2553"/>
    <w:rsid w:val="031C644F"/>
    <w:rsid w:val="03237D85"/>
    <w:rsid w:val="03265180"/>
    <w:rsid w:val="032A4C70"/>
    <w:rsid w:val="033112EF"/>
    <w:rsid w:val="03343D40"/>
    <w:rsid w:val="03345AEF"/>
    <w:rsid w:val="0337738D"/>
    <w:rsid w:val="03411FB9"/>
    <w:rsid w:val="03457CFC"/>
    <w:rsid w:val="03465822"/>
    <w:rsid w:val="034B38FA"/>
    <w:rsid w:val="03504809"/>
    <w:rsid w:val="03575C81"/>
    <w:rsid w:val="035D6367"/>
    <w:rsid w:val="035F4F1E"/>
    <w:rsid w:val="036D1E15"/>
    <w:rsid w:val="036F2B61"/>
    <w:rsid w:val="036F61FC"/>
    <w:rsid w:val="0371289F"/>
    <w:rsid w:val="03764A7A"/>
    <w:rsid w:val="037B371D"/>
    <w:rsid w:val="037F58E9"/>
    <w:rsid w:val="0382266C"/>
    <w:rsid w:val="0385748B"/>
    <w:rsid w:val="038756BD"/>
    <w:rsid w:val="038B270C"/>
    <w:rsid w:val="03925E4A"/>
    <w:rsid w:val="03926793"/>
    <w:rsid w:val="03991DF6"/>
    <w:rsid w:val="03993BA4"/>
    <w:rsid w:val="039A70F6"/>
    <w:rsid w:val="039D18E6"/>
    <w:rsid w:val="03A54299"/>
    <w:rsid w:val="03A74512"/>
    <w:rsid w:val="03A762C0"/>
    <w:rsid w:val="03A826E5"/>
    <w:rsid w:val="03B0291E"/>
    <w:rsid w:val="03B078E4"/>
    <w:rsid w:val="03B3086D"/>
    <w:rsid w:val="03B94246"/>
    <w:rsid w:val="03BB4C97"/>
    <w:rsid w:val="03C54999"/>
    <w:rsid w:val="03CF3A69"/>
    <w:rsid w:val="03D96696"/>
    <w:rsid w:val="03DC2C52"/>
    <w:rsid w:val="03DD6566"/>
    <w:rsid w:val="03E11877"/>
    <w:rsid w:val="03E71595"/>
    <w:rsid w:val="03E9062E"/>
    <w:rsid w:val="03E95DBD"/>
    <w:rsid w:val="03EA7B21"/>
    <w:rsid w:val="03EE34DF"/>
    <w:rsid w:val="03EE3EEF"/>
    <w:rsid w:val="03F31C32"/>
    <w:rsid w:val="03F90F5B"/>
    <w:rsid w:val="03F91619"/>
    <w:rsid w:val="03FA7FA9"/>
    <w:rsid w:val="03FF6831"/>
    <w:rsid w:val="0402799B"/>
    <w:rsid w:val="04042F63"/>
    <w:rsid w:val="04060002"/>
    <w:rsid w:val="04086A8E"/>
    <w:rsid w:val="040A58BD"/>
    <w:rsid w:val="040C0819"/>
    <w:rsid w:val="04115E30"/>
    <w:rsid w:val="041312FA"/>
    <w:rsid w:val="041548EB"/>
    <w:rsid w:val="04163DA0"/>
    <w:rsid w:val="041A2F36"/>
    <w:rsid w:val="042079B1"/>
    <w:rsid w:val="04253689"/>
    <w:rsid w:val="0426181E"/>
    <w:rsid w:val="042A2A20"/>
    <w:rsid w:val="04322347"/>
    <w:rsid w:val="04390EE3"/>
    <w:rsid w:val="043F474B"/>
    <w:rsid w:val="044624FA"/>
    <w:rsid w:val="04463D2B"/>
    <w:rsid w:val="044B1342"/>
    <w:rsid w:val="04541040"/>
    <w:rsid w:val="04541A21"/>
    <w:rsid w:val="045803CB"/>
    <w:rsid w:val="04581CB1"/>
    <w:rsid w:val="045A531B"/>
    <w:rsid w:val="045D1075"/>
    <w:rsid w:val="04674EF8"/>
    <w:rsid w:val="0467675D"/>
    <w:rsid w:val="046C3066"/>
    <w:rsid w:val="047069DC"/>
    <w:rsid w:val="047405BC"/>
    <w:rsid w:val="0478072F"/>
    <w:rsid w:val="0483664D"/>
    <w:rsid w:val="04893C18"/>
    <w:rsid w:val="048E317B"/>
    <w:rsid w:val="049525BD"/>
    <w:rsid w:val="0495629B"/>
    <w:rsid w:val="04992B5B"/>
    <w:rsid w:val="049C7160"/>
    <w:rsid w:val="049E533B"/>
    <w:rsid w:val="04A0376C"/>
    <w:rsid w:val="04A24703"/>
    <w:rsid w:val="04A24E62"/>
    <w:rsid w:val="04A37004"/>
    <w:rsid w:val="04A86794"/>
    <w:rsid w:val="04AD224F"/>
    <w:rsid w:val="04B3566F"/>
    <w:rsid w:val="04B3747D"/>
    <w:rsid w:val="04B844FD"/>
    <w:rsid w:val="04BA0275"/>
    <w:rsid w:val="04BC5CE3"/>
    <w:rsid w:val="04BD1B14"/>
    <w:rsid w:val="04C2712A"/>
    <w:rsid w:val="04C6380B"/>
    <w:rsid w:val="04CB5FDF"/>
    <w:rsid w:val="04D23E5A"/>
    <w:rsid w:val="04D806FC"/>
    <w:rsid w:val="04DB187B"/>
    <w:rsid w:val="04DD1649"/>
    <w:rsid w:val="04E2452E"/>
    <w:rsid w:val="04EE6171"/>
    <w:rsid w:val="04F574FF"/>
    <w:rsid w:val="04F95358"/>
    <w:rsid w:val="04F96FF0"/>
    <w:rsid w:val="04FC263C"/>
    <w:rsid w:val="050414F1"/>
    <w:rsid w:val="05065269"/>
    <w:rsid w:val="050E236F"/>
    <w:rsid w:val="050F6813"/>
    <w:rsid w:val="051239A1"/>
    <w:rsid w:val="052E47BF"/>
    <w:rsid w:val="053E2C54"/>
    <w:rsid w:val="05483AD3"/>
    <w:rsid w:val="0548762F"/>
    <w:rsid w:val="054B711F"/>
    <w:rsid w:val="0550438A"/>
    <w:rsid w:val="0553688F"/>
    <w:rsid w:val="05551E3C"/>
    <w:rsid w:val="05592C3C"/>
    <w:rsid w:val="055E3FA0"/>
    <w:rsid w:val="05616943"/>
    <w:rsid w:val="056401E1"/>
    <w:rsid w:val="05654D72"/>
    <w:rsid w:val="05663F59"/>
    <w:rsid w:val="05685F23"/>
    <w:rsid w:val="056961A2"/>
    <w:rsid w:val="056A3A4A"/>
    <w:rsid w:val="056A57F8"/>
    <w:rsid w:val="056A6DF1"/>
    <w:rsid w:val="056D52E8"/>
    <w:rsid w:val="057C19CF"/>
    <w:rsid w:val="05816655"/>
    <w:rsid w:val="05835E44"/>
    <w:rsid w:val="058C785F"/>
    <w:rsid w:val="058F48A0"/>
    <w:rsid w:val="05900FAE"/>
    <w:rsid w:val="059447BF"/>
    <w:rsid w:val="05973D2B"/>
    <w:rsid w:val="059A343D"/>
    <w:rsid w:val="059B00A7"/>
    <w:rsid w:val="059C5085"/>
    <w:rsid w:val="059C5BCD"/>
    <w:rsid w:val="059D2164"/>
    <w:rsid w:val="05A031FE"/>
    <w:rsid w:val="05AC3D16"/>
    <w:rsid w:val="05AF5900"/>
    <w:rsid w:val="05B22460"/>
    <w:rsid w:val="05B75BEB"/>
    <w:rsid w:val="05B9052D"/>
    <w:rsid w:val="05BC001D"/>
    <w:rsid w:val="05BD1DD8"/>
    <w:rsid w:val="05BD26FC"/>
    <w:rsid w:val="05BF5D55"/>
    <w:rsid w:val="05C173E2"/>
    <w:rsid w:val="05C82AA8"/>
    <w:rsid w:val="05D9472B"/>
    <w:rsid w:val="05DE1D42"/>
    <w:rsid w:val="05E55DA7"/>
    <w:rsid w:val="05EA4E20"/>
    <w:rsid w:val="05F20AC9"/>
    <w:rsid w:val="05F51EB9"/>
    <w:rsid w:val="05F577E4"/>
    <w:rsid w:val="05F61781"/>
    <w:rsid w:val="05F83EAE"/>
    <w:rsid w:val="05F91D68"/>
    <w:rsid w:val="05FB02F8"/>
    <w:rsid w:val="06043E9E"/>
    <w:rsid w:val="060A6FDB"/>
    <w:rsid w:val="0619625D"/>
    <w:rsid w:val="061E65E2"/>
    <w:rsid w:val="061F452A"/>
    <w:rsid w:val="0620235A"/>
    <w:rsid w:val="06233BF8"/>
    <w:rsid w:val="062E385C"/>
    <w:rsid w:val="062E734D"/>
    <w:rsid w:val="063577E2"/>
    <w:rsid w:val="063E7D85"/>
    <w:rsid w:val="064222D0"/>
    <w:rsid w:val="06426774"/>
    <w:rsid w:val="0644429B"/>
    <w:rsid w:val="06455DC2"/>
    <w:rsid w:val="06473D8B"/>
    <w:rsid w:val="06482387"/>
    <w:rsid w:val="06562815"/>
    <w:rsid w:val="0659586C"/>
    <w:rsid w:val="0662414E"/>
    <w:rsid w:val="06640499"/>
    <w:rsid w:val="066F0D8B"/>
    <w:rsid w:val="0673273B"/>
    <w:rsid w:val="06772656"/>
    <w:rsid w:val="06776FF6"/>
    <w:rsid w:val="06783F44"/>
    <w:rsid w:val="06787497"/>
    <w:rsid w:val="0680104B"/>
    <w:rsid w:val="06893E96"/>
    <w:rsid w:val="068A74B1"/>
    <w:rsid w:val="06950A28"/>
    <w:rsid w:val="06952D48"/>
    <w:rsid w:val="069550F6"/>
    <w:rsid w:val="0696086E"/>
    <w:rsid w:val="069A3EBB"/>
    <w:rsid w:val="069F7723"/>
    <w:rsid w:val="06A42F8B"/>
    <w:rsid w:val="06AC1E40"/>
    <w:rsid w:val="06B17456"/>
    <w:rsid w:val="06B66178"/>
    <w:rsid w:val="06B7530D"/>
    <w:rsid w:val="06B84C89"/>
    <w:rsid w:val="06C23411"/>
    <w:rsid w:val="06C471B8"/>
    <w:rsid w:val="06C9640A"/>
    <w:rsid w:val="06D53145"/>
    <w:rsid w:val="06D54CA5"/>
    <w:rsid w:val="06DF1E00"/>
    <w:rsid w:val="06E43569"/>
    <w:rsid w:val="06E710CA"/>
    <w:rsid w:val="06EE2458"/>
    <w:rsid w:val="06F04422"/>
    <w:rsid w:val="06F32E19"/>
    <w:rsid w:val="06F54C0E"/>
    <w:rsid w:val="06FC5AD8"/>
    <w:rsid w:val="06FD0C16"/>
    <w:rsid w:val="06FD4B00"/>
    <w:rsid w:val="07010901"/>
    <w:rsid w:val="07100621"/>
    <w:rsid w:val="07140111"/>
    <w:rsid w:val="0715152D"/>
    <w:rsid w:val="071A6247"/>
    <w:rsid w:val="071C0D73"/>
    <w:rsid w:val="07265555"/>
    <w:rsid w:val="07267E44"/>
    <w:rsid w:val="07293586"/>
    <w:rsid w:val="07295285"/>
    <w:rsid w:val="072D35EB"/>
    <w:rsid w:val="073A744C"/>
    <w:rsid w:val="073B3F7A"/>
    <w:rsid w:val="073F54F1"/>
    <w:rsid w:val="07480E14"/>
    <w:rsid w:val="07550729"/>
    <w:rsid w:val="07571191"/>
    <w:rsid w:val="075C154C"/>
    <w:rsid w:val="07636392"/>
    <w:rsid w:val="076A5F83"/>
    <w:rsid w:val="076D7821"/>
    <w:rsid w:val="077000C1"/>
    <w:rsid w:val="077027BF"/>
    <w:rsid w:val="07740BAF"/>
    <w:rsid w:val="07770C56"/>
    <w:rsid w:val="077F1302"/>
    <w:rsid w:val="0781507A"/>
    <w:rsid w:val="07841615"/>
    <w:rsid w:val="07871073"/>
    <w:rsid w:val="078E5C48"/>
    <w:rsid w:val="07941252"/>
    <w:rsid w:val="07985E68"/>
    <w:rsid w:val="079E3E7E"/>
    <w:rsid w:val="07A322FF"/>
    <w:rsid w:val="07AB405C"/>
    <w:rsid w:val="07AC2B56"/>
    <w:rsid w:val="07AC4B4A"/>
    <w:rsid w:val="07AE4AEA"/>
    <w:rsid w:val="07B67872"/>
    <w:rsid w:val="07B90CB8"/>
    <w:rsid w:val="07BA3CB6"/>
    <w:rsid w:val="07BC60B3"/>
    <w:rsid w:val="07BD4AFA"/>
    <w:rsid w:val="07C531B9"/>
    <w:rsid w:val="07CE6099"/>
    <w:rsid w:val="07D04AFD"/>
    <w:rsid w:val="07D20941"/>
    <w:rsid w:val="07DF2BAA"/>
    <w:rsid w:val="07E42167"/>
    <w:rsid w:val="07E421F5"/>
    <w:rsid w:val="07E436C5"/>
    <w:rsid w:val="07EC5935"/>
    <w:rsid w:val="07FC35D5"/>
    <w:rsid w:val="07FD5D01"/>
    <w:rsid w:val="07FE065A"/>
    <w:rsid w:val="07FE491D"/>
    <w:rsid w:val="07FE66CB"/>
    <w:rsid w:val="07FF70D4"/>
    <w:rsid w:val="08023599"/>
    <w:rsid w:val="08031F33"/>
    <w:rsid w:val="08057A5A"/>
    <w:rsid w:val="08177E0E"/>
    <w:rsid w:val="08224729"/>
    <w:rsid w:val="0822685D"/>
    <w:rsid w:val="082A3964"/>
    <w:rsid w:val="082D0D5E"/>
    <w:rsid w:val="0836736F"/>
    <w:rsid w:val="08393BA7"/>
    <w:rsid w:val="084367D4"/>
    <w:rsid w:val="08485B98"/>
    <w:rsid w:val="08491082"/>
    <w:rsid w:val="084A5733"/>
    <w:rsid w:val="084C7436"/>
    <w:rsid w:val="085F46B4"/>
    <w:rsid w:val="086C1887"/>
    <w:rsid w:val="086E23EC"/>
    <w:rsid w:val="086E3851"/>
    <w:rsid w:val="08716E9D"/>
    <w:rsid w:val="087A0447"/>
    <w:rsid w:val="08860018"/>
    <w:rsid w:val="0886648E"/>
    <w:rsid w:val="08872B64"/>
    <w:rsid w:val="088766C0"/>
    <w:rsid w:val="088E13EE"/>
    <w:rsid w:val="088F37C7"/>
    <w:rsid w:val="08924756"/>
    <w:rsid w:val="08927A28"/>
    <w:rsid w:val="08975A73"/>
    <w:rsid w:val="08976A82"/>
    <w:rsid w:val="089B216C"/>
    <w:rsid w:val="08AC25CB"/>
    <w:rsid w:val="08AE1E9F"/>
    <w:rsid w:val="08B17BE1"/>
    <w:rsid w:val="08B4633C"/>
    <w:rsid w:val="08B562F5"/>
    <w:rsid w:val="08B97F61"/>
    <w:rsid w:val="08BC2855"/>
    <w:rsid w:val="08BD6586"/>
    <w:rsid w:val="08C1646C"/>
    <w:rsid w:val="08C7739B"/>
    <w:rsid w:val="08D86F1C"/>
    <w:rsid w:val="08DE690B"/>
    <w:rsid w:val="08ED686D"/>
    <w:rsid w:val="08EE0192"/>
    <w:rsid w:val="08EE4992"/>
    <w:rsid w:val="08F33D56"/>
    <w:rsid w:val="08F55D20"/>
    <w:rsid w:val="09061CDB"/>
    <w:rsid w:val="09095327"/>
    <w:rsid w:val="0910671C"/>
    <w:rsid w:val="091270F8"/>
    <w:rsid w:val="091508CA"/>
    <w:rsid w:val="0917056E"/>
    <w:rsid w:val="091E602A"/>
    <w:rsid w:val="092217DD"/>
    <w:rsid w:val="09271EEA"/>
    <w:rsid w:val="09306D58"/>
    <w:rsid w:val="09336848"/>
    <w:rsid w:val="093A7294"/>
    <w:rsid w:val="093E197F"/>
    <w:rsid w:val="093F343F"/>
    <w:rsid w:val="0946032A"/>
    <w:rsid w:val="094E763E"/>
    <w:rsid w:val="09516776"/>
    <w:rsid w:val="0955056D"/>
    <w:rsid w:val="09650D30"/>
    <w:rsid w:val="0974300E"/>
    <w:rsid w:val="09784CC1"/>
    <w:rsid w:val="097B3C16"/>
    <w:rsid w:val="097D7547"/>
    <w:rsid w:val="097F55EA"/>
    <w:rsid w:val="0983157E"/>
    <w:rsid w:val="098350DA"/>
    <w:rsid w:val="0984499B"/>
    <w:rsid w:val="098451E2"/>
    <w:rsid w:val="09862E1C"/>
    <w:rsid w:val="098D18E2"/>
    <w:rsid w:val="09903C9B"/>
    <w:rsid w:val="09971C3C"/>
    <w:rsid w:val="09972933"/>
    <w:rsid w:val="09976F5B"/>
    <w:rsid w:val="099872E7"/>
    <w:rsid w:val="099A01B0"/>
    <w:rsid w:val="09A67019"/>
    <w:rsid w:val="09AD19E0"/>
    <w:rsid w:val="09B4439A"/>
    <w:rsid w:val="09BA137D"/>
    <w:rsid w:val="09C2764F"/>
    <w:rsid w:val="09C33728"/>
    <w:rsid w:val="09C347D2"/>
    <w:rsid w:val="09C51AEE"/>
    <w:rsid w:val="09CD45A7"/>
    <w:rsid w:val="09DF0151"/>
    <w:rsid w:val="09DF6712"/>
    <w:rsid w:val="09E37206"/>
    <w:rsid w:val="09EC6316"/>
    <w:rsid w:val="09F00295"/>
    <w:rsid w:val="09F0752D"/>
    <w:rsid w:val="09F10707"/>
    <w:rsid w:val="09F14739"/>
    <w:rsid w:val="09F215F6"/>
    <w:rsid w:val="09F63AFE"/>
    <w:rsid w:val="09F7191B"/>
    <w:rsid w:val="09F73401"/>
    <w:rsid w:val="09F775B4"/>
    <w:rsid w:val="0A0023A1"/>
    <w:rsid w:val="0A0077B9"/>
    <w:rsid w:val="0A0148F0"/>
    <w:rsid w:val="0A032F38"/>
    <w:rsid w:val="0A090190"/>
    <w:rsid w:val="0A0D78C6"/>
    <w:rsid w:val="0A122902"/>
    <w:rsid w:val="0A1246B0"/>
    <w:rsid w:val="0A157AFE"/>
    <w:rsid w:val="0A1B3564"/>
    <w:rsid w:val="0A1C0257"/>
    <w:rsid w:val="0A21224E"/>
    <w:rsid w:val="0A263993"/>
    <w:rsid w:val="0A2A37A7"/>
    <w:rsid w:val="0A2C39C3"/>
    <w:rsid w:val="0A2D3AC2"/>
    <w:rsid w:val="0A2E773B"/>
    <w:rsid w:val="0A301556"/>
    <w:rsid w:val="0A3C1312"/>
    <w:rsid w:val="0A407F4A"/>
    <w:rsid w:val="0A454492"/>
    <w:rsid w:val="0A481E7F"/>
    <w:rsid w:val="0A49242C"/>
    <w:rsid w:val="0A516F86"/>
    <w:rsid w:val="0A5258D9"/>
    <w:rsid w:val="0A5470C9"/>
    <w:rsid w:val="0A6740A8"/>
    <w:rsid w:val="0A6767AA"/>
    <w:rsid w:val="0A7274CC"/>
    <w:rsid w:val="0A784193"/>
    <w:rsid w:val="0A8259B1"/>
    <w:rsid w:val="0A884A60"/>
    <w:rsid w:val="0A886720"/>
    <w:rsid w:val="0A907017"/>
    <w:rsid w:val="0A981335"/>
    <w:rsid w:val="0A9817DB"/>
    <w:rsid w:val="0A984BB5"/>
    <w:rsid w:val="0A9C4C1B"/>
    <w:rsid w:val="0AA33AA0"/>
    <w:rsid w:val="0AA45322"/>
    <w:rsid w:val="0AA55524"/>
    <w:rsid w:val="0AA755DF"/>
    <w:rsid w:val="0AA856C0"/>
    <w:rsid w:val="0ABB1630"/>
    <w:rsid w:val="0ACA6D38"/>
    <w:rsid w:val="0ACC485F"/>
    <w:rsid w:val="0AD169DA"/>
    <w:rsid w:val="0AD772DE"/>
    <w:rsid w:val="0AE24082"/>
    <w:rsid w:val="0AE4604C"/>
    <w:rsid w:val="0AE61DC4"/>
    <w:rsid w:val="0AEE2A27"/>
    <w:rsid w:val="0AF53DB5"/>
    <w:rsid w:val="0AF73FD1"/>
    <w:rsid w:val="0AFA5870"/>
    <w:rsid w:val="0B09160F"/>
    <w:rsid w:val="0B0C10FF"/>
    <w:rsid w:val="0B0E7932"/>
    <w:rsid w:val="0B120D44"/>
    <w:rsid w:val="0B1676E4"/>
    <w:rsid w:val="0B1D330C"/>
    <w:rsid w:val="0B260413"/>
    <w:rsid w:val="0B2E5519"/>
    <w:rsid w:val="0B30290D"/>
    <w:rsid w:val="0B347497"/>
    <w:rsid w:val="0B357B6B"/>
    <w:rsid w:val="0B376726"/>
    <w:rsid w:val="0B3820A2"/>
    <w:rsid w:val="0B3F3282"/>
    <w:rsid w:val="0B41524D"/>
    <w:rsid w:val="0B440899"/>
    <w:rsid w:val="0B444D3D"/>
    <w:rsid w:val="0B492353"/>
    <w:rsid w:val="0B497A74"/>
    <w:rsid w:val="0B4F3EE4"/>
    <w:rsid w:val="0B580CA0"/>
    <w:rsid w:val="0B5A00BC"/>
    <w:rsid w:val="0B5A402C"/>
    <w:rsid w:val="0B5D195B"/>
    <w:rsid w:val="0B5D5CE3"/>
    <w:rsid w:val="0B61144B"/>
    <w:rsid w:val="0B6B3E24"/>
    <w:rsid w:val="0B6C6BC1"/>
    <w:rsid w:val="0B6D4294"/>
    <w:rsid w:val="0B6E3B68"/>
    <w:rsid w:val="0B6F27AF"/>
    <w:rsid w:val="0B736D54"/>
    <w:rsid w:val="0B7F172C"/>
    <w:rsid w:val="0B854B0F"/>
    <w:rsid w:val="0B882E7B"/>
    <w:rsid w:val="0B887641"/>
    <w:rsid w:val="0B892750"/>
    <w:rsid w:val="0B8A42B3"/>
    <w:rsid w:val="0B901D30"/>
    <w:rsid w:val="0B9335CE"/>
    <w:rsid w:val="0B9428A2"/>
    <w:rsid w:val="0B9A2502"/>
    <w:rsid w:val="0BA6715E"/>
    <w:rsid w:val="0BA837F1"/>
    <w:rsid w:val="0BAB0918"/>
    <w:rsid w:val="0BB43C70"/>
    <w:rsid w:val="0BB71B42"/>
    <w:rsid w:val="0BBB4168"/>
    <w:rsid w:val="0BBF24FF"/>
    <w:rsid w:val="0BC65752"/>
    <w:rsid w:val="0BC67500"/>
    <w:rsid w:val="0BC7515D"/>
    <w:rsid w:val="0BC948B1"/>
    <w:rsid w:val="0BCA561A"/>
    <w:rsid w:val="0BD240F7"/>
    <w:rsid w:val="0BD27BF6"/>
    <w:rsid w:val="0BDD5322"/>
    <w:rsid w:val="0BE34248"/>
    <w:rsid w:val="0BE5207C"/>
    <w:rsid w:val="0BE539E8"/>
    <w:rsid w:val="0BF6421D"/>
    <w:rsid w:val="0BF95B27"/>
    <w:rsid w:val="0BFC73C5"/>
    <w:rsid w:val="0BFF537C"/>
    <w:rsid w:val="0C03314E"/>
    <w:rsid w:val="0C0A1AE2"/>
    <w:rsid w:val="0C175FAD"/>
    <w:rsid w:val="0C177116"/>
    <w:rsid w:val="0C1907D5"/>
    <w:rsid w:val="0C194C0B"/>
    <w:rsid w:val="0C1B5C6F"/>
    <w:rsid w:val="0C1E04B1"/>
    <w:rsid w:val="0C210BDA"/>
    <w:rsid w:val="0C24583E"/>
    <w:rsid w:val="0C2562F9"/>
    <w:rsid w:val="0C264F49"/>
    <w:rsid w:val="0C26538B"/>
    <w:rsid w:val="0C30706F"/>
    <w:rsid w:val="0C375EA8"/>
    <w:rsid w:val="0C3974BF"/>
    <w:rsid w:val="0C3B3C7D"/>
    <w:rsid w:val="0C3C492C"/>
    <w:rsid w:val="0C405504"/>
    <w:rsid w:val="0C47331D"/>
    <w:rsid w:val="0C475BCF"/>
    <w:rsid w:val="0C4D5B93"/>
    <w:rsid w:val="0C5A6B62"/>
    <w:rsid w:val="0C5D60B6"/>
    <w:rsid w:val="0C633433"/>
    <w:rsid w:val="0C6F07CA"/>
    <w:rsid w:val="0C707DF8"/>
    <w:rsid w:val="0C750F4B"/>
    <w:rsid w:val="0C752FB1"/>
    <w:rsid w:val="0C7927C4"/>
    <w:rsid w:val="0C796C68"/>
    <w:rsid w:val="0C7A1C57"/>
    <w:rsid w:val="0C7B1859"/>
    <w:rsid w:val="0C7B478E"/>
    <w:rsid w:val="0C7C270A"/>
    <w:rsid w:val="0C7E727A"/>
    <w:rsid w:val="0C807FF6"/>
    <w:rsid w:val="0C833643"/>
    <w:rsid w:val="0C85421C"/>
    <w:rsid w:val="0C871034"/>
    <w:rsid w:val="0C907472"/>
    <w:rsid w:val="0C965124"/>
    <w:rsid w:val="0C9F66CF"/>
    <w:rsid w:val="0CA10AFC"/>
    <w:rsid w:val="0CA32D23"/>
    <w:rsid w:val="0CAB2EAE"/>
    <w:rsid w:val="0CB5460A"/>
    <w:rsid w:val="0CB61638"/>
    <w:rsid w:val="0CB96281"/>
    <w:rsid w:val="0CBD6427"/>
    <w:rsid w:val="0CCB7DB3"/>
    <w:rsid w:val="0CCD7495"/>
    <w:rsid w:val="0CD46235"/>
    <w:rsid w:val="0CDB6FDB"/>
    <w:rsid w:val="0CDC06BB"/>
    <w:rsid w:val="0CDF2F6F"/>
    <w:rsid w:val="0CE328FF"/>
    <w:rsid w:val="0CED10CD"/>
    <w:rsid w:val="0CF26929"/>
    <w:rsid w:val="0CF93D55"/>
    <w:rsid w:val="0D004C93"/>
    <w:rsid w:val="0D0227BA"/>
    <w:rsid w:val="0D0A78C0"/>
    <w:rsid w:val="0D1129FD"/>
    <w:rsid w:val="0D1150F2"/>
    <w:rsid w:val="0D1424ED"/>
    <w:rsid w:val="0D145F83"/>
    <w:rsid w:val="0D1522B7"/>
    <w:rsid w:val="0D1653D3"/>
    <w:rsid w:val="0D1B16BD"/>
    <w:rsid w:val="0D1C0526"/>
    <w:rsid w:val="0D2210AE"/>
    <w:rsid w:val="0D2414F5"/>
    <w:rsid w:val="0D256754"/>
    <w:rsid w:val="0D297801"/>
    <w:rsid w:val="0D2C79FD"/>
    <w:rsid w:val="0D2F1884"/>
    <w:rsid w:val="0D33458A"/>
    <w:rsid w:val="0D3606B5"/>
    <w:rsid w:val="0D3B3F1D"/>
    <w:rsid w:val="0D3D37F2"/>
    <w:rsid w:val="0D431422"/>
    <w:rsid w:val="0D473A32"/>
    <w:rsid w:val="0D4B4161"/>
    <w:rsid w:val="0D51729D"/>
    <w:rsid w:val="0D5A25F6"/>
    <w:rsid w:val="0D5B011C"/>
    <w:rsid w:val="0D5E339D"/>
    <w:rsid w:val="0D613984"/>
    <w:rsid w:val="0D6214AA"/>
    <w:rsid w:val="0D621C7D"/>
    <w:rsid w:val="0D624BAF"/>
    <w:rsid w:val="0D6B3773"/>
    <w:rsid w:val="0D755FFE"/>
    <w:rsid w:val="0D7A3989"/>
    <w:rsid w:val="0D7A7EA4"/>
    <w:rsid w:val="0D7B1B27"/>
    <w:rsid w:val="0D7B39BE"/>
    <w:rsid w:val="0D8060B9"/>
    <w:rsid w:val="0D8A61D3"/>
    <w:rsid w:val="0D9172AB"/>
    <w:rsid w:val="0D961154"/>
    <w:rsid w:val="0DA0092E"/>
    <w:rsid w:val="0DA6583B"/>
    <w:rsid w:val="0DB00467"/>
    <w:rsid w:val="0DBA12E6"/>
    <w:rsid w:val="0DBA7538"/>
    <w:rsid w:val="0DC27315"/>
    <w:rsid w:val="0DC65EBE"/>
    <w:rsid w:val="0DC65EDD"/>
    <w:rsid w:val="0DCB34F3"/>
    <w:rsid w:val="0DCF4D92"/>
    <w:rsid w:val="0DD24882"/>
    <w:rsid w:val="0DD759F4"/>
    <w:rsid w:val="0DD8176C"/>
    <w:rsid w:val="0DDE6877"/>
    <w:rsid w:val="0DE2767D"/>
    <w:rsid w:val="0DE900B9"/>
    <w:rsid w:val="0DED346A"/>
    <w:rsid w:val="0DF5231E"/>
    <w:rsid w:val="0DF5338E"/>
    <w:rsid w:val="0DFD4F28"/>
    <w:rsid w:val="0E0019BA"/>
    <w:rsid w:val="0E0367E9"/>
    <w:rsid w:val="0E0C69F8"/>
    <w:rsid w:val="0E0E371C"/>
    <w:rsid w:val="0E0F3672"/>
    <w:rsid w:val="0E115619"/>
    <w:rsid w:val="0E1327A4"/>
    <w:rsid w:val="0E1529C0"/>
    <w:rsid w:val="0E1B7FD7"/>
    <w:rsid w:val="0E26072A"/>
    <w:rsid w:val="0E303DCA"/>
    <w:rsid w:val="0E356BBF"/>
    <w:rsid w:val="0E3746E5"/>
    <w:rsid w:val="0E39295C"/>
    <w:rsid w:val="0E3F5557"/>
    <w:rsid w:val="0E4669CF"/>
    <w:rsid w:val="0E4A3AEE"/>
    <w:rsid w:val="0E4B34AC"/>
    <w:rsid w:val="0E4C2056"/>
    <w:rsid w:val="0E507888"/>
    <w:rsid w:val="0E5E6115"/>
    <w:rsid w:val="0E654F27"/>
    <w:rsid w:val="0E666D78"/>
    <w:rsid w:val="0E673D73"/>
    <w:rsid w:val="0E6D762C"/>
    <w:rsid w:val="0E73034D"/>
    <w:rsid w:val="0E7771D7"/>
    <w:rsid w:val="0E793B97"/>
    <w:rsid w:val="0E7C2DCE"/>
    <w:rsid w:val="0E83018A"/>
    <w:rsid w:val="0E96765D"/>
    <w:rsid w:val="0E99714E"/>
    <w:rsid w:val="0E9D2B11"/>
    <w:rsid w:val="0E9D6C3E"/>
    <w:rsid w:val="0EA0228A"/>
    <w:rsid w:val="0EA33EF7"/>
    <w:rsid w:val="0EA74990"/>
    <w:rsid w:val="0EAA05FC"/>
    <w:rsid w:val="0EAB6D84"/>
    <w:rsid w:val="0EB67D00"/>
    <w:rsid w:val="0EB77E38"/>
    <w:rsid w:val="0EB9334C"/>
    <w:rsid w:val="0EC07097"/>
    <w:rsid w:val="0ECC2D59"/>
    <w:rsid w:val="0ED1069F"/>
    <w:rsid w:val="0ED10E76"/>
    <w:rsid w:val="0ED75FF3"/>
    <w:rsid w:val="0ED76E18"/>
    <w:rsid w:val="0ED92472"/>
    <w:rsid w:val="0EDB32C2"/>
    <w:rsid w:val="0EDD346A"/>
    <w:rsid w:val="0EDE591C"/>
    <w:rsid w:val="0EE228A3"/>
    <w:rsid w:val="0EE25041"/>
    <w:rsid w:val="0EE51585"/>
    <w:rsid w:val="0EE52393"/>
    <w:rsid w:val="0EE654DD"/>
    <w:rsid w:val="0EE71826"/>
    <w:rsid w:val="0EEA5BFB"/>
    <w:rsid w:val="0EF41053"/>
    <w:rsid w:val="0EF460F9"/>
    <w:rsid w:val="0EF600FC"/>
    <w:rsid w:val="0EF80318"/>
    <w:rsid w:val="0EF86860"/>
    <w:rsid w:val="0EFE0513"/>
    <w:rsid w:val="0EFE6510"/>
    <w:rsid w:val="0F0547E3"/>
    <w:rsid w:val="0F0942D3"/>
    <w:rsid w:val="0F0A1DF9"/>
    <w:rsid w:val="0F0A4F36"/>
    <w:rsid w:val="0F0C3DC3"/>
    <w:rsid w:val="0F0E604F"/>
    <w:rsid w:val="0F13775A"/>
    <w:rsid w:val="0F1D21B0"/>
    <w:rsid w:val="0F1D38DB"/>
    <w:rsid w:val="0F2509E1"/>
    <w:rsid w:val="0F2E5AE8"/>
    <w:rsid w:val="0F3763CB"/>
    <w:rsid w:val="0F3A2647"/>
    <w:rsid w:val="0F3D21CF"/>
    <w:rsid w:val="0F4027BC"/>
    <w:rsid w:val="0F40581B"/>
    <w:rsid w:val="0F410892"/>
    <w:rsid w:val="0F4D4849"/>
    <w:rsid w:val="0F504D75"/>
    <w:rsid w:val="0F56503F"/>
    <w:rsid w:val="0F580DB7"/>
    <w:rsid w:val="0F5F45FE"/>
    <w:rsid w:val="0F5F7650"/>
    <w:rsid w:val="0F6045F2"/>
    <w:rsid w:val="0F6459AD"/>
    <w:rsid w:val="0F696B20"/>
    <w:rsid w:val="0F6B6D3C"/>
    <w:rsid w:val="0F6E05DA"/>
    <w:rsid w:val="0F706100"/>
    <w:rsid w:val="0F753EFF"/>
    <w:rsid w:val="0F786D63"/>
    <w:rsid w:val="0F803E6A"/>
    <w:rsid w:val="0F843812"/>
    <w:rsid w:val="0F87344A"/>
    <w:rsid w:val="0F8A3E81"/>
    <w:rsid w:val="0F917E25"/>
    <w:rsid w:val="0F924F7F"/>
    <w:rsid w:val="0F9470FA"/>
    <w:rsid w:val="0F9638D0"/>
    <w:rsid w:val="0F97684E"/>
    <w:rsid w:val="0F9A112B"/>
    <w:rsid w:val="0FA364D6"/>
    <w:rsid w:val="0FAB538A"/>
    <w:rsid w:val="0FAF0CB0"/>
    <w:rsid w:val="0FB51D65"/>
    <w:rsid w:val="0FBE2C88"/>
    <w:rsid w:val="0FBF4992"/>
    <w:rsid w:val="0FC05FDF"/>
    <w:rsid w:val="0FC65D20"/>
    <w:rsid w:val="0FC91CB4"/>
    <w:rsid w:val="0FC93A62"/>
    <w:rsid w:val="0FCD3553"/>
    <w:rsid w:val="0FD07339"/>
    <w:rsid w:val="0FD146C5"/>
    <w:rsid w:val="0FDA5C70"/>
    <w:rsid w:val="0FDD51C2"/>
    <w:rsid w:val="0FEB39D9"/>
    <w:rsid w:val="0FF60BFB"/>
    <w:rsid w:val="0FF91F75"/>
    <w:rsid w:val="0FFC0386"/>
    <w:rsid w:val="0FFC1742"/>
    <w:rsid w:val="100625C1"/>
    <w:rsid w:val="1013011B"/>
    <w:rsid w:val="101F18D4"/>
    <w:rsid w:val="10214329"/>
    <w:rsid w:val="10234F21"/>
    <w:rsid w:val="102A03A0"/>
    <w:rsid w:val="102E2AE3"/>
    <w:rsid w:val="10421006"/>
    <w:rsid w:val="10432474"/>
    <w:rsid w:val="10477DE2"/>
    <w:rsid w:val="10484987"/>
    <w:rsid w:val="10525806"/>
    <w:rsid w:val="1057025C"/>
    <w:rsid w:val="10586CA8"/>
    <w:rsid w:val="106169ED"/>
    <w:rsid w:val="1066305F"/>
    <w:rsid w:val="106B4B1A"/>
    <w:rsid w:val="106D2F64"/>
    <w:rsid w:val="10702130"/>
    <w:rsid w:val="10725EEA"/>
    <w:rsid w:val="10727C56"/>
    <w:rsid w:val="107647A0"/>
    <w:rsid w:val="10835914"/>
    <w:rsid w:val="108B6001"/>
    <w:rsid w:val="108C1CE2"/>
    <w:rsid w:val="108C615E"/>
    <w:rsid w:val="108F6F4D"/>
    <w:rsid w:val="10976D85"/>
    <w:rsid w:val="109B089C"/>
    <w:rsid w:val="10A36062"/>
    <w:rsid w:val="10AA73F0"/>
    <w:rsid w:val="10B224C7"/>
    <w:rsid w:val="10B36533"/>
    <w:rsid w:val="10B62239"/>
    <w:rsid w:val="10B62EE4"/>
    <w:rsid w:val="10B63710"/>
    <w:rsid w:val="10B63FE7"/>
    <w:rsid w:val="10B65D95"/>
    <w:rsid w:val="10C078BD"/>
    <w:rsid w:val="10C217ED"/>
    <w:rsid w:val="10C336E4"/>
    <w:rsid w:val="10C34956"/>
    <w:rsid w:val="10C85AC8"/>
    <w:rsid w:val="10CD7582"/>
    <w:rsid w:val="10CF790B"/>
    <w:rsid w:val="10D43D2C"/>
    <w:rsid w:val="10D62C4F"/>
    <w:rsid w:val="10D80401"/>
    <w:rsid w:val="10D872D0"/>
    <w:rsid w:val="10DB5880"/>
    <w:rsid w:val="10E10521"/>
    <w:rsid w:val="10E13D97"/>
    <w:rsid w:val="10F10820"/>
    <w:rsid w:val="10F13271"/>
    <w:rsid w:val="10F26EA5"/>
    <w:rsid w:val="10F90377"/>
    <w:rsid w:val="10F95750"/>
    <w:rsid w:val="10FC5772"/>
    <w:rsid w:val="10FD1F0A"/>
    <w:rsid w:val="11016E0F"/>
    <w:rsid w:val="110472BA"/>
    <w:rsid w:val="11065765"/>
    <w:rsid w:val="110F2985"/>
    <w:rsid w:val="110F6D61"/>
    <w:rsid w:val="111927C8"/>
    <w:rsid w:val="111C2F7A"/>
    <w:rsid w:val="112847B9"/>
    <w:rsid w:val="112C6B8F"/>
    <w:rsid w:val="112C7AF5"/>
    <w:rsid w:val="112C7CAB"/>
    <w:rsid w:val="1133021E"/>
    <w:rsid w:val="11337C03"/>
    <w:rsid w:val="11351DE6"/>
    <w:rsid w:val="1139527B"/>
    <w:rsid w:val="113C4CD1"/>
    <w:rsid w:val="113D2012"/>
    <w:rsid w:val="113D6807"/>
    <w:rsid w:val="113F5854"/>
    <w:rsid w:val="114026B7"/>
    <w:rsid w:val="11405448"/>
    <w:rsid w:val="11407FD1"/>
    <w:rsid w:val="11486486"/>
    <w:rsid w:val="11497CF6"/>
    <w:rsid w:val="114B3686"/>
    <w:rsid w:val="114C04A7"/>
    <w:rsid w:val="11506D23"/>
    <w:rsid w:val="115074B9"/>
    <w:rsid w:val="11551A52"/>
    <w:rsid w:val="115B693C"/>
    <w:rsid w:val="115E1DEE"/>
    <w:rsid w:val="116432A2"/>
    <w:rsid w:val="11643A43"/>
    <w:rsid w:val="11665CA1"/>
    <w:rsid w:val="116D479C"/>
    <w:rsid w:val="116E4122"/>
    <w:rsid w:val="1172671C"/>
    <w:rsid w:val="1176761B"/>
    <w:rsid w:val="11801A2F"/>
    <w:rsid w:val="118045F5"/>
    <w:rsid w:val="118C21B4"/>
    <w:rsid w:val="118E6D12"/>
    <w:rsid w:val="11912563"/>
    <w:rsid w:val="11940F05"/>
    <w:rsid w:val="11951E4E"/>
    <w:rsid w:val="119610D6"/>
    <w:rsid w:val="11973C1D"/>
    <w:rsid w:val="119F4A7B"/>
    <w:rsid w:val="11AB1672"/>
    <w:rsid w:val="11AD072E"/>
    <w:rsid w:val="11AE4CBE"/>
    <w:rsid w:val="11B524F0"/>
    <w:rsid w:val="11B9125B"/>
    <w:rsid w:val="11BA3663"/>
    <w:rsid w:val="11BD1AE3"/>
    <w:rsid w:val="11BF336F"/>
    <w:rsid w:val="11C1549D"/>
    <w:rsid w:val="11C27375"/>
    <w:rsid w:val="11C30D95"/>
    <w:rsid w:val="11C66D88"/>
    <w:rsid w:val="11CD727D"/>
    <w:rsid w:val="11D50FAE"/>
    <w:rsid w:val="11D612CB"/>
    <w:rsid w:val="11D81D3B"/>
    <w:rsid w:val="11D84431"/>
    <w:rsid w:val="11E06E41"/>
    <w:rsid w:val="11E32BE3"/>
    <w:rsid w:val="11E37E0A"/>
    <w:rsid w:val="11E7673F"/>
    <w:rsid w:val="11EC3A38"/>
    <w:rsid w:val="12025774"/>
    <w:rsid w:val="120312C4"/>
    <w:rsid w:val="12042B30"/>
    <w:rsid w:val="12071881"/>
    <w:rsid w:val="120B496E"/>
    <w:rsid w:val="120C4D1D"/>
    <w:rsid w:val="121277D8"/>
    <w:rsid w:val="12166C60"/>
    <w:rsid w:val="12173DEA"/>
    <w:rsid w:val="122371C4"/>
    <w:rsid w:val="12260B76"/>
    <w:rsid w:val="12367933"/>
    <w:rsid w:val="124037F5"/>
    <w:rsid w:val="12415B32"/>
    <w:rsid w:val="12423479"/>
    <w:rsid w:val="124B4C03"/>
    <w:rsid w:val="124F64A1"/>
    <w:rsid w:val="12502B3B"/>
    <w:rsid w:val="12584CB9"/>
    <w:rsid w:val="125D0492"/>
    <w:rsid w:val="125D2D63"/>
    <w:rsid w:val="126857B5"/>
    <w:rsid w:val="126B2BAF"/>
    <w:rsid w:val="127001C5"/>
    <w:rsid w:val="127203E1"/>
    <w:rsid w:val="12791770"/>
    <w:rsid w:val="12812F7B"/>
    <w:rsid w:val="1283614B"/>
    <w:rsid w:val="12847522"/>
    <w:rsid w:val="128B3915"/>
    <w:rsid w:val="128C1201"/>
    <w:rsid w:val="128E14A8"/>
    <w:rsid w:val="128E2FDB"/>
    <w:rsid w:val="12916AA6"/>
    <w:rsid w:val="129C545E"/>
    <w:rsid w:val="129E7212"/>
    <w:rsid w:val="12A8795F"/>
    <w:rsid w:val="12B37A9B"/>
    <w:rsid w:val="12B71B99"/>
    <w:rsid w:val="12C0286C"/>
    <w:rsid w:val="12C16C73"/>
    <w:rsid w:val="12C241E1"/>
    <w:rsid w:val="12D57132"/>
    <w:rsid w:val="12DC585B"/>
    <w:rsid w:val="12E04FE4"/>
    <w:rsid w:val="12F232D0"/>
    <w:rsid w:val="12F30695"/>
    <w:rsid w:val="12F4756B"/>
    <w:rsid w:val="12FB6FCB"/>
    <w:rsid w:val="12FC5EFD"/>
    <w:rsid w:val="130649E5"/>
    <w:rsid w:val="130725B8"/>
    <w:rsid w:val="13091A27"/>
    <w:rsid w:val="130A686C"/>
    <w:rsid w:val="130D57ED"/>
    <w:rsid w:val="131256EE"/>
    <w:rsid w:val="13147D53"/>
    <w:rsid w:val="1319085D"/>
    <w:rsid w:val="131B58EC"/>
    <w:rsid w:val="13250612"/>
    <w:rsid w:val="13252B32"/>
    <w:rsid w:val="13263708"/>
    <w:rsid w:val="132C233E"/>
    <w:rsid w:val="13337B71"/>
    <w:rsid w:val="133E106E"/>
    <w:rsid w:val="134168FD"/>
    <w:rsid w:val="134A4EBA"/>
    <w:rsid w:val="134B3EA6"/>
    <w:rsid w:val="134F24D1"/>
    <w:rsid w:val="13516249"/>
    <w:rsid w:val="13566748"/>
    <w:rsid w:val="13596E11"/>
    <w:rsid w:val="136476FE"/>
    <w:rsid w:val="136F4C00"/>
    <w:rsid w:val="13710699"/>
    <w:rsid w:val="137633A8"/>
    <w:rsid w:val="13841D40"/>
    <w:rsid w:val="13875453"/>
    <w:rsid w:val="13884F5B"/>
    <w:rsid w:val="138C102F"/>
    <w:rsid w:val="139300F1"/>
    <w:rsid w:val="13951726"/>
    <w:rsid w:val="139630E6"/>
    <w:rsid w:val="139B74C4"/>
    <w:rsid w:val="13A51DF8"/>
    <w:rsid w:val="13A66473"/>
    <w:rsid w:val="13A90FB1"/>
    <w:rsid w:val="13A97E33"/>
    <w:rsid w:val="13AA53E8"/>
    <w:rsid w:val="13AD2810"/>
    <w:rsid w:val="13B6042B"/>
    <w:rsid w:val="13B8757C"/>
    <w:rsid w:val="13BD7245"/>
    <w:rsid w:val="13C35E4E"/>
    <w:rsid w:val="13DA207F"/>
    <w:rsid w:val="13DA623E"/>
    <w:rsid w:val="13DA7FEC"/>
    <w:rsid w:val="13DE5507"/>
    <w:rsid w:val="13E1581F"/>
    <w:rsid w:val="13E16790"/>
    <w:rsid w:val="13E42C19"/>
    <w:rsid w:val="13E9022F"/>
    <w:rsid w:val="13ED1715"/>
    <w:rsid w:val="13EE5846"/>
    <w:rsid w:val="13EE708C"/>
    <w:rsid w:val="13F366E5"/>
    <w:rsid w:val="13F72D89"/>
    <w:rsid w:val="13F85EAD"/>
    <w:rsid w:val="13FA068E"/>
    <w:rsid w:val="13FA0EB0"/>
    <w:rsid w:val="13FD09D7"/>
    <w:rsid w:val="140831E2"/>
    <w:rsid w:val="140F69EF"/>
    <w:rsid w:val="141334FE"/>
    <w:rsid w:val="14137D1C"/>
    <w:rsid w:val="141E7449"/>
    <w:rsid w:val="141F4656"/>
    <w:rsid w:val="142474B9"/>
    <w:rsid w:val="14257900"/>
    <w:rsid w:val="142E37AA"/>
    <w:rsid w:val="14305E5E"/>
    <w:rsid w:val="14356565"/>
    <w:rsid w:val="14396509"/>
    <w:rsid w:val="143B6AC6"/>
    <w:rsid w:val="143C0390"/>
    <w:rsid w:val="1441006B"/>
    <w:rsid w:val="14496F20"/>
    <w:rsid w:val="144B3CAB"/>
    <w:rsid w:val="144E2788"/>
    <w:rsid w:val="145204CA"/>
    <w:rsid w:val="14531B4D"/>
    <w:rsid w:val="145C2705"/>
    <w:rsid w:val="14634486"/>
    <w:rsid w:val="14673E8A"/>
    <w:rsid w:val="1468329B"/>
    <w:rsid w:val="146F280C"/>
    <w:rsid w:val="147F2942"/>
    <w:rsid w:val="14814211"/>
    <w:rsid w:val="14904B4F"/>
    <w:rsid w:val="149363ED"/>
    <w:rsid w:val="14991C55"/>
    <w:rsid w:val="149E1A09"/>
    <w:rsid w:val="149E53A8"/>
    <w:rsid w:val="149E726C"/>
    <w:rsid w:val="14A779A2"/>
    <w:rsid w:val="14AB6958"/>
    <w:rsid w:val="14AC691B"/>
    <w:rsid w:val="14AE207C"/>
    <w:rsid w:val="14B60A59"/>
    <w:rsid w:val="14BA1BCC"/>
    <w:rsid w:val="14BB3567"/>
    <w:rsid w:val="14C276A9"/>
    <w:rsid w:val="14C50E0E"/>
    <w:rsid w:val="14C52A4A"/>
    <w:rsid w:val="14DD2C3C"/>
    <w:rsid w:val="14DF1632"/>
    <w:rsid w:val="14E60C13"/>
    <w:rsid w:val="14E86F37"/>
    <w:rsid w:val="14ED1FA1"/>
    <w:rsid w:val="14F96B98"/>
    <w:rsid w:val="14FE7D0A"/>
    <w:rsid w:val="150317C5"/>
    <w:rsid w:val="15062A62"/>
    <w:rsid w:val="150A5D36"/>
    <w:rsid w:val="150D1602"/>
    <w:rsid w:val="150F3CC6"/>
    <w:rsid w:val="15104ED0"/>
    <w:rsid w:val="1514752E"/>
    <w:rsid w:val="151632A6"/>
    <w:rsid w:val="151C1D06"/>
    <w:rsid w:val="152010FA"/>
    <w:rsid w:val="15211C2B"/>
    <w:rsid w:val="15225EAA"/>
    <w:rsid w:val="15273705"/>
    <w:rsid w:val="15273F9C"/>
    <w:rsid w:val="15280A08"/>
    <w:rsid w:val="152B494E"/>
    <w:rsid w:val="152C0D1B"/>
    <w:rsid w:val="152D21D3"/>
    <w:rsid w:val="1536685F"/>
    <w:rsid w:val="153800CF"/>
    <w:rsid w:val="1539337C"/>
    <w:rsid w:val="154047C7"/>
    <w:rsid w:val="1540687E"/>
    <w:rsid w:val="154F4A0A"/>
    <w:rsid w:val="15542020"/>
    <w:rsid w:val="155B515D"/>
    <w:rsid w:val="155D0ED5"/>
    <w:rsid w:val="155D7127"/>
    <w:rsid w:val="156009C5"/>
    <w:rsid w:val="15604521"/>
    <w:rsid w:val="15610299"/>
    <w:rsid w:val="1569600E"/>
    <w:rsid w:val="156B2D54"/>
    <w:rsid w:val="156C0FD0"/>
    <w:rsid w:val="1571358E"/>
    <w:rsid w:val="157C0F10"/>
    <w:rsid w:val="157F5AE9"/>
    <w:rsid w:val="15875F52"/>
    <w:rsid w:val="158B1366"/>
    <w:rsid w:val="158C17BA"/>
    <w:rsid w:val="15933FC9"/>
    <w:rsid w:val="15945BD8"/>
    <w:rsid w:val="15A46B04"/>
    <w:rsid w:val="15A765F4"/>
    <w:rsid w:val="15AE34DE"/>
    <w:rsid w:val="15AE7982"/>
    <w:rsid w:val="15AF7257"/>
    <w:rsid w:val="15B27C83"/>
    <w:rsid w:val="15B4298A"/>
    <w:rsid w:val="15C076B6"/>
    <w:rsid w:val="15C2342E"/>
    <w:rsid w:val="15C86F27"/>
    <w:rsid w:val="15C90318"/>
    <w:rsid w:val="15C965B4"/>
    <w:rsid w:val="15D23CCD"/>
    <w:rsid w:val="15D47330"/>
    <w:rsid w:val="15D6261D"/>
    <w:rsid w:val="15E16159"/>
    <w:rsid w:val="15E44D75"/>
    <w:rsid w:val="15E52C78"/>
    <w:rsid w:val="15E55653"/>
    <w:rsid w:val="15EA5BD2"/>
    <w:rsid w:val="15ED4C0D"/>
    <w:rsid w:val="15F1161D"/>
    <w:rsid w:val="15F31284"/>
    <w:rsid w:val="15F8662E"/>
    <w:rsid w:val="15FD4107"/>
    <w:rsid w:val="15FE1933"/>
    <w:rsid w:val="1602382A"/>
    <w:rsid w:val="16087E1D"/>
    <w:rsid w:val="160F5030"/>
    <w:rsid w:val="16100520"/>
    <w:rsid w:val="16104199"/>
    <w:rsid w:val="161720CF"/>
    <w:rsid w:val="16193209"/>
    <w:rsid w:val="161A7D77"/>
    <w:rsid w:val="16221331"/>
    <w:rsid w:val="16226BBD"/>
    <w:rsid w:val="162639BD"/>
    <w:rsid w:val="162714E3"/>
    <w:rsid w:val="164215E6"/>
    <w:rsid w:val="164C0F14"/>
    <w:rsid w:val="16525639"/>
    <w:rsid w:val="16552777"/>
    <w:rsid w:val="165D6CB3"/>
    <w:rsid w:val="16671013"/>
    <w:rsid w:val="167214D2"/>
    <w:rsid w:val="167A2A3F"/>
    <w:rsid w:val="167A7865"/>
    <w:rsid w:val="167E337C"/>
    <w:rsid w:val="167F12F4"/>
    <w:rsid w:val="16824E45"/>
    <w:rsid w:val="16870995"/>
    <w:rsid w:val="168801D3"/>
    <w:rsid w:val="168C6CAB"/>
    <w:rsid w:val="169104A3"/>
    <w:rsid w:val="16930926"/>
    <w:rsid w:val="169E17A5"/>
    <w:rsid w:val="16A17133"/>
    <w:rsid w:val="16A239F0"/>
    <w:rsid w:val="16A65C05"/>
    <w:rsid w:val="16A947D3"/>
    <w:rsid w:val="16A95FB0"/>
    <w:rsid w:val="16A97EE1"/>
    <w:rsid w:val="16AA3D7D"/>
    <w:rsid w:val="16AA5385"/>
    <w:rsid w:val="16AB2114"/>
    <w:rsid w:val="16B0772A"/>
    <w:rsid w:val="16B311A4"/>
    <w:rsid w:val="16B8519F"/>
    <w:rsid w:val="16BC3FE0"/>
    <w:rsid w:val="16BE6656"/>
    <w:rsid w:val="16C7125F"/>
    <w:rsid w:val="16C848EF"/>
    <w:rsid w:val="16CA07EC"/>
    <w:rsid w:val="16CA259A"/>
    <w:rsid w:val="16CC200A"/>
    <w:rsid w:val="16D37283"/>
    <w:rsid w:val="16D52CED"/>
    <w:rsid w:val="16DF7733"/>
    <w:rsid w:val="16E01DBD"/>
    <w:rsid w:val="16E77551"/>
    <w:rsid w:val="16EA0415"/>
    <w:rsid w:val="17041A51"/>
    <w:rsid w:val="17050E64"/>
    <w:rsid w:val="1706559C"/>
    <w:rsid w:val="170961D4"/>
    <w:rsid w:val="170A508C"/>
    <w:rsid w:val="171001C9"/>
    <w:rsid w:val="17123F41"/>
    <w:rsid w:val="17141A67"/>
    <w:rsid w:val="171D6F79"/>
    <w:rsid w:val="172311CA"/>
    <w:rsid w:val="1728765F"/>
    <w:rsid w:val="172E1F8A"/>
    <w:rsid w:val="173079FD"/>
    <w:rsid w:val="173C10D1"/>
    <w:rsid w:val="173D7ECA"/>
    <w:rsid w:val="17430B04"/>
    <w:rsid w:val="174312CB"/>
    <w:rsid w:val="17444901"/>
    <w:rsid w:val="174E0C78"/>
    <w:rsid w:val="174F1B03"/>
    <w:rsid w:val="1753361B"/>
    <w:rsid w:val="17540E4C"/>
    <w:rsid w:val="17556BAC"/>
    <w:rsid w:val="176302F9"/>
    <w:rsid w:val="1767428D"/>
    <w:rsid w:val="176C34D8"/>
    <w:rsid w:val="17701D14"/>
    <w:rsid w:val="1773037A"/>
    <w:rsid w:val="17735226"/>
    <w:rsid w:val="1773582D"/>
    <w:rsid w:val="17740758"/>
    <w:rsid w:val="17763DC2"/>
    <w:rsid w:val="1779567C"/>
    <w:rsid w:val="177B5642"/>
    <w:rsid w:val="178065ED"/>
    <w:rsid w:val="17813E0E"/>
    <w:rsid w:val="17817AC7"/>
    <w:rsid w:val="17860A7E"/>
    <w:rsid w:val="1787048B"/>
    <w:rsid w:val="178C784F"/>
    <w:rsid w:val="17914E66"/>
    <w:rsid w:val="179928AA"/>
    <w:rsid w:val="179E26DB"/>
    <w:rsid w:val="17A032FB"/>
    <w:rsid w:val="17A10E21"/>
    <w:rsid w:val="17A821AF"/>
    <w:rsid w:val="17AB51FB"/>
    <w:rsid w:val="17AE3CDD"/>
    <w:rsid w:val="17B1375A"/>
    <w:rsid w:val="17B7090E"/>
    <w:rsid w:val="17B76721"/>
    <w:rsid w:val="17BD027B"/>
    <w:rsid w:val="17C90AA4"/>
    <w:rsid w:val="17CB2112"/>
    <w:rsid w:val="17CC6F89"/>
    <w:rsid w:val="17CE4184"/>
    <w:rsid w:val="17D564E4"/>
    <w:rsid w:val="17D734C7"/>
    <w:rsid w:val="17D75D7F"/>
    <w:rsid w:val="17D86F39"/>
    <w:rsid w:val="17DB2585"/>
    <w:rsid w:val="17DD454F"/>
    <w:rsid w:val="17E30D6D"/>
    <w:rsid w:val="17E86A50"/>
    <w:rsid w:val="17E94CA2"/>
    <w:rsid w:val="17EB07C7"/>
    <w:rsid w:val="17EB6C6C"/>
    <w:rsid w:val="17ED7AA9"/>
    <w:rsid w:val="17EE78BD"/>
    <w:rsid w:val="17F1593F"/>
    <w:rsid w:val="17F17FFA"/>
    <w:rsid w:val="18027B12"/>
    <w:rsid w:val="18027D54"/>
    <w:rsid w:val="180D4CD7"/>
    <w:rsid w:val="180F222F"/>
    <w:rsid w:val="1812011E"/>
    <w:rsid w:val="18136C2D"/>
    <w:rsid w:val="18147845"/>
    <w:rsid w:val="18185587"/>
    <w:rsid w:val="181F0AA9"/>
    <w:rsid w:val="18216A70"/>
    <w:rsid w:val="18250A27"/>
    <w:rsid w:val="18306AB5"/>
    <w:rsid w:val="183F0D66"/>
    <w:rsid w:val="18421907"/>
    <w:rsid w:val="18422604"/>
    <w:rsid w:val="18455C50"/>
    <w:rsid w:val="18475E6C"/>
    <w:rsid w:val="185D11EC"/>
    <w:rsid w:val="18624A54"/>
    <w:rsid w:val="186A0E96"/>
    <w:rsid w:val="18732EE3"/>
    <w:rsid w:val="187C3D68"/>
    <w:rsid w:val="18856728"/>
    <w:rsid w:val="188622FA"/>
    <w:rsid w:val="1887378A"/>
    <w:rsid w:val="188B7B07"/>
    <w:rsid w:val="188C3A80"/>
    <w:rsid w:val="188C7154"/>
    <w:rsid w:val="189440E7"/>
    <w:rsid w:val="189A30ED"/>
    <w:rsid w:val="189F624C"/>
    <w:rsid w:val="18A1557C"/>
    <w:rsid w:val="18AD3F21"/>
    <w:rsid w:val="18AD58E7"/>
    <w:rsid w:val="18B2778A"/>
    <w:rsid w:val="18B40068"/>
    <w:rsid w:val="18B43325"/>
    <w:rsid w:val="18BC1226"/>
    <w:rsid w:val="18C80D5B"/>
    <w:rsid w:val="18C96E4C"/>
    <w:rsid w:val="18CD45C3"/>
    <w:rsid w:val="18D07816"/>
    <w:rsid w:val="18D27471"/>
    <w:rsid w:val="18D45952"/>
    <w:rsid w:val="18D771F0"/>
    <w:rsid w:val="18E454B9"/>
    <w:rsid w:val="18E91412"/>
    <w:rsid w:val="18F356AC"/>
    <w:rsid w:val="18F45BA2"/>
    <w:rsid w:val="18F470D3"/>
    <w:rsid w:val="18F720F3"/>
    <w:rsid w:val="18FA1BDE"/>
    <w:rsid w:val="18FE3C0F"/>
    <w:rsid w:val="18FE6837"/>
    <w:rsid w:val="18FF4051"/>
    <w:rsid w:val="190E2D74"/>
    <w:rsid w:val="190F158D"/>
    <w:rsid w:val="191061F1"/>
    <w:rsid w:val="19140BA8"/>
    <w:rsid w:val="19155A3E"/>
    <w:rsid w:val="19175E02"/>
    <w:rsid w:val="191E2F8B"/>
    <w:rsid w:val="19212BB3"/>
    <w:rsid w:val="192252A0"/>
    <w:rsid w:val="192F4E41"/>
    <w:rsid w:val="19306658"/>
    <w:rsid w:val="1932246C"/>
    <w:rsid w:val="19334B3D"/>
    <w:rsid w:val="1934019F"/>
    <w:rsid w:val="19352849"/>
    <w:rsid w:val="193622D8"/>
    <w:rsid w:val="193B39B3"/>
    <w:rsid w:val="193B6B04"/>
    <w:rsid w:val="193C1CDB"/>
    <w:rsid w:val="19432476"/>
    <w:rsid w:val="19457133"/>
    <w:rsid w:val="194B4C86"/>
    <w:rsid w:val="195070AB"/>
    <w:rsid w:val="19526C77"/>
    <w:rsid w:val="19545BF2"/>
    <w:rsid w:val="195645B9"/>
    <w:rsid w:val="19573E8D"/>
    <w:rsid w:val="195846A8"/>
    <w:rsid w:val="195A572B"/>
    <w:rsid w:val="19616685"/>
    <w:rsid w:val="19622F5E"/>
    <w:rsid w:val="19762565"/>
    <w:rsid w:val="1977008B"/>
    <w:rsid w:val="1977321F"/>
    <w:rsid w:val="197D38E3"/>
    <w:rsid w:val="19802744"/>
    <w:rsid w:val="19814DA7"/>
    <w:rsid w:val="198937BC"/>
    <w:rsid w:val="198B6D5B"/>
    <w:rsid w:val="198D3D53"/>
    <w:rsid w:val="198F49A9"/>
    <w:rsid w:val="19930790"/>
    <w:rsid w:val="199332F6"/>
    <w:rsid w:val="199926F8"/>
    <w:rsid w:val="19A90B8D"/>
    <w:rsid w:val="19A93778"/>
    <w:rsid w:val="19AC1C8E"/>
    <w:rsid w:val="19AC5F87"/>
    <w:rsid w:val="19AF7825"/>
    <w:rsid w:val="19B24CE4"/>
    <w:rsid w:val="19B46E78"/>
    <w:rsid w:val="19BE3F0C"/>
    <w:rsid w:val="19CB7118"/>
    <w:rsid w:val="19CF6119"/>
    <w:rsid w:val="19CF6B1C"/>
    <w:rsid w:val="19D12263"/>
    <w:rsid w:val="19D63004"/>
    <w:rsid w:val="19D76D7C"/>
    <w:rsid w:val="19DB686C"/>
    <w:rsid w:val="19DE3827"/>
    <w:rsid w:val="19DE56BA"/>
    <w:rsid w:val="19E21F67"/>
    <w:rsid w:val="19E60D5F"/>
    <w:rsid w:val="19EA1DF8"/>
    <w:rsid w:val="19EC0A79"/>
    <w:rsid w:val="19ED66F3"/>
    <w:rsid w:val="19EF5A99"/>
    <w:rsid w:val="19F77872"/>
    <w:rsid w:val="19FD1A2C"/>
    <w:rsid w:val="19FF1D60"/>
    <w:rsid w:val="1A004B69"/>
    <w:rsid w:val="1A044015"/>
    <w:rsid w:val="1A057015"/>
    <w:rsid w:val="1A0A53A3"/>
    <w:rsid w:val="1A0A5C1B"/>
    <w:rsid w:val="1A0C14D1"/>
    <w:rsid w:val="1A136006"/>
    <w:rsid w:val="1A1678A4"/>
    <w:rsid w:val="1A1A7675"/>
    <w:rsid w:val="1A1C66C0"/>
    <w:rsid w:val="1A253F8B"/>
    <w:rsid w:val="1A2C531A"/>
    <w:rsid w:val="1A2D7AAA"/>
    <w:rsid w:val="1A3E0932"/>
    <w:rsid w:val="1A3E4845"/>
    <w:rsid w:val="1A42393B"/>
    <w:rsid w:val="1A4239CB"/>
    <w:rsid w:val="1A4D6898"/>
    <w:rsid w:val="1A50725A"/>
    <w:rsid w:val="1A582E70"/>
    <w:rsid w:val="1A5A2DE1"/>
    <w:rsid w:val="1A5F6A15"/>
    <w:rsid w:val="1A6C1BBA"/>
    <w:rsid w:val="1A6E7F98"/>
    <w:rsid w:val="1A710E2A"/>
    <w:rsid w:val="1A714D3D"/>
    <w:rsid w:val="1A7A7E33"/>
    <w:rsid w:val="1A7B0F93"/>
    <w:rsid w:val="1A826D31"/>
    <w:rsid w:val="1A8962C8"/>
    <w:rsid w:val="1A8A3DEE"/>
    <w:rsid w:val="1A8B60F3"/>
    <w:rsid w:val="1A905843"/>
    <w:rsid w:val="1A96061B"/>
    <w:rsid w:val="1A975EF7"/>
    <w:rsid w:val="1A995465"/>
    <w:rsid w:val="1A9A4026"/>
    <w:rsid w:val="1A9C647F"/>
    <w:rsid w:val="1A9F5AEC"/>
    <w:rsid w:val="1AA0767C"/>
    <w:rsid w:val="1AA1138B"/>
    <w:rsid w:val="1AAD45DE"/>
    <w:rsid w:val="1AB250DF"/>
    <w:rsid w:val="1AB8095B"/>
    <w:rsid w:val="1ABA46D4"/>
    <w:rsid w:val="1ABC412F"/>
    <w:rsid w:val="1ABF7180"/>
    <w:rsid w:val="1ABF7F3C"/>
    <w:rsid w:val="1AC75042"/>
    <w:rsid w:val="1ACB4A8B"/>
    <w:rsid w:val="1ACB4B33"/>
    <w:rsid w:val="1ACF421E"/>
    <w:rsid w:val="1ACF4EEE"/>
    <w:rsid w:val="1AD75285"/>
    <w:rsid w:val="1AE532C2"/>
    <w:rsid w:val="1AE6371B"/>
    <w:rsid w:val="1AE75AAF"/>
    <w:rsid w:val="1AE87493"/>
    <w:rsid w:val="1AE92581"/>
    <w:rsid w:val="1AED4AA9"/>
    <w:rsid w:val="1AFA2B88"/>
    <w:rsid w:val="1AFA63AD"/>
    <w:rsid w:val="1AFC4CEC"/>
    <w:rsid w:val="1B046F80"/>
    <w:rsid w:val="1B0523FF"/>
    <w:rsid w:val="1B0B4F2F"/>
    <w:rsid w:val="1B0D6EF9"/>
    <w:rsid w:val="1B0E67CD"/>
    <w:rsid w:val="1B1436F0"/>
    <w:rsid w:val="1B234C9B"/>
    <w:rsid w:val="1B2840D9"/>
    <w:rsid w:val="1B2A7C8E"/>
    <w:rsid w:val="1B2B737F"/>
    <w:rsid w:val="1B3267B5"/>
    <w:rsid w:val="1B3A6F73"/>
    <w:rsid w:val="1B3E7FE4"/>
    <w:rsid w:val="1B40161D"/>
    <w:rsid w:val="1B410951"/>
    <w:rsid w:val="1B441859"/>
    <w:rsid w:val="1B45265B"/>
    <w:rsid w:val="1B4747B6"/>
    <w:rsid w:val="1B490E98"/>
    <w:rsid w:val="1B4D553A"/>
    <w:rsid w:val="1B4F12C0"/>
    <w:rsid w:val="1B522B5E"/>
    <w:rsid w:val="1B544B28"/>
    <w:rsid w:val="1B5508A0"/>
    <w:rsid w:val="1B5563F0"/>
    <w:rsid w:val="1B5565C8"/>
    <w:rsid w:val="1B5C1C2F"/>
    <w:rsid w:val="1B6606B1"/>
    <w:rsid w:val="1B682381"/>
    <w:rsid w:val="1B695789"/>
    <w:rsid w:val="1B732BA1"/>
    <w:rsid w:val="1B762CF0"/>
    <w:rsid w:val="1B7658E2"/>
    <w:rsid w:val="1B7B0307"/>
    <w:rsid w:val="1B7D6BEA"/>
    <w:rsid w:val="1B8120B5"/>
    <w:rsid w:val="1B87021B"/>
    <w:rsid w:val="1B9F38C9"/>
    <w:rsid w:val="1BA20491"/>
    <w:rsid w:val="1BAA0AF2"/>
    <w:rsid w:val="1BAA0BEC"/>
    <w:rsid w:val="1BAC3E4E"/>
    <w:rsid w:val="1BAF1D5E"/>
    <w:rsid w:val="1BB14E59"/>
    <w:rsid w:val="1BBB416A"/>
    <w:rsid w:val="1BBD01E0"/>
    <w:rsid w:val="1BC83936"/>
    <w:rsid w:val="1BCB6AA7"/>
    <w:rsid w:val="1BCF4B8C"/>
    <w:rsid w:val="1BD14514"/>
    <w:rsid w:val="1BD417C5"/>
    <w:rsid w:val="1BD619E1"/>
    <w:rsid w:val="1BDC68CC"/>
    <w:rsid w:val="1BDE124D"/>
    <w:rsid w:val="1BE3033D"/>
    <w:rsid w:val="1BE7774A"/>
    <w:rsid w:val="1BEC092D"/>
    <w:rsid w:val="1BF30ADC"/>
    <w:rsid w:val="1BFB31F6"/>
    <w:rsid w:val="1BFC7309"/>
    <w:rsid w:val="1C0C4C1E"/>
    <w:rsid w:val="1C0C71B1"/>
    <w:rsid w:val="1C18299F"/>
    <w:rsid w:val="1C1E6EE4"/>
    <w:rsid w:val="1C250273"/>
    <w:rsid w:val="1C253471"/>
    <w:rsid w:val="1C38518D"/>
    <w:rsid w:val="1C3C426C"/>
    <w:rsid w:val="1C3E1334"/>
    <w:rsid w:val="1C4306F9"/>
    <w:rsid w:val="1C451E8D"/>
    <w:rsid w:val="1C4A101B"/>
    <w:rsid w:val="1C4E0858"/>
    <w:rsid w:val="1C4F52EF"/>
    <w:rsid w:val="1C592FF9"/>
    <w:rsid w:val="1C5D6CE6"/>
    <w:rsid w:val="1C5E7925"/>
    <w:rsid w:val="1C67332C"/>
    <w:rsid w:val="1C6D688A"/>
    <w:rsid w:val="1C6E7E6B"/>
    <w:rsid w:val="1C6F417C"/>
    <w:rsid w:val="1C71317B"/>
    <w:rsid w:val="1C751B4D"/>
    <w:rsid w:val="1C783E1E"/>
    <w:rsid w:val="1C796CC0"/>
    <w:rsid w:val="1C7C4FAA"/>
    <w:rsid w:val="1C7D5C81"/>
    <w:rsid w:val="1C7F6310"/>
    <w:rsid w:val="1C8165C7"/>
    <w:rsid w:val="1C827766"/>
    <w:rsid w:val="1C8925AF"/>
    <w:rsid w:val="1C8B186A"/>
    <w:rsid w:val="1C96041C"/>
    <w:rsid w:val="1C9E08E0"/>
    <w:rsid w:val="1CA34F4C"/>
    <w:rsid w:val="1CAA0778"/>
    <w:rsid w:val="1CAD4631"/>
    <w:rsid w:val="1CB17D58"/>
    <w:rsid w:val="1CB841CA"/>
    <w:rsid w:val="1CBD0BF0"/>
    <w:rsid w:val="1CC11027"/>
    <w:rsid w:val="1CC1746F"/>
    <w:rsid w:val="1CC31F3D"/>
    <w:rsid w:val="1CC45CDD"/>
    <w:rsid w:val="1CCA6B98"/>
    <w:rsid w:val="1CCE5D2E"/>
    <w:rsid w:val="1CCF6669"/>
    <w:rsid w:val="1CDA72AF"/>
    <w:rsid w:val="1CE04199"/>
    <w:rsid w:val="1CE161F5"/>
    <w:rsid w:val="1CE27781"/>
    <w:rsid w:val="1CE42735"/>
    <w:rsid w:val="1CE72814"/>
    <w:rsid w:val="1CE82086"/>
    <w:rsid w:val="1CEB326A"/>
    <w:rsid w:val="1CEB65DF"/>
    <w:rsid w:val="1CEC2B3E"/>
    <w:rsid w:val="1CF33784"/>
    <w:rsid w:val="1CF617BC"/>
    <w:rsid w:val="1CF917A7"/>
    <w:rsid w:val="1CFB15A0"/>
    <w:rsid w:val="1CFD070F"/>
    <w:rsid w:val="1D0600A4"/>
    <w:rsid w:val="1D076D5E"/>
    <w:rsid w:val="1D084214"/>
    <w:rsid w:val="1D0E0D07"/>
    <w:rsid w:val="1D126D38"/>
    <w:rsid w:val="1D152095"/>
    <w:rsid w:val="1D225A6E"/>
    <w:rsid w:val="1D270E9D"/>
    <w:rsid w:val="1D273A22"/>
    <w:rsid w:val="1D3342DB"/>
    <w:rsid w:val="1D36584D"/>
    <w:rsid w:val="1D3A1AFC"/>
    <w:rsid w:val="1D4E4115"/>
    <w:rsid w:val="1D552DD9"/>
    <w:rsid w:val="1D571E02"/>
    <w:rsid w:val="1D5B4DC6"/>
    <w:rsid w:val="1D5F6196"/>
    <w:rsid w:val="1D6132A5"/>
    <w:rsid w:val="1D7165FD"/>
    <w:rsid w:val="1D794860"/>
    <w:rsid w:val="1D7B4A10"/>
    <w:rsid w:val="1D7B65A1"/>
    <w:rsid w:val="1D7C1643"/>
    <w:rsid w:val="1D7D4F81"/>
    <w:rsid w:val="1D7F16EB"/>
    <w:rsid w:val="1D814DB7"/>
    <w:rsid w:val="1D816DBF"/>
    <w:rsid w:val="1D862F93"/>
    <w:rsid w:val="1D8B05A9"/>
    <w:rsid w:val="1D8E56D5"/>
    <w:rsid w:val="1D8F38EF"/>
    <w:rsid w:val="1D90796E"/>
    <w:rsid w:val="1D917260"/>
    <w:rsid w:val="1D963C5A"/>
    <w:rsid w:val="1D9873A5"/>
    <w:rsid w:val="1D9A259A"/>
    <w:rsid w:val="1D9A4E1B"/>
    <w:rsid w:val="1D9B34A2"/>
    <w:rsid w:val="1DA70300"/>
    <w:rsid w:val="1DAF315C"/>
    <w:rsid w:val="1DB25B36"/>
    <w:rsid w:val="1DB751AC"/>
    <w:rsid w:val="1DBC69B5"/>
    <w:rsid w:val="1DBD61A7"/>
    <w:rsid w:val="1DC31D56"/>
    <w:rsid w:val="1DC35F95"/>
    <w:rsid w:val="1DC37D43"/>
    <w:rsid w:val="1DC6338F"/>
    <w:rsid w:val="1DCB7E93"/>
    <w:rsid w:val="1DD12460"/>
    <w:rsid w:val="1DD31078"/>
    <w:rsid w:val="1DD91315"/>
    <w:rsid w:val="1DD957B9"/>
    <w:rsid w:val="1DD979BE"/>
    <w:rsid w:val="1DE047C6"/>
    <w:rsid w:val="1DE877AA"/>
    <w:rsid w:val="1DE93768"/>
    <w:rsid w:val="1DF75C3F"/>
    <w:rsid w:val="1DF84CBF"/>
    <w:rsid w:val="1DFB5164"/>
    <w:rsid w:val="1E036392"/>
    <w:rsid w:val="1E054CC9"/>
    <w:rsid w:val="1E067C30"/>
    <w:rsid w:val="1E0A3BC4"/>
    <w:rsid w:val="1E0C0B57"/>
    <w:rsid w:val="1E0C16EA"/>
    <w:rsid w:val="1E0D5462"/>
    <w:rsid w:val="1E115081"/>
    <w:rsid w:val="1E195BB5"/>
    <w:rsid w:val="1E1F222A"/>
    <w:rsid w:val="1E220F0E"/>
    <w:rsid w:val="1E2419AF"/>
    <w:rsid w:val="1E262080"/>
    <w:rsid w:val="1E2B113A"/>
    <w:rsid w:val="1E326C0D"/>
    <w:rsid w:val="1E342A1C"/>
    <w:rsid w:val="1E34479D"/>
    <w:rsid w:val="1E380731"/>
    <w:rsid w:val="1E392745"/>
    <w:rsid w:val="1E393859"/>
    <w:rsid w:val="1E3B1FCF"/>
    <w:rsid w:val="1E3D2E33"/>
    <w:rsid w:val="1E4221DE"/>
    <w:rsid w:val="1E52011B"/>
    <w:rsid w:val="1E526701"/>
    <w:rsid w:val="1E535688"/>
    <w:rsid w:val="1E537319"/>
    <w:rsid w:val="1E634270"/>
    <w:rsid w:val="1E6428E0"/>
    <w:rsid w:val="1E664002"/>
    <w:rsid w:val="1E674B72"/>
    <w:rsid w:val="1E727739"/>
    <w:rsid w:val="1E7A4110"/>
    <w:rsid w:val="1E7A43DA"/>
    <w:rsid w:val="1E7B6870"/>
    <w:rsid w:val="1E7E1EBC"/>
    <w:rsid w:val="1E7E3C6A"/>
    <w:rsid w:val="1E806D8A"/>
    <w:rsid w:val="1E831280"/>
    <w:rsid w:val="1E86139B"/>
    <w:rsid w:val="1E8759F3"/>
    <w:rsid w:val="1E8A260F"/>
    <w:rsid w:val="1E950C29"/>
    <w:rsid w:val="1E965B18"/>
    <w:rsid w:val="1E983954"/>
    <w:rsid w:val="1E9B246D"/>
    <w:rsid w:val="1E9C1F92"/>
    <w:rsid w:val="1E9C767B"/>
    <w:rsid w:val="1E9D139F"/>
    <w:rsid w:val="1EA27A4D"/>
    <w:rsid w:val="1EA41923"/>
    <w:rsid w:val="1EA825AB"/>
    <w:rsid w:val="1EAE2DD9"/>
    <w:rsid w:val="1EB57234"/>
    <w:rsid w:val="1EC43D73"/>
    <w:rsid w:val="1EC54878"/>
    <w:rsid w:val="1ECA1DD5"/>
    <w:rsid w:val="1ECA5FEF"/>
    <w:rsid w:val="1ECA6EAF"/>
    <w:rsid w:val="1ED0096A"/>
    <w:rsid w:val="1EDB2E6A"/>
    <w:rsid w:val="1EDD1822"/>
    <w:rsid w:val="1EDE67E5"/>
    <w:rsid w:val="1EE2069D"/>
    <w:rsid w:val="1EE30CEA"/>
    <w:rsid w:val="1EEF72D8"/>
    <w:rsid w:val="1EF1354B"/>
    <w:rsid w:val="1EF13911"/>
    <w:rsid w:val="1EF2469F"/>
    <w:rsid w:val="1EF5217E"/>
    <w:rsid w:val="1EF740FB"/>
    <w:rsid w:val="1EFC175F"/>
    <w:rsid w:val="1EFF07F4"/>
    <w:rsid w:val="1F017D5D"/>
    <w:rsid w:val="1F081BD7"/>
    <w:rsid w:val="1F10520A"/>
    <w:rsid w:val="1F152820"/>
    <w:rsid w:val="1F196E7F"/>
    <w:rsid w:val="1F204D21"/>
    <w:rsid w:val="1F244811"/>
    <w:rsid w:val="1F2C5F1E"/>
    <w:rsid w:val="1F2D4DD8"/>
    <w:rsid w:val="1F30765A"/>
    <w:rsid w:val="1F310441"/>
    <w:rsid w:val="1F31742D"/>
    <w:rsid w:val="1F354072"/>
    <w:rsid w:val="1F3A5DE3"/>
    <w:rsid w:val="1F3F164B"/>
    <w:rsid w:val="1F4B6242"/>
    <w:rsid w:val="1F4E5D32"/>
    <w:rsid w:val="1F502710"/>
    <w:rsid w:val="1F511F82"/>
    <w:rsid w:val="1F51492C"/>
    <w:rsid w:val="1F63002C"/>
    <w:rsid w:val="1F64288F"/>
    <w:rsid w:val="1F7A63FD"/>
    <w:rsid w:val="1F7B1B7C"/>
    <w:rsid w:val="1F802E8E"/>
    <w:rsid w:val="1F817EB6"/>
    <w:rsid w:val="1F841754"/>
    <w:rsid w:val="1F8800CF"/>
    <w:rsid w:val="1F8A5DA8"/>
    <w:rsid w:val="1F8B1FA7"/>
    <w:rsid w:val="1F9000F9"/>
    <w:rsid w:val="1F903C55"/>
    <w:rsid w:val="1F9C5E34"/>
    <w:rsid w:val="1F9D69FC"/>
    <w:rsid w:val="1F9E4E56"/>
    <w:rsid w:val="1FA47700"/>
    <w:rsid w:val="1FAF67D1"/>
    <w:rsid w:val="1FB2006F"/>
    <w:rsid w:val="1FB77434"/>
    <w:rsid w:val="1FB9734B"/>
    <w:rsid w:val="1FBB4BD6"/>
    <w:rsid w:val="1FC61FBB"/>
    <w:rsid w:val="1FCD4EA9"/>
    <w:rsid w:val="1FD10527"/>
    <w:rsid w:val="1FD47FE6"/>
    <w:rsid w:val="1FD9384E"/>
    <w:rsid w:val="1FDB3B0B"/>
    <w:rsid w:val="1FE548C7"/>
    <w:rsid w:val="1FE70AFA"/>
    <w:rsid w:val="1FE7539E"/>
    <w:rsid w:val="1FF02384"/>
    <w:rsid w:val="1FF97A4C"/>
    <w:rsid w:val="1FFB1A16"/>
    <w:rsid w:val="1FFB7C68"/>
    <w:rsid w:val="20052895"/>
    <w:rsid w:val="200563F1"/>
    <w:rsid w:val="200B5F1D"/>
    <w:rsid w:val="201B3E66"/>
    <w:rsid w:val="201E3957"/>
    <w:rsid w:val="201F4F8C"/>
    <w:rsid w:val="20250841"/>
    <w:rsid w:val="202C4C92"/>
    <w:rsid w:val="20322F5E"/>
    <w:rsid w:val="20347C60"/>
    <w:rsid w:val="20365F39"/>
    <w:rsid w:val="2037160E"/>
    <w:rsid w:val="20450EE3"/>
    <w:rsid w:val="20466E53"/>
    <w:rsid w:val="204D5FEA"/>
    <w:rsid w:val="204E53F7"/>
    <w:rsid w:val="205245F4"/>
    <w:rsid w:val="20601879"/>
    <w:rsid w:val="20621A95"/>
    <w:rsid w:val="206524E5"/>
    <w:rsid w:val="20671BE0"/>
    <w:rsid w:val="20673EB8"/>
    <w:rsid w:val="206A26F8"/>
    <w:rsid w:val="206D3F96"/>
    <w:rsid w:val="206E6121"/>
    <w:rsid w:val="20775413"/>
    <w:rsid w:val="207B2B57"/>
    <w:rsid w:val="207B4905"/>
    <w:rsid w:val="208631DE"/>
    <w:rsid w:val="20947775"/>
    <w:rsid w:val="20963CB8"/>
    <w:rsid w:val="20A235B8"/>
    <w:rsid w:val="20A51982"/>
    <w:rsid w:val="20A65B06"/>
    <w:rsid w:val="20A7715D"/>
    <w:rsid w:val="20A81A1B"/>
    <w:rsid w:val="20AF683C"/>
    <w:rsid w:val="20B06D0A"/>
    <w:rsid w:val="20B07FB6"/>
    <w:rsid w:val="20B646FB"/>
    <w:rsid w:val="20B6593D"/>
    <w:rsid w:val="20B70619"/>
    <w:rsid w:val="20BD5F40"/>
    <w:rsid w:val="20C473D6"/>
    <w:rsid w:val="20C53DD2"/>
    <w:rsid w:val="20C61E70"/>
    <w:rsid w:val="20CB083F"/>
    <w:rsid w:val="20CF69FF"/>
    <w:rsid w:val="20D504B9"/>
    <w:rsid w:val="20D93FCC"/>
    <w:rsid w:val="20DB53A4"/>
    <w:rsid w:val="20DC7CCA"/>
    <w:rsid w:val="20DD736E"/>
    <w:rsid w:val="20E41F8D"/>
    <w:rsid w:val="20E83BDD"/>
    <w:rsid w:val="20EE157B"/>
    <w:rsid w:val="20EE50D7"/>
    <w:rsid w:val="20F11D81"/>
    <w:rsid w:val="20F14BC7"/>
    <w:rsid w:val="20F51A7A"/>
    <w:rsid w:val="20F6042F"/>
    <w:rsid w:val="20F956A3"/>
    <w:rsid w:val="20FD6F5D"/>
    <w:rsid w:val="210668C5"/>
    <w:rsid w:val="210C37AF"/>
    <w:rsid w:val="210C783E"/>
    <w:rsid w:val="210F504D"/>
    <w:rsid w:val="21107C54"/>
    <w:rsid w:val="21154D5A"/>
    <w:rsid w:val="21155E4F"/>
    <w:rsid w:val="21166A94"/>
    <w:rsid w:val="21167D9E"/>
    <w:rsid w:val="211846B7"/>
    <w:rsid w:val="21275C65"/>
    <w:rsid w:val="212C128C"/>
    <w:rsid w:val="212E5E1B"/>
    <w:rsid w:val="21303453"/>
    <w:rsid w:val="21303941"/>
    <w:rsid w:val="21331AEE"/>
    <w:rsid w:val="2136082C"/>
    <w:rsid w:val="213B74B1"/>
    <w:rsid w:val="213D54C1"/>
    <w:rsid w:val="213F5933"/>
    <w:rsid w:val="21435E4B"/>
    <w:rsid w:val="21442F49"/>
    <w:rsid w:val="21457588"/>
    <w:rsid w:val="214815A8"/>
    <w:rsid w:val="21486EDD"/>
    <w:rsid w:val="214B2529"/>
    <w:rsid w:val="215319AD"/>
    <w:rsid w:val="2153584A"/>
    <w:rsid w:val="21582E98"/>
    <w:rsid w:val="2159704D"/>
    <w:rsid w:val="215A2310"/>
    <w:rsid w:val="215C4736"/>
    <w:rsid w:val="215E639F"/>
    <w:rsid w:val="216B497A"/>
    <w:rsid w:val="216E7FC6"/>
    <w:rsid w:val="21702385"/>
    <w:rsid w:val="217575A6"/>
    <w:rsid w:val="21787096"/>
    <w:rsid w:val="217A775E"/>
    <w:rsid w:val="217C6B87"/>
    <w:rsid w:val="21837F15"/>
    <w:rsid w:val="21845A3B"/>
    <w:rsid w:val="21863561"/>
    <w:rsid w:val="21871088"/>
    <w:rsid w:val="218839EC"/>
    <w:rsid w:val="21921F06"/>
    <w:rsid w:val="21957C48"/>
    <w:rsid w:val="219A6A7B"/>
    <w:rsid w:val="219C2F65"/>
    <w:rsid w:val="219C6421"/>
    <w:rsid w:val="21A43E37"/>
    <w:rsid w:val="21A97250"/>
    <w:rsid w:val="21AA2DB3"/>
    <w:rsid w:val="21AD6D40"/>
    <w:rsid w:val="21B24356"/>
    <w:rsid w:val="21B43FEB"/>
    <w:rsid w:val="21B70496"/>
    <w:rsid w:val="21BA76AF"/>
    <w:rsid w:val="21BC576A"/>
    <w:rsid w:val="21BF0821"/>
    <w:rsid w:val="21C010A5"/>
    <w:rsid w:val="21C91D49"/>
    <w:rsid w:val="21D01DDA"/>
    <w:rsid w:val="21D172DC"/>
    <w:rsid w:val="21D4251F"/>
    <w:rsid w:val="21D47F5E"/>
    <w:rsid w:val="21D534C8"/>
    <w:rsid w:val="21D9264D"/>
    <w:rsid w:val="21DE318A"/>
    <w:rsid w:val="21E14C3C"/>
    <w:rsid w:val="21E169EA"/>
    <w:rsid w:val="21E93AF0"/>
    <w:rsid w:val="21E95CE4"/>
    <w:rsid w:val="21EA27D2"/>
    <w:rsid w:val="21EC4122"/>
    <w:rsid w:val="21EF5B80"/>
    <w:rsid w:val="21F26B5D"/>
    <w:rsid w:val="21F73A2D"/>
    <w:rsid w:val="21F872EB"/>
    <w:rsid w:val="22023A3F"/>
    <w:rsid w:val="220A5F40"/>
    <w:rsid w:val="220C2FA2"/>
    <w:rsid w:val="22106C59"/>
    <w:rsid w:val="221072CF"/>
    <w:rsid w:val="22171248"/>
    <w:rsid w:val="2217240B"/>
    <w:rsid w:val="221F7512"/>
    <w:rsid w:val="222248DF"/>
    <w:rsid w:val="22230DB0"/>
    <w:rsid w:val="222D4B7C"/>
    <w:rsid w:val="22357465"/>
    <w:rsid w:val="223A511A"/>
    <w:rsid w:val="223B0D62"/>
    <w:rsid w:val="223B259E"/>
    <w:rsid w:val="224A27E1"/>
    <w:rsid w:val="224C6559"/>
    <w:rsid w:val="224D1A5F"/>
    <w:rsid w:val="224E784D"/>
    <w:rsid w:val="22525502"/>
    <w:rsid w:val="22525B39"/>
    <w:rsid w:val="22532A8E"/>
    <w:rsid w:val="2254426B"/>
    <w:rsid w:val="22576990"/>
    <w:rsid w:val="225777EA"/>
    <w:rsid w:val="225B679C"/>
    <w:rsid w:val="225C34E1"/>
    <w:rsid w:val="2265175A"/>
    <w:rsid w:val="226A4C31"/>
    <w:rsid w:val="226D64CF"/>
    <w:rsid w:val="226E1036"/>
    <w:rsid w:val="227710FC"/>
    <w:rsid w:val="227D2BB6"/>
    <w:rsid w:val="227F4D69"/>
    <w:rsid w:val="228757AF"/>
    <w:rsid w:val="22885820"/>
    <w:rsid w:val="228D0920"/>
    <w:rsid w:val="228D0B2B"/>
    <w:rsid w:val="229E781B"/>
    <w:rsid w:val="22A0050B"/>
    <w:rsid w:val="22A13A6D"/>
    <w:rsid w:val="22A46395"/>
    <w:rsid w:val="22AB1C1C"/>
    <w:rsid w:val="22B365D8"/>
    <w:rsid w:val="22B9432E"/>
    <w:rsid w:val="22BB548D"/>
    <w:rsid w:val="22C205C9"/>
    <w:rsid w:val="22C32F28"/>
    <w:rsid w:val="22C34341"/>
    <w:rsid w:val="22C51354"/>
    <w:rsid w:val="22CA56D0"/>
    <w:rsid w:val="22D121FB"/>
    <w:rsid w:val="22D12F89"/>
    <w:rsid w:val="22D9192F"/>
    <w:rsid w:val="22DA41CE"/>
    <w:rsid w:val="22DB78DD"/>
    <w:rsid w:val="22E83DA8"/>
    <w:rsid w:val="22E973C1"/>
    <w:rsid w:val="22EC5646"/>
    <w:rsid w:val="22ED71CD"/>
    <w:rsid w:val="22F0540B"/>
    <w:rsid w:val="22F46501"/>
    <w:rsid w:val="22F47480"/>
    <w:rsid w:val="22FC32BB"/>
    <w:rsid w:val="22FD4884"/>
    <w:rsid w:val="23010E45"/>
    <w:rsid w:val="2302130E"/>
    <w:rsid w:val="230339DB"/>
    <w:rsid w:val="23042C3F"/>
    <w:rsid w:val="23045086"/>
    <w:rsid w:val="23052BAC"/>
    <w:rsid w:val="230722D5"/>
    <w:rsid w:val="23093BF2"/>
    <w:rsid w:val="23151041"/>
    <w:rsid w:val="2318643B"/>
    <w:rsid w:val="23270F67"/>
    <w:rsid w:val="232B2612"/>
    <w:rsid w:val="23353491"/>
    <w:rsid w:val="23386ADD"/>
    <w:rsid w:val="23403BE4"/>
    <w:rsid w:val="23451001"/>
    <w:rsid w:val="234C2589"/>
    <w:rsid w:val="234D4382"/>
    <w:rsid w:val="234D5002"/>
    <w:rsid w:val="23502079"/>
    <w:rsid w:val="23580F2E"/>
    <w:rsid w:val="235C0A1E"/>
    <w:rsid w:val="235D4796"/>
    <w:rsid w:val="235E3DED"/>
    <w:rsid w:val="23624DB5"/>
    <w:rsid w:val="236E3309"/>
    <w:rsid w:val="237377C7"/>
    <w:rsid w:val="23753F06"/>
    <w:rsid w:val="237C2E6E"/>
    <w:rsid w:val="238345EB"/>
    <w:rsid w:val="23867849"/>
    <w:rsid w:val="2398654C"/>
    <w:rsid w:val="239B2269"/>
    <w:rsid w:val="239E6529"/>
    <w:rsid w:val="239F08A1"/>
    <w:rsid w:val="23A260EE"/>
    <w:rsid w:val="23A756FE"/>
    <w:rsid w:val="23A92B1C"/>
    <w:rsid w:val="23AD2A56"/>
    <w:rsid w:val="23AF3E8B"/>
    <w:rsid w:val="23AF726E"/>
    <w:rsid w:val="23B02B18"/>
    <w:rsid w:val="23B27A99"/>
    <w:rsid w:val="23B60FC1"/>
    <w:rsid w:val="23BC2D52"/>
    <w:rsid w:val="23C43527"/>
    <w:rsid w:val="23C74E66"/>
    <w:rsid w:val="23D06D16"/>
    <w:rsid w:val="23DA1B50"/>
    <w:rsid w:val="23DE1C48"/>
    <w:rsid w:val="23E05F11"/>
    <w:rsid w:val="23EC65F4"/>
    <w:rsid w:val="23ED3D6C"/>
    <w:rsid w:val="23FC3FAF"/>
    <w:rsid w:val="23FE6BEB"/>
    <w:rsid w:val="23FF584D"/>
    <w:rsid w:val="240074B3"/>
    <w:rsid w:val="240210CD"/>
    <w:rsid w:val="240A1454"/>
    <w:rsid w:val="240D0A6F"/>
    <w:rsid w:val="240E783E"/>
    <w:rsid w:val="2416517D"/>
    <w:rsid w:val="241C09BC"/>
    <w:rsid w:val="2426751B"/>
    <w:rsid w:val="24280900"/>
    <w:rsid w:val="242B1A8A"/>
    <w:rsid w:val="242F3360"/>
    <w:rsid w:val="24302E90"/>
    <w:rsid w:val="24305A06"/>
    <w:rsid w:val="24311EAA"/>
    <w:rsid w:val="24324FC7"/>
    <w:rsid w:val="24364169"/>
    <w:rsid w:val="24375129"/>
    <w:rsid w:val="243A62E1"/>
    <w:rsid w:val="24466FD8"/>
    <w:rsid w:val="244A2F6C"/>
    <w:rsid w:val="244D65B8"/>
    <w:rsid w:val="244D6BB4"/>
    <w:rsid w:val="24510B78"/>
    <w:rsid w:val="245636BF"/>
    <w:rsid w:val="24574D2F"/>
    <w:rsid w:val="24612064"/>
    <w:rsid w:val="24651B54"/>
    <w:rsid w:val="246B0A5C"/>
    <w:rsid w:val="246B2680"/>
    <w:rsid w:val="246F29D3"/>
    <w:rsid w:val="247213BB"/>
    <w:rsid w:val="247955FF"/>
    <w:rsid w:val="247A3BCF"/>
    <w:rsid w:val="247A4C9D"/>
    <w:rsid w:val="247D0F86"/>
    <w:rsid w:val="248C70E1"/>
    <w:rsid w:val="24901B57"/>
    <w:rsid w:val="24990604"/>
    <w:rsid w:val="249A18B6"/>
    <w:rsid w:val="249C4E4A"/>
    <w:rsid w:val="24A020FD"/>
    <w:rsid w:val="24A14A8B"/>
    <w:rsid w:val="24A55F24"/>
    <w:rsid w:val="24A972A7"/>
    <w:rsid w:val="24AA677E"/>
    <w:rsid w:val="24AC1531"/>
    <w:rsid w:val="24AF7273"/>
    <w:rsid w:val="24B01BD1"/>
    <w:rsid w:val="24B403E6"/>
    <w:rsid w:val="24BB0C9B"/>
    <w:rsid w:val="24BF09F7"/>
    <w:rsid w:val="24BF727F"/>
    <w:rsid w:val="24C26858"/>
    <w:rsid w:val="24C26FA6"/>
    <w:rsid w:val="24C51723"/>
    <w:rsid w:val="24C56B78"/>
    <w:rsid w:val="24C7636B"/>
    <w:rsid w:val="24CC1BD3"/>
    <w:rsid w:val="24D23759"/>
    <w:rsid w:val="24DE3A8A"/>
    <w:rsid w:val="24E16D01"/>
    <w:rsid w:val="24E4622E"/>
    <w:rsid w:val="24E83D02"/>
    <w:rsid w:val="24E842A0"/>
    <w:rsid w:val="24EF35A7"/>
    <w:rsid w:val="24F627AC"/>
    <w:rsid w:val="24F84776"/>
    <w:rsid w:val="24F86524"/>
    <w:rsid w:val="25012AC9"/>
    <w:rsid w:val="25023740"/>
    <w:rsid w:val="250E0B9D"/>
    <w:rsid w:val="25145328"/>
    <w:rsid w:val="25186BC6"/>
    <w:rsid w:val="251A0B90"/>
    <w:rsid w:val="251A395F"/>
    <w:rsid w:val="252206FC"/>
    <w:rsid w:val="252375A1"/>
    <w:rsid w:val="25266D60"/>
    <w:rsid w:val="25292B82"/>
    <w:rsid w:val="252D53FE"/>
    <w:rsid w:val="2530657B"/>
    <w:rsid w:val="25317C88"/>
    <w:rsid w:val="25322AEC"/>
    <w:rsid w:val="25355754"/>
    <w:rsid w:val="25384F68"/>
    <w:rsid w:val="25421E95"/>
    <w:rsid w:val="254701D7"/>
    <w:rsid w:val="254A0D4A"/>
    <w:rsid w:val="25506DE7"/>
    <w:rsid w:val="255B2F57"/>
    <w:rsid w:val="255F2A47"/>
    <w:rsid w:val="25642B1A"/>
    <w:rsid w:val="256718FC"/>
    <w:rsid w:val="256E2C8A"/>
    <w:rsid w:val="2575265A"/>
    <w:rsid w:val="2576226F"/>
    <w:rsid w:val="25777D91"/>
    <w:rsid w:val="2579618A"/>
    <w:rsid w:val="257D111F"/>
    <w:rsid w:val="257F27A2"/>
    <w:rsid w:val="2580476C"/>
    <w:rsid w:val="2581437A"/>
    <w:rsid w:val="25826736"/>
    <w:rsid w:val="25867FD4"/>
    <w:rsid w:val="25884E57"/>
    <w:rsid w:val="25896B32"/>
    <w:rsid w:val="258B383C"/>
    <w:rsid w:val="258D4A38"/>
    <w:rsid w:val="259049AF"/>
    <w:rsid w:val="2593449F"/>
    <w:rsid w:val="259A582D"/>
    <w:rsid w:val="25A93CC2"/>
    <w:rsid w:val="25AC432A"/>
    <w:rsid w:val="25AF7C37"/>
    <w:rsid w:val="25BC7FE5"/>
    <w:rsid w:val="25C74149"/>
    <w:rsid w:val="25CA6327"/>
    <w:rsid w:val="25D238C2"/>
    <w:rsid w:val="25D32AED"/>
    <w:rsid w:val="25D532F5"/>
    <w:rsid w:val="25D7082F"/>
    <w:rsid w:val="25D91447"/>
    <w:rsid w:val="25E14378"/>
    <w:rsid w:val="25EC2D81"/>
    <w:rsid w:val="25EC3BAF"/>
    <w:rsid w:val="25ED78CC"/>
    <w:rsid w:val="25EE406E"/>
    <w:rsid w:val="25EE5B79"/>
    <w:rsid w:val="25EF6C49"/>
    <w:rsid w:val="25F80363"/>
    <w:rsid w:val="25FA33D7"/>
    <w:rsid w:val="25FA451E"/>
    <w:rsid w:val="25FB7DFA"/>
    <w:rsid w:val="25FC570B"/>
    <w:rsid w:val="25FD157D"/>
    <w:rsid w:val="26061115"/>
    <w:rsid w:val="260C1366"/>
    <w:rsid w:val="260C3BF8"/>
    <w:rsid w:val="26105AEF"/>
    <w:rsid w:val="261A696E"/>
    <w:rsid w:val="261D5164"/>
    <w:rsid w:val="261D5C26"/>
    <w:rsid w:val="261F1582"/>
    <w:rsid w:val="262275D1"/>
    <w:rsid w:val="26233A75"/>
    <w:rsid w:val="26290526"/>
    <w:rsid w:val="262923F6"/>
    <w:rsid w:val="262A010B"/>
    <w:rsid w:val="26326399"/>
    <w:rsid w:val="26345C82"/>
    <w:rsid w:val="26355556"/>
    <w:rsid w:val="26461511"/>
    <w:rsid w:val="26490757"/>
    <w:rsid w:val="264B4D7A"/>
    <w:rsid w:val="264D0B0B"/>
    <w:rsid w:val="26527EB6"/>
    <w:rsid w:val="265500DB"/>
    <w:rsid w:val="26554BA2"/>
    <w:rsid w:val="26575089"/>
    <w:rsid w:val="265F23FB"/>
    <w:rsid w:val="26675339"/>
    <w:rsid w:val="266801EC"/>
    <w:rsid w:val="26707BFD"/>
    <w:rsid w:val="26730B70"/>
    <w:rsid w:val="267728FE"/>
    <w:rsid w:val="26773A40"/>
    <w:rsid w:val="26774667"/>
    <w:rsid w:val="26782D8B"/>
    <w:rsid w:val="267B4ABE"/>
    <w:rsid w:val="26802413"/>
    <w:rsid w:val="26881B2A"/>
    <w:rsid w:val="268868C6"/>
    <w:rsid w:val="268A3AF3"/>
    <w:rsid w:val="26937070"/>
    <w:rsid w:val="26993BB7"/>
    <w:rsid w:val="269A068B"/>
    <w:rsid w:val="26A01315"/>
    <w:rsid w:val="26A30712"/>
    <w:rsid w:val="26A7372A"/>
    <w:rsid w:val="26AD1F5C"/>
    <w:rsid w:val="26AF70B6"/>
    <w:rsid w:val="26B0669F"/>
    <w:rsid w:val="26B172D2"/>
    <w:rsid w:val="26B25CB6"/>
    <w:rsid w:val="26C02C7C"/>
    <w:rsid w:val="26C22739"/>
    <w:rsid w:val="26C2719B"/>
    <w:rsid w:val="26C32B62"/>
    <w:rsid w:val="26C95C8A"/>
    <w:rsid w:val="26CD7731"/>
    <w:rsid w:val="26D37A9A"/>
    <w:rsid w:val="26D42FC1"/>
    <w:rsid w:val="26D751C9"/>
    <w:rsid w:val="26DD4469"/>
    <w:rsid w:val="26DD68A6"/>
    <w:rsid w:val="26DE174A"/>
    <w:rsid w:val="26DE799C"/>
    <w:rsid w:val="26E1252E"/>
    <w:rsid w:val="26E52AD8"/>
    <w:rsid w:val="26E72CF4"/>
    <w:rsid w:val="26E8614E"/>
    <w:rsid w:val="26EF1BA9"/>
    <w:rsid w:val="26F36771"/>
    <w:rsid w:val="26F6667B"/>
    <w:rsid w:val="26F75FB5"/>
    <w:rsid w:val="2702368A"/>
    <w:rsid w:val="27026F7D"/>
    <w:rsid w:val="270365B6"/>
    <w:rsid w:val="270D4219"/>
    <w:rsid w:val="27107C76"/>
    <w:rsid w:val="27182E78"/>
    <w:rsid w:val="271B0BF0"/>
    <w:rsid w:val="27201D62"/>
    <w:rsid w:val="272950BB"/>
    <w:rsid w:val="272C2E7E"/>
    <w:rsid w:val="2736379E"/>
    <w:rsid w:val="27364CD2"/>
    <w:rsid w:val="2738300C"/>
    <w:rsid w:val="2753038A"/>
    <w:rsid w:val="275E5EB1"/>
    <w:rsid w:val="2762425F"/>
    <w:rsid w:val="27645958"/>
    <w:rsid w:val="276A6AC7"/>
    <w:rsid w:val="276E51C4"/>
    <w:rsid w:val="277057A2"/>
    <w:rsid w:val="27734588"/>
    <w:rsid w:val="277463FD"/>
    <w:rsid w:val="277C5005"/>
    <w:rsid w:val="277C6476"/>
    <w:rsid w:val="277D0F63"/>
    <w:rsid w:val="277F117F"/>
    <w:rsid w:val="27811702"/>
    <w:rsid w:val="27871429"/>
    <w:rsid w:val="27894A00"/>
    <w:rsid w:val="278F0C96"/>
    <w:rsid w:val="27906EE8"/>
    <w:rsid w:val="27934C2A"/>
    <w:rsid w:val="2797250D"/>
    <w:rsid w:val="279F537D"/>
    <w:rsid w:val="279F712B"/>
    <w:rsid w:val="27A02EA3"/>
    <w:rsid w:val="27A50616"/>
    <w:rsid w:val="27A961FC"/>
    <w:rsid w:val="27B01338"/>
    <w:rsid w:val="27B349B0"/>
    <w:rsid w:val="27BA4E27"/>
    <w:rsid w:val="27BB69CA"/>
    <w:rsid w:val="27BC5F2F"/>
    <w:rsid w:val="27BE2F0D"/>
    <w:rsid w:val="27C052F3"/>
    <w:rsid w:val="27C528E9"/>
    <w:rsid w:val="27C83FC7"/>
    <w:rsid w:val="27CA2E76"/>
    <w:rsid w:val="27CA411A"/>
    <w:rsid w:val="27CB0C61"/>
    <w:rsid w:val="27CB36FC"/>
    <w:rsid w:val="27CB6172"/>
    <w:rsid w:val="27CB7F20"/>
    <w:rsid w:val="27CE64E0"/>
    <w:rsid w:val="27CF0D33"/>
    <w:rsid w:val="27D165A2"/>
    <w:rsid w:val="27D61381"/>
    <w:rsid w:val="27DA0163"/>
    <w:rsid w:val="27DA4607"/>
    <w:rsid w:val="27E15995"/>
    <w:rsid w:val="27E170DE"/>
    <w:rsid w:val="27E63962"/>
    <w:rsid w:val="27EC0339"/>
    <w:rsid w:val="27EC60E8"/>
    <w:rsid w:val="27ED066B"/>
    <w:rsid w:val="27F6220F"/>
    <w:rsid w:val="27F67CAD"/>
    <w:rsid w:val="27F8683B"/>
    <w:rsid w:val="27FC473B"/>
    <w:rsid w:val="27FC54C9"/>
    <w:rsid w:val="27FF5E1C"/>
    <w:rsid w:val="280A69B3"/>
    <w:rsid w:val="2815563F"/>
    <w:rsid w:val="28173165"/>
    <w:rsid w:val="28230735"/>
    <w:rsid w:val="28245882"/>
    <w:rsid w:val="282569DC"/>
    <w:rsid w:val="282910EA"/>
    <w:rsid w:val="28305FD5"/>
    <w:rsid w:val="28333D17"/>
    <w:rsid w:val="28341F69"/>
    <w:rsid w:val="283F06D6"/>
    <w:rsid w:val="28480BDC"/>
    <w:rsid w:val="28485A15"/>
    <w:rsid w:val="285056E3"/>
    <w:rsid w:val="28625A0D"/>
    <w:rsid w:val="286D40BC"/>
    <w:rsid w:val="286D547B"/>
    <w:rsid w:val="286E4893"/>
    <w:rsid w:val="287064F9"/>
    <w:rsid w:val="28711B50"/>
    <w:rsid w:val="28714E9D"/>
    <w:rsid w:val="2876140E"/>
    <w:rsid w:val="28803712"/>
    <w:rsid w:val="28836A4D"/>
    <w:rsid w:val="28844573"/>
    <w:rsid w:val="288A00A4"/>
    <w:rsid w:val="288A1B89"/>
    <w:rsid w:val="288D3427"/>
    <w:rsid w:val="289901CD"/>
    <w:rsid w:val="289A5B44"/>
    <w:rsid w:val="289A6CA9"/>
    <w:rsid w:val="289E0BEF"/>
    <w:rsid w:val="28A013AD"/>
    <w:rsid w:val="28A864B3"/>
    <w:rsid w:val="28AF7842"/>
    <w:rsid w:val="28B05368"/>
    <w:rsid w:val="28B90367"/>
    <w:rsid w:val="28BB5181"/>
    <w:rsid w:val="28C0181B"/>
    <w:rsid w:val="28C055AB"/>
    <w:rsid w:val="28C114CB"/>
    <w:rsid w:val="28C12636"/>
    <w:rsid w:val="28C22AF5"/>
    <w:rsid w:val="28C6024F"/>
    <w:rsid w:val="28C82DA7"/>
    <w:rsid w:val="28CB3F50"/>
    <w:rsid w:val="28D41F8A"/>
    <w:rsid w:val="28D51396"/>
    <w:rsid w:val="28DB23E5"/>
    <w:rsid w:val="28E3573D"/>
    <w:rsid w:val="28E84B02"/>
    <w:rsid w:val="28E8751C"/>
    <w:rsid w:val="28EA6ACC"/>
    <w:rsid w:val="28EF40E2"/>
    <w:rsid w:val="290319E9"/>
    <w:rsid w:val="29037624"/>
    <w:rsid w:val="29051210"/>
    <w:rsid w:val="2912392D"/>
    <w:rsid w:val="291C47AB"/>
    <w:rsid w:val="291D29FD"/>
    <w:rsid w:val="291E49C7"/>
    <w:rsid w:val="29206EB8"/>
    <w:rsid w:val="292C0E92"/>
    <w:rsid w:val="2936586D"/>
    <w:rsid w:val="293A128F"/>
    <w:rsid w:val="293A2302"/>
    <w:rsid w:val="293F0FBC"/>
    <w:rsid w:val="29405A28"/>
    <w:rsid w:val="29407343"/>
    <w:rsid w:val="29422464"/>
    <w:rsid w:val="294A756A"/>
    <w:rsid w:val="294D1FF0"/>
    <w:rsid w:val="294E705B"/>
    <w:rsid w:val="295313EB"/>
    <w:rsid w:val="29595666"/>
    <w:rsid w:val="295C2DFA"/>
    <w:rsid w:val="295D54F0"/>
    <w:rsid w:val="295E6B72"/>
    <w:rsid w:val="296543A4"/>
    <w:rsid w:val="29657F00"/>
    <w:rsid w:val="2967011C"/>
    <w:rsid w:val="29672844"/>
    <w:rsid w:val="296D0D14"/>
    <w:rsid w:val="296D5007"/>
    <w:rsid w:val="296D7A74"/>
    <w:rsid w:val="29714AD8"/>
    <w:rsid w:val="297621BD"/>
    <w:rsid w:val="29802F8C"/>
    <w:rsid w:val="298078CA"/>
    <w:rsid w:val="29844510"/>
    <w:rsid w:val="2984482A"/>
    <w:rsid w:val="29862BBA"/>
    <w:rsid w:val="29874881"/>
    <w:rsid w:val="298760C9"/>
    <w:rsid w:val="298E79EF"/>
    <w:rsid w:val="29944736"/>
    <w:rsid w:val="2995461C"/>
    <w:rsid w:val="29961F06"/>
    <w:rsid w:val="29985B65"/>
    <w:rsid w:val="299A404E"/>
    <w:rsid w:val="299F78B6"/>
    <w:rsid w:val="29A273A6"/>
    <w:rsid w:val="29A749BD"/>
    <w:rsid w:val="29B30428"/>
    <w:rsid w:val="29B36EBE"/>
    <w:rsid w:val="29B669AE"/>
    <w:rsid w:val="29B81A52"/>
    <w:rsid w:val="29B9024C"/>
    <w:rsid w:val="29BD3630"/>
    <w:rsid w:val="29C3473D"/>
    <w:rsid w:val="29C9116F"/>
    <w:rsid w:val="29CA2459"/>
    <w:rsid w:val="29CA4207"/>
    <w:rsid w:val="29CB7425"/>
    <w:rsid w:val="29D07A70"/>
    <w:rsid w:val="29D3130E"/>
    <w:rsid w:val="29D54687"/>
    <w:rsid w:val="29E03A2B"/>
    <w:rsid w:val="29E325E0"/>
    <w:rsid w:val="29E41AEB"/>
    <w:rsid w:val="29EA6657"/>
    <w:rsid w:val="29EC6874"/>
    <w:rsid w:val="29EC73FD"/>
    <w:rsid w:val="29F3375E"/>
    <w:rsid w:val="29F90863"/>
    <w:rsid w:val="29FD0655"/>
    <w:rsid w:val="29FD45DD"/>
    <w:rsid w:val="2A006588"/>
    <w:rsid w:val="2A025360"/>
    <w:rsid w:val="2A027E45"/>
    <w:rsid w:val="2A0A2888"/>
    <w:rsid w:val="2A0C2A72"/>
    <w:rsid w:val="2A0C4820"/>
    <w:rsid w:val="2A0D0CC4"/>
    <w:rsid w:val="2A1173FF"/>
    <w:rsid w:val="2A17569E"/>
    <w:rsid w:val="2A181D54"/>
    <w:rsid w:val="2A187669"/>
    <w:rsid w:val="2A21197B"/>
    <w:rsid w:val="2A2360AA"/>
    <w:rsid w:val="2A247DBB"/>
    <w:rsid w:val="2A3066F0"/>
    <w:rsid w:val="2A3224D8"/>
    <w:rsid w:val="2A32274B"/>
    <w:rsid w:val="2A3507D7"/>
    <w:rsid w:val="2A355B25"/>
    <w:rsid w:val="2A3F154A"/>
    <w:rsid w:val="2A3F58D2"/>
    <w:rsid w:val="2A412F18"/>
    <w:rsid w:val="2A426494"/>
    <w:rsid w:val="2A447531"/>
    <w:rsid w:val="2A452503"/>
    <w:rsid w:val="2A466501"/>
    <w:rsid w:val="2A4D2E68"/>
    <w:rsid w:val="2A506E02"/>
    <w:rsid w:val="2A515973"/>
    <w:rsid w:val="2A544870"/>
    <w:rsid w:val="2A5F0DF4"/>
    <w:rsid w:val="2A680DF1"/>
    <w:rsid w:val="2A6E1037"/>
    <w:rsid w:val="2A750617"/>
    <w:rsid w:val="2A761AC6"/>
    <w:rsid w:val="2A7D3A62"/>
    <w:rsid w:val="2A7E3970"/>
    <w:rsid w:val="2A810D6A"/>
    <w:rsid w:val="2A834AE2"/>
    <w:rsid w:val="2A870664"/>
    <w:rsid w:val="2A915D79"/>
    <w:rsid w:val="2A924C61"/>
    <w:rsid w:val="2A932698"/>
    <w:rsid w:val="2A97058D"/>
    <w:rsid w:val="2A9D438D"/>
    <w:rsid w:val="2A9E4611"/>
    <w:rsid w:val="2A9F38FB"/>
    <w:rsid w:val="2A9F6557"/>
    <w:rsid w:val="2AA42CAA"/>
    <w:rsid w:val="2AA70541"/>
    <w:rsid w:val="2AA915E9"/>
    <w:rsid w:val="2AAB1450"/>
    <w:rsid w:val="2AAB37E8"/>
    <w:rsid w:val="2AAB7338"/>
    <w:rsid w:val="2AAE79DD"/>
    <w:rsid w:val="2AB0164F"/>
    <w:rsid w:val="2AB27175"/>
    <w:rsid w:val="2ABA24CE"/>
    <w:rsid w:val="2AD06880"/>
    <w:rsid w:val="2AD92954"/>
    <w:rsid w:val="2ADC2444"/>
    <w:rsid w:val="2AE86C56"/>
    <w:rsid w:val="2B005BEA"/>
    <w:rsid w:val="2B03039C"/>
    <w:rsid w:val="2B035C23"/>
    <w:rsid w:val="2B0F0198"/>
    <w:rsid w:val="2B116592"/>
    <w:rsid w:val="2B16676D"/>
    <w:rsid w:val="2B186F94"/>
    <w:rsid w:val="2B1A4D1A"/>
    <w:rsid w:val="2B1B28D9"/>
    <w:rsid w:val="2B1E642A"/>
    <w:rsid w:val="2B20129D"/>
    <w:rsid w:val="2B257DBC"/>
    <w:rsid w:val="2B320BC0"/>
    <w:rsid w:val="2B3C1ADC"/>
    <w:rsid w:val="2B3D7387"/>
    <w:rsid w:val="2B3E7185"/>
    <w:rsid w:val="2B4F2C16"/>
    <w:rsid w:val="2B512E32"/>
    <w:rsid w:val="2B5244B4"/>
    <w:rsid w:val="2B5869C9"/>
    <w:rsid w:val="2B594282"/>
    <w:rsid w:val="2B632B65"/>
    <w:rsid w:val="2B64300E"/>
    <w:rsid w:val="2B6D0F5F"/>
    <w:rsid w:val="2B715282"/>
    <w:rsid w:val="2B724877"/>
    <w:rsid w:val="2B746B21"/>
    <w:rsid w:val="2B8801B3"/>
    <w:rsid w:val="2B920D55"/>
    <w:rsid w:val="2B923DD2"/>
    <w:rsid w:val="2B942D1F"/>
    <w:rsid w:val="2B960845"/>
    <w:rsid w:val="2B9A2341"/>
    <w:rsid w:val="2BA32F62"/>
    <w:rsid w:val="2BA50A88"/>
    <w:rsid w:val="2BA74404"/>
    <w:rsid w:val="2BA936A8"/>
    <w:rsid w:val="2BAA42F0"/>
    <w:rsid w:val="2BB34EE4"/>
    <w:rsid w:val="2BB46CFE"/>
    <w:rsid w:val="2BB86CB1"/>
    <w:rsid w:val="2BBB64FD"/>
    <w:rsid w:val="2BC144F7"/>
    <w:rsid w:val="2BC2788C"/>
    <w:rsid w:val="2BC3635A"/>
    <w:rsid w:val="2BC41856"/>
    <w:rsid w:val="2BC43604"/>
    <w:rsid w:val="2BC71AAA"/>
    <w:rsid w:val="2BC74EA2"/>
    <w:rsid w:val="2BCC7096"/>
    <w:rsid w:val="2BD220D6"/>
    <w:rsid w:val="2BD355F5"/>
    <w:rsid w:val="2BD414DD"/>
    <w:rsid w:val="2BD4296D"/>
    <w:rsid w:val="2BD74818"/>
    <w:rsid w:val="2BDC76D9"/>
    <w:rsid w:val="2BE05F64"/>
    <w:rsid w:val="2BE11407"/>
    <w:rsid w:val="2BE23A8A"/>
    <w:rsid w:val="2BEB3615"/>
    <w:rsid w:val="2BEF0CB6"/>
    <w:rsid w:val="2BF10171"/>
    <w:rsid w:val="2BF523C4"/>
    <w:rsid w:val="2BFD08C4"/>
    <w:rsid w:val="2BFF01D4"/>
    <w:rsid w:val="2C167BD8"/>
    <w:rsid w:val="2C2220D9"/>
    <w:rsid w:val="2C315A5A"/>
    <w:rsid w:val="2C347F55"/>
    <w:rsid w:val="2C3818FC"/>
    <w:rsid w:val="2C3F06C9"/>
    <w:rsid w:val="2C3F2B42"/>
    <w:rsid w:val="2C406BF4"/>
    <w:rsid w:val="2C4B1C25"/>
    <w:rsid w:val="2C4B2DF0"/>
    <w:rsid w:val="2C551528"/>
    <w:rsid w:val="2C55425C"/>
    <w:rsid w:val="2C566690"/>
    <w:rsid w:val="2C5A3803"/>
    <w:rsid w:val="2C5D5807"/>
    <w:rsid w:val="2C6D3C9C"/>
    <w:rsid w:val="2C766A33"/>
    <w:rsid w:val="2C7A1F15"/>
    <w:rsid w:val="2C7A413A"/>
    <w:rsid w:val="2C8221EC"/>
    <w:rsid w:val="2C866B0B"/>
    <w:rsid w:val="2C882884"/>
    <w:rsid w:val="2C8D1C48"/>
    <w:rsid w:val="2C911FBC"/>
    <w:rsid w:val="2C952D0F"/>
    <w:rsid w:val="2C9A6113"/>
    <w:rsid w:val="2C9C3242"/>
    <w:rsid w:val="2CA06BAE"/>
    <w:rsid w:val="2CA2761E"/>
    <w:rsid w:val="2CB0615A"/>
    <w:rsid w:val="2CB35427"/>
    <w:rsid w:val="2CB45C2B"/>
    <w:rsid w:val="2CC358D7"/>
    <w:rsid w:val="2CCD473A"/>
    <w:rsid w:val="2CCF020F"/>
    <w:rsid w:val="2CD11238"/>
    <w:rsid w:val="2CD2219E"/>
    <w:rsid w:val="2CD31625"/>
    <w:rsid w:val="2CD952E7"/>
    <w:rsid w:val="2CE94728"/>
    <w:rsid w:val="2CEF3AF8"/>
    <w:rsid w:val="2CF47F19"/>
    <w:rsid w:val="2CF55A3F"/>
    <w:rsid w:val="2CF74F46"/>
    <w:rsid w:val="2CF96EAE"/>
    <w:rsid w:val="2CFA0383"/>
    <w:rsid w:val="2D031F0A"/>
    <w:rsid w:val="2D084189"/>
    <w:rsid w:val="2D0A3299"/>
    <w:rsid w:val="2D0B0DBF"/>
    <w:rsid w:val="2D0B6C44"/>
    <w:rsid w:val="2D0C5682"/>
    <w:rsid w:val="2D0D4B37"/>
    <w:rsid w:val="2D146319"/>
    <w:rsid w:val="2D1668CF"/>
    <w:rsid w:val="2D197980"/>
    <w:rsid w:val="2D1C4D7A"/>
    <w:rsid w:val="2D241E80"/>
    <w:rsid w:val="2D2509FF"/>
    <w:rsid w:val="2D26209C"/>
    <w:rsid w:val="2D27711B"/>
    <w:rsid w:val="2D2A587C"/>
    <w:rsid w:val="2D2F2CFF"/>
    <w:rsid w:val="2D355E3C"/>
    <w:rsid w:val="2D3F12B8"/>
    <w:rsid w:val="2D4553C3"/>
    <w:rsid w:val="2D480265"/>
    <w:rsid w:val="2D4D438B"/>
    <w:rsid w:val="2D60001B"/>
    <w:rsid w:val="2D636E43"/>
    <w:rsid w:val="2D675A40"/>
    <w:rsid w:val="2D683990"/>
    <w:rsid w:val="2D6937A6"/>
    <w:rsid w:val="2D6B0926"/>
    <w:rsid w:val="2D6B1EBC"/>
    <w:rsid w:val="2D6E12D0"/>
    <w:rsid w:val="2D6E4118"/>
    <w:rsid w:val="2D706302"/>
    <w:rsid w:val="2D742C4B"/>
    <w:rsid w:val="2D755EB1"/>
    <w:rsid w:val="2D79127C"/>
    <w:rsid w:val="2D7D1DF3"/>
    <w:rsid w:val="2D7E7E55"/>
    <w:rsid w:val="2D7F2A1C"/>
    <w:rsid w:val="2D805468"/>
    <w:rsid w:val="2D8355C6"/>
    <w:rsid w:val="2D842B55"/>
    <w:rsid w:val="2D8437AD"/>
    <w:rsid w:val="2D86579F"/>
    <w:rsid w:val="2D872B3B"/>
    <w:rsid w:val="2D88240F"/>
    <w:rsid w:val="2D8B7A0C"/>
    <w:rsid w:val="2D937732"/>
    <w:rsid w:val="2D9B32A8"/>
    <w:rsid w:val="2D9E56F5"/>
    <w:rsid w:val="2DA52FC1"/>
    <w:rsid w:val="2DAA4A7C"/>
    <w:rsid w:val="2DB30528"/>
    <w:rsid w:val="2DB96A6D"/>
    <w:rsid w:val="2DBB2F77"/>
    <w:rsid w:val="2DBD3EFB"/>
    <w:rsid w:val="2DBE19E0"/>
    <w:rsid w:val="2DC110B7"/>
    <w:rsid w:val="2DCA2C53"/>
    <w:rsid w:val="2DCB7B61"/>
    <w:rsid w:val="2DCC49F2"/>
    <w:rsid w:val="2DD029B5"/>
    <w:rsid w:val="2DD12526"/>
    <w:rsid w:val="2DD478E8"/>
    <w:rsid w:val="2DDC2D6D"/>
    <w:rsid w:val="2DEC68DA"/>
    <w:rsid w:val="2DF02AE0"/>
    <w:rsid w:val="2DFB789B"/>
    <w:rsid w:val="2DFC2367"/>
    <w:rsid w:val="2E0425E4"/>
    <w:rsid w:val="2E0B376C"/>
    <w:rsid w:val="2E123228"/>
    <w:rsid w:val="2E133665"/>
    <w:rsid w:val="2E145612"/>
    <w:rsid w:val="2E195B5E"/>
    <w:rsid w:val="2E2465DC"/>
    <w:rsid w:val="2E2A0C95"/>
    <w:rsid w:val="2E345F77"/>
    <w:rsid w:val="2E3D144C"/>
    <w:rsid w:val="2E3F6426"/>
    <w:rsid w:val="2E4232BB"/>
    <w:rsid w:val="2E4323D2"/>
    <w:rsid w:val="2E4E18AB"/>
    <w:rsid w:val="2E4F0A34"/>
    <w:rsid w:val="2E507B3E"/>
    <w:rsid w:val="2E513226"/>
    <w:rsid w:val="2E59753B"/>
    <w:rsid w:val="2E5A0250"/>
    <w:rsid w:val="2E6432DE"/>
    <w:rsid w:val="2E667F96"/>
    <w:rsid w:val="2E6C2FEE"/>
    <w:rsid w:val="2E70537D"/>
    <w:rsid w:val="2E71161D"/>
    <w:rsid w:val="2E717347"/>
    <w:rsid w:val="2E772BB0"/>
    <w:rsid w:val="2E794F93"/>
    <w:rsid w:val="2E7D05C6"/>
    <w:rsid w:val="2E804392"/>
    <w:rsid w:val="2E8226AB"/>
    <w:rsid w:val="2E8B4C27"/>
    <w:rsid w:val="2E975000"/>
    <w:rsid w:val="2E9F2106"/>
    <w:rsid w:val="2EA414CB"/>
    <w:rsid w:val="2EA6182F"/>
    <w:rsid w:val="2EA80FBB"/>
    <w:rsid w:val="2EA8720D"/>
    <w:rsid w:val="2EA93C02"/>
    <w:rsid w:val="2EB072CC"/>
    <w:rsid w:val="2EB12F93"/>
    <w:rsid w:val="2EB909D8"/>
    <w:rsid w:val="2EBC267F"/>
    <w:rsid w:val="2EBD0591"/>
    <w:rsid w:val="2EBF00B3"/>
    <w:rsid w:val="2EC456C9"/>
    <w:rsid w:val="2ECF0032"/>
    <w:rsid w:val="2ED4702A"/>
    <w:rsid w:val="2ED7364E"/>
    <w:rsid w:val="2ED74AE9"/>
    <w:rsid w:val="2EDC1467"/>
    <w:rsid w:val="2EDC1656"/>
    <w:rsid w:val="2EDF0755"/>
    <w:rsid w:val="2EE26B1C"/>
    <w:rsid w:val="2EE43FBD"/>
    <w:rsid w:val="2EE6240B"/>
    <w:rsid w:val="2EEB534C"/>
    <w:rsid w:val="2EF54A21"/>
    <w:rsid w:val="2EF73D2C"/>
    <w:rsid w:val="2EF83000"/>
    <w:rsid w:val="2EF97A69"/>
    <w:rsid w:val="2EFE1143"/>
    <w:rsid w:val="2EFF4953"/>
    <w:rsid w:val="2EFF7082"/>
    <w:rsid w:val="2EFF793F"/>
    <w:rsid w:val="2F01691D"/>
    <w:rsid w:val="2F032695"/>
    <w:rsid w:val="2F130889"/>
    <w:rsid w:val="2F1F0748"/>
    <w:rsid w:val="2F2368B5"/>
    <w:rsid w:val="2F255896"/>
    <w:rsid w:val="2F285C58"/>
    <w:rsid w:val="2F300FB0"/>
    <w:rsid w:val="2F303006"/>
    <w:rsid w:val="2F34284F"/>
    <w:rsid w:val="2F395085"/>
    <w:rsid w:val="2F3A210B"/>
    <w:rsid w:val="2F3F643D"/>
    <w:rsid w:val="2F40308E"/>
    <w:rsid w:val="2F432A92"/>
    <w:rsid w:val="2F4A02C4"/>
    <w:rsid w:val="2F522CD5"/>
    <w:rsid w:val="2F586008"/>
    <w:rsid w:val="2F6157A7"/>
    <w:rsid w:val="2F6724CF"/>
    <w:rsid w:val="2F697F69"/>
    <w:rsid w:val="2F6B39AD"/>
    <w:rsid w:val="2F6C50DB"/>
    <w:rsid w:val="2F6E213C"/>
    <w:rsid w:val="2F7013AD"/>
    <w:rsid w:val="2F7075FF"/>
    <w:rsid w:val="2F722BE0"/>
    <w:rsid w:val="2F786B8B"/>
    <w:rsid w:val="2F7B0FD4"/>
    <w:rsid w:val="2F7D6131"/>
    <w:rsid w:val="2F880BDC"/>
    <w:rsid w:val="2F8A5853"/>
    <w:rsid w:val="2F990904"/>
    <w:rsid w:val="2F9A00CC"/>
    <w:rsid w:val="2F9B467C"/>
    <w:rsid w:val="2F9C6646"/>
    <w:rsid w:val="2F9F40F0"/>
    <w:rsid w:val="2FA06136"/>
    <w:rsid w:val="2FA10D67"/>
    <w:rsid w:val="2FA31782"/>
    <w:rsid w:val="2FAA48BF"/>
    <w:rsid w:val="2FAC6889"/>
    <w:rsid w:val="2FBC3E88"/>
    <w:rsid w:val="2FC87C4C"/>
    <w:rsid w:val="2FCB590C"/>
    <w:rsid w:val="2FCC0CD9"/>
    <w:rsid w:val="2FCD0BDE"/>
    <w:rsid w:val="2FCE2CA3"/>
    <w:rsid w:val="2FD065E6"/>
    <w:rsid w:val="2FD63906"/>
    <w:rsid w:val="2FD96870"/>
    <w:rsid w:val="2FDE0A0C"/>
    <w:rsid w:val="2FE04785"/>
    <w:rsid w:val="2FE06533"/>
    <w:rsid w:val="2FE3113A"/>
    <w:rsid w:val="2FE95B0A"/>
    <w:rsid w:val="2FF124EE"/>
    <w:rsid w:val="2FF47991"/>
    <w:rsid w:val="2FF63B4F"/>
    <w:rsid w:val="2FFC6C13"/>
    <w:rsid w:val="2FFE2E5D"/>
    <w:rsid w:val="30041638"/>
    <w:rsid w:val="300512D8"/>
    <w:rsid w:val="300A35B0"/>
    <w:rsid w:val="302063B0"/>
    <w:rsid w:val="302D7FD6"/>
    <w:rsid w:val="302E54F0"/>
    <w:rsid w:val="3036619F"/>
    <w:rsid w:val="3039582C"/>
    <w:rsid w:val="303B7C0D"/>
    <w:rsid w:val="303D3985"/>
    <w:rsid w:val="303E14AB"/>
    <w:rsid w:val="303F76FD"/>
    <w:rsid w:val="30413030"/>
    <w:rsid w:val="304271ED"/>
    <w:rsid w:val="30580BC9"/>
    <w:rsid w:val="3059427B"/>
    <w:rsid w:val="305C2FC6"/>
    <w:rsid w:val="305D500C"/>
    <w:rsid w:val="305F2FFB"/>
    <w:rsid w:val="306058C5"/>
    <w:rsid w:val="30631515"/>
    <w:rsid w:val="306453B6"/>
    <w:rsid w:val="30695770"/>
    <w:rsid w:val="307355F9"/>
    <w:rsid w:val="30753E90"/>
    <w:rsid w:val="30766E97"/>
    <w:rsid w:val="307C242D"/>
    <w:rsid w:val="307F3F9D"/>
    <w:rsid w:val="30801A0C"/>
    <w:rsid w:val="30817D16"/>
    <w:rsid w:val="30890978"/>
    <w:rsid w:val="308B46F0"/>
    <w:rsid w:val="308C66BA"/>
    <w:rsid w:val="309644F8"/>
    <w:rsid w:val="309D61D2"/>
    <w:rsid w:val="30A026E0"/>
    <w:rsid w:val="30A25EDE"/>
    <w:rsid w:val="30A9726C"/>
    <w:rsid w:val="30AF7BB1"/>
    <w:rsid w:val="30B22B0F"/>
    <w:rsid w:val="30B34DB1"/>
    <w:rsid w:val="30B718E5"/>
    <w:rsid w:val="30C012E1"/>
    <w:rsid w:val="30C20DE2"/>
    <w:rsid w:val="30C37755"/>
    <w:rsid w:val="30CB2D3F"/>
    <w:rsid w:val="30D02C0F"/>
    <w:rsid w:val="30DB0A51"/>
    <w:rsid w:val="30DF4A3C"/>
    <w:rsid w:val="30E17496"/>
    <w:rsid w:val="30E402A4"/>
    <w:rsid w:val="30E43E01"/>
    <w:rsid w:val="30E91417"/>
    <w:rsid w:val="30ED7159"/>
    <w:rsid w:val="30ED79BA"/>
    <w:rsid w:val="30F10FED"/>
    <w:rsid w:val="30F30104"/>
    <w:rsid w:val="30FF50DE"/>
    <w:rsid w:val="310049FD"/>
    <w:rsid w:val="31091AB9"/>
    <w:rsid w:val="31101099"/>
    <w:rsid w:val="31114307"/>
    <w:rsid w:val="311470F2"/>
    <w:rsid w:val="311E2ED7"/>
    <w:rsid w:val="31215055"/>
    <w:rsid w:val="31280191"/>
    <w:rsid w:val="312863E3"/>
    <w:rsid w:val="31294B7E"/>
    <w:rsid w:val="312B176A"/>
    <w:rsid w:val="312D57A8"/>
    <w:rsid w:val="31375A5B"/>
    <w:rsid w:val="313E07C1"/>
    <w:rsid w:val="31402DA4"/>
    <w:rsid w:val="31453C03"/>
    <w:rsid w:val="31482D42"/>
    <w:rsid w:val="314A45AB"/>
    <w:rsid w:val="314B20D2"/>
    <w:rsid w:val="315148F7"/>
    <w:rsid w:val="31532E23"/>
    <w:rsid w:val="315619EE"/>
    <w:rsid w:val="31574153"/>
    <w:rsid w:val="315C449C"/>
    <w:rsid w:val="31644D19"/>
    <w:rsid w:val="316466C6"/>
    <w:rsid w:val="31751578"/>
    <w:rsid w:val="3179279B"/>
    <w:rsid w:val="317D360B"/>
    <w:rsid w:val="318E3088"/>
    <w:rsid w:val="31901E9C"/>
    <w:rsid w:val="319121DA"/>
    <w:rsid w:val="31940792"/>
    <w:rsid w:val="319B6F8D"/>
    <w:rsid w:val="31A33CBC"/>
    <w:rsid w:val="31A61DD6"/>
    <w:rsid w:val="31A812D2"/>
    <w:rsid w:val="31AA6DF8"/>
    <w:rsid w:val="31AB2B70"/>
    <w:rsid w:val="31AE1873"/>
    <w:rsid w:val="31B82709"/>
    <w:rsid w:val="31BB0BC0"/>
    <w:rsid w:val="31BE5FE3"/>
    <w:rsid w:val="31C02740"/>
    <w:rsid w:val="31C0661C"/>
    <w:rsid w:val="31C14142"/>
    <w:rsid w:val="31C83EB2"/>
    <w:rsid w:val="31C872F8"/>
    <w:rsid w:val="31CF685F"/>
    <w:rsid w:val="31D05482"/>
    <w:rsid w:val="31D1502B"/>
    <w:rsid w:val="31D200FD"/>
    <w:rsid w:val="31D30B9E"/>
    <w:rsid w:val="31D8756B"/>
    <w:rsid w:val="31D976DD"/>
    <w:rsid w:val="31DA3958"/>
    <w:rsid w:val="31DF0A58"/>
    <w:rsid w:val="31E42C33"/>
    <w:rsid w:val="31EE68A5"/>
    <w:rsid w:val="31EF6F01"/>
    <w:rsid w:val="31F664E1"/>
    <w:rsid w:val="31F77B64"/>
    <w:rsid w:val="31F80B82"/>
    <w:rsid w:val="32035321"/>
    <w:rsid w:val="32087FC3"/>
    <w:rsid w:val="320B289A"/>
    <w:rsid w:val="320B2910"/>
    <w:rsid w:val="320F62E8"/>
    <w:rsid w:val="32140715"/>
    <w:rsid w:val="32144BB9"/>
    <w:rsid w:val="321921D0"/>
    <w:rsid w:val="321B63FB"/>
    <w:rsid w:val="321F3EBE"/>
    <w:rsid w:val="32204A65"/>
    <w:rsid w:val="32220EC5"/>
    <w:rsid w:val="32244DFC"/>
    <w:rsid w:val="322C509C"/>
    <w:rsid w:val="32316F1C"/>
    <w:rsid w:val="323A4CC3"/>
    <w:rsid w:val="323C1BAF"/>
    <w:rsid w:val="323D4FEB"/>
    <w:rsid w:val="323E39E4"/>
    <w:rsid w:val="32400B34"/>
    <w:rsid w:val="3241643E"/>
    <w:rsid w:val="324A2389"/>
    <w:rsid w:val="324D2459"/>
    <w:rsid w:val="324F3ED3"/>
    <w:rsid w:val="32512471"/>
    <w:rsid w:val="325154C6"/>
    <w:rsid w:val="32535D24"/>
    <w:rsid w:val="3265795A"/>
    <w:rsid w:val="32664ABA"/>
    <w:rsid w:val="326D0505"/>
    <w:rsid w:val="3273564B"/>
    <w:rsid w:val="327F0285"/>
    <w:rsid w:val="327F6CA0"/>
    <w:rsid w:val="32857CE4"/>
    <w:rsid w:val="3286409A"/>
    <w:rsid w:val="32897AE4"/>
    <w:rsid w:val="328E04C8"/>
    <w:rsid w:val="329055FB"/>
    <w:rsid w:val="32905708"/>
    <w:rsid w:val="32917FB8"/>
    <w:rsid w:val="32956EC4"/>
    <w:rsid w:val="3296737C"/>
    <w:rsid w:val="329A50BF"/>
    <w:rsid w:val="329E6876"/>
    <w:rsid w:val="32A35AD3"/>
    <w:rsid w:val="32A67A2B"/>
    <w:rsid w:val="32AB107A"/>
    <w:rsid w:val="32B74679"/>
    <w:rsid w:val="32BC3287"/>
    <w:rsid w:val="32C86FE3"/>
    <w:rsid w:val="32CB62C2"/>
    <w:rsid w:val="32CD0439"/>
    <w:rsid w:val="32CF7DD0"/>
    <w:rsid w:val="32D3412D"/>
    <w:rsid w:val="32D75F52"/>
    <w:rsid w:val="32DC56D7"/>
    <w:rsid w:val="32DD31FD"/>
    <w:rsid w:val="32E12CEE"/>
    <w:rsid w:val="32E807C0"/>
    <w:rsid w:val="32EE0F67"/>
    <w:rsid w:val="32F347CF"/>
    <w:rsid w:val="32F742BF"/>
    <w:rsid w:val="32FD1952"/>
    <w:rsid w:val="32FF1F75"/>
    <w:rsid w:val="32FF3876"/>
    <w:rsid w:val="33016F58"/>
    <w:rsid w:val="3309758F"/>
    <w:rsid w:val="330B3EFF"/>
    <w:rsid w:val="330C0FF8"/>
    <w:rsid w:val="330C350E"/>
    <w:rsid w:val="330C6C9B"/>
    <w:rsid w:val="3310161C"/>
    <w:rsid w:val="331A77C2"/>
    <w:rsid w:val="331D1E52"/>
    <w:rsid w:val="331D7A9E"/>
    <w:rsid w:val="33284891"/>
    <w:rsid w:val="332C6426"/>
    <w:rsid w:val="3330157F"/>
    <w:rsid w:val="333015F2"/>
    <w:rsid w:val="33333A89"/>
    <w:rsid w:val="333742B3"/>
    <w:rsid w:val="33380434"/>
    <w:rsid w:val="333E6D47"/>
    <w:rsid w:val="33414383"/>
    <w:rsid w:val="33423532"/>
    <w:rsid w:val="33435756"/>
    <w:rsid w:val="334B6320"/>
    <w:rsid w:val="334E7C57"/>
    <w:rsid w:val="33525999"/>
    <w:rsid w:val="33550FE6"/>
    <w:rsid w:val="33572FB0"/>
    <w:rsid w:val="3361798A"/>
    <w:rsid w:val="336442B8"/>
    <w:rsid w:val="336D0FFA"/>
    <w:rsid w:val="337771AE"/>
    <w:rsid w:val="33784CD4"/>
    <w:rsid w:val="33865058"/>
    <w:rsid w:val="338B4A07"/>
    <w:rsid w:val="338D4C23"/>
    <w:rsid w:val="338E62A6"/>
    <w:rsid w:val="33993129"/>
    <w:rsid w:val="33A0249C"/>
    <w:rsid w:val="33AF4B9A"/>
    <w:rsid w:val="33B51A84"/>
    <w:rsid w:val="33B57CD6"/>
    <w:rsid w:val="33C43F6C"/>
    <w:rsid w:val="33C7011B"/>
    <w:rsid w:val="33C76CDC"/>
    <w:rsid w:val="33CB74FA"/>
    <w:rsid w:val="33D16FF0"/>
    <w:rsid w:val="33D26ADA"/>
    <w:rsid w:val="33D6196F"/>
    <w:rsid w:val="33D934D4"/>
    <w:rsid w:val="33DC34B5"/>
    <w:rsid w:val="33DE0FDB"/>
    <w:rsid w:val="33DE56E7"/>
    <w:rsid w:val="33E33A03"/>
    <w:rsid w:val="33E660E2"/>
    <w:rsid w:val="33E77129"/>
    <w:rsid w:val="33FE2F6A"/>
    <w:rsid w:val="34017DC6"/>
    <w:rsid w:val="340E07E5"/>
    <w:rsid w:val="34120C85"/>
    <w:rsid w:val="34235BF7"/>
    <w:rsid w:val="342F02AC"/>
    <w:rsid w:val="342F5CDB"/>
    <w:rsid w:val="343261D9"/>
    <w:rsid w:val="34347D82"/>
    <w:rsid w:val="34352622"/>
    <w:rsid w:val="3437693D"/>
    <w:rsid w:val="34382F9E"/>
    <w:rsid w:val="34480B4A"/>
    <w:rsid w:val="344F012B"/>
    <w:rsid w:val="344F04C2"/>
    <w:rsid w:val="345179FF"/>
    <w:rsid w:val="34525525"/>
    <w:rsid w:val="34640C62"/>
    <w:rsid w:val="34645984"/>
    <w:rsid w:val="346911EC"/>
    <w:rsid w:val="346A0AC1"/>
    <w:rsid w:val="346C1981"/>
    <w:rsid w:val="347E456C"/>
    <w:rsid w:val="34854D79"/>
    <w:rsid w:val="348B1D21"/>
    <w:rsid w:val="34963664"/>
    <w:rsid w:val="349744F2"/>
    <w:rsid w:val="349A13A6"/>
    <w:rsid w:val="349D4D61"/>
    <w:rsid w:val="34A165BD"/>
    <w:rsid w:val="34A8146D"/>
    <w:rsid w:val="34A841CD"/>
    <w:rsid w:val="34A915E9"/>
    <w:rsid w:val="34A9783B"/>
    <w:rsid w:val="34AE3693"/>
    <w:rsid w:val="34B02F5C"/>
    <w:rsid w:val="34B359E3"/>
    <w:rsid w:val="34B73989"/>
    <w:rsid w:val="34B8182C"/>
    <w:rsid w:val="34BC2275"/>
    <w:rsid w:val="34C06933"/>
    <w:rsid w:val="34C127B3"/>
    <w:rsid w:val="34C47A32"/>
    <w:rsid w:val="34C67823"/>
    <w:rsid w:val="34CD158B"/>
    <w:rsid w:val="34D128EE"/>
    <w:rsid w:val="34DA1D12"/>
    <w:rsid w:val="34E152F0"/>
    <w:rsid w:val="34E50618"/>
    <w:rsid w:val="34E52D2A"/>
    <w:rsid w:val="34E83EDF"/>
    <w:rsid w:val="34EC50F6"/>
    <w:rsid w:val="34ED7EF4"/>
    <w:rsid w:val="34EE7003"/>
    <w:rsid w:val="34F17BD2"/>
    <w:rsid w:val="34F31C6D"/>
    <w:rsid w:val="34F32864"/>
    <w:rsid w:val="34F76C00"/>
    <w:rsid w:val="34F9181E"/>
    <w:rsid w:val="34FD1F97"/>
    <w:rsid w:val="34FD7B87"/>
    <w:rsid w:val="34FF745B"/>
    <w:rsid w:val="35006496"/>
    <w:rsid w:val="35011425"/>
    <w:rsid w:val="35061BEB"/>
    <w:rsid w:val="350835B7"/>
    <w:rsid w:val="350B5E00"/>
    <w:rsid w:val="3511718E"/>
    <w:rsid w:val="35162618"/>
    <w:rsid w:val="351A26AD"/>
    <w:rsid w:val="351A5B50"/>
    <w:rsid w:val="351A6687"/>
    <w:rsid w:val="351C625F"/>
    <w:rsid w:val="35280B04"/>
    <w:rsid w:val="35284ED7"/>
    <w:rsid w:val="352B64A2"/>
    <w:rsid w:val="35302879"/>
    <w:rsid w:val="353273FC"/>
    <w:rsid w:val="35336A8F"/>
    <w:rsid w:val="35352E7D"/>
    <w:rsid w:val="3536285A"/>
    <w:rsid w:val="35414E83"/>
    <w:rsid w:val="3547587F"/>
    <w:rsid w:val="35497529"/>
    <w:rsid w:val="354B26A0"/>
    <w:rsid w:val="3550415A"/>
    <w:rsid w:val="3555351F"/>
    <w:rsid w:val="355B43B6"/>
    <w:rsid w:val="355C48AD"/>
    <w:rsid w:val="355D3F38"/>
    <w:rsid w:val="355F439E"/>
    <w:rsid w:val="3562499E"/>
    <w:rsid w:val="35660394"/>
    <w:rsid w:val="356653D8"/>
    <w:rsid w:val="356B2D42"/>
    <w:rsid w:val="356C7BB0"/>
    <w:rsid w:val="357716E7"/>
    <w:rsid w:val="35775243"/>
    <w:rsid w:val="35777939"/>
    <w:rsid w:val="35797DA0"/>
    <w:rsid w:val="357A2F85"/>
    <w:rsid w:val="357A3318"/>
    <w:rsid w:val="357E0CC8"/>
    <w:rsid w:val="357F234A"/>
    <w:rsid w:val="3583008C"/>
    <w:rsid w:val="358362DE"/>
    <w:rsid w:val="35841462"/>
    <w:rsid w:val="358418FF"/>
    <w:rsid w:val="35845033"/>
    <w:rsid w:val="3586192A"/>
    <w:rsid w:val="358B5193"/>
    <w:rsid w:val="358C5FA8"/>
    <w:rsid w:val="359C73A0"/>
    <w:rsid w:val="359E4828"/>
    <w:rsid w:val="35A91D73"/>
    <w:rsid w:val="35AD5109"/>
    <w:rsid w:val="35B263A1"/>
    <w:rsid w:val="35B46497"/>
    <w:rsid w:val="35B6666C"/>
    <w:rsid w:val="35BC359E"/>
    <w:rsid w:val="35BE79BB"/>
    <w:rsid w:val="35C10BB4"/>
    <w:rsid w:val="35C15DF1"/>
    <w:rsid w:val="35C80195"/>
    <w:rsid w:val="35C975B9"/>
    <w:rsid w:val="35CA46A7"/>
    <w:rsid w:val="35CC0677"/>
    <w:rsid w:val="35CD1307"/>
    <w:rsid w:val="35CD57AB"/>
    <w:rsid w:val="35CE6E2D"/>
    <w:rsid w:val="35D46B3A"/>
    <w:rsid w:val="35D54660"/>
    <w:rsid w:val="35D5682F"/>
    <w:rsid w:val="35DA584C"/>
    <w:rsid w:val="35DC279E"/>
    <w:rsid w:val="35DE3514"/>
    <w:rsid w:val="35EA13B3"/>
    <w:rsid w:val="35EA1EB9"/>
    <w:rsid w:val="35ED7BFB"/>
    <w:rsid w:val="35EF5721"/>
    <w:rsid w:val="35F25212"/>
    <w:rsid w:val="35F57E0B"/>
    <w:rsid w:val="35F81A92"/>
    <w:rsid w:val="35FC1BEC"/>
    <w:rsid w:val="360311CD"/>
    <w:rsid w:val="36074A7F"/>
    <w:rsid w:val="36074B6F"/>
    <w:rsid w:val="36121410"/>
    <w:rsid w:val="36131B0B"/>
    <w:rsid w:val="3614411B"/>
    <w:rsid w:val="36154A5C"/>
    <w:rsid w:val="361707D4"/>
    <w:rsid w:val="361A4A58"/>
    <w:rsid w:val="36280C33"/>
    <w:rsid w:val="362A5FE2"/>
    <w:rsid w:val="36356EAC"/>
    <w:rsid w:val="363650FE"/>
    <w:rsid w:val="363C023B"/>
    <w:rsid w:val="363D4742"/>
    <w:rsid w:val="36405F1E"/>
    <w:rsid w:val="36462E68"/>
    <w:rsid w:val="3647517A"/>
    <w:rsid w:val="36484E32"/>
    <w:rsid w:val="364A4237"/>
    <w:rsid w:val="364A6DFC"/>
    <w:rsid w:val="36520DD3"/>
    <w:rsid w:val="36523A27"/>
    <w:rsid w:val="36577C54"/>
    <w:rsid w:val="365B2DB7"/>
    <w:rsid w:val="366F0610"/>
    <w:rsid w:val="367529DA"/>
    <w:rsid w:val="367914A0"/>
    <w:rsid w:val="36794FEB"/>
    <w:rsid w:val="367C137F"/>
    <w:rsid w:val="368C4D1E"/>
    <w:rsid w:val="368D02E5"/>
    <w:rsid w:val="368E0642"/>
    <w:rsid w:val="36910587"/>
    <w:rsid w:val="36923549"/>
    <w:rsid w:val="36962041"/>
    <w:rsid w:val="36963DEF"/>
    <w:rsid w:val="36B57D03"/>
    <w:rsid w:val="36B75FBF"/>
    <w:rsid w:val="36BA433B"/>
    <w:rsid w:val="36BD0C45"/>
    <w:rsid w:val="36C22631"/>
    <w:rsid w:val="36C3068E"/>
    <w:rsid w:val="36CD0C7C"/>
    <w:rsid w:val="36D13079"/>
    <w:rsid w:val="36D26D1E"/>
    <w:rsid w:val="36D668E1"/>
    <w:rsid w:val="36E27034"/>
    <w:rsid w:val="36E83F1F"/>
    <w:rsid w:val="36F4364C"/>
    <w:rsid w:val="36F9749B"/>
    <w:rsid w:val="36FA4E0F"/>
    <w:rsid w:val="36FF7BE6"/>
    <w:rsid w:val="37031712"/>
    <w:rsid w:val="37040D59"/>
    <w:rsid w:val="370945C1"/>
    <w:rsid w:val="370D0427"/>
    <w:rsid w:val="370F16D6"/>
    <w:rsid w:val="37130057"/>
    <w:rsid w:val="3713451D"/>
    <w:rsid w:val="37162EF3"/>
    <w:rsid w:val="371B2546"/>
    <w:rsid w:val="371C7816"/>
    <w:rsid w:val="371F7D04"/>
    <w:rsid w:val="37210568"/>
    <w:rsid w:val="37242211"/>
    <w:rsid w:val="372431A9"/>
    <w:rsid w:val="37265173"/>
    <w:rsid w:val="372D7FF2"/>
    <w:rsid w:val="373D070E"/>
    <w:rsid w:val="373D3165"/>
    <w:rsid w:val="374750E9"/>
    <w:rsid w:val="374B2E2B"/>
    <w:rsid w:val="374D7016"/>
    <w:rsid w:val="375515B4"/>
    <w:rsid w:val="37596BE7"/>
    <w:rsid w:val="375B2943"/>
    <w:rsid w:val="37611701"/>
    <w:rsid w:val="376173AC"/>
    <w:rsid w:val="37620175"/>
    <w:rsid w:val="37634349"/>
    <w:rsid w:val="376D0D73"/>
    <w:rsid w:val="3774188A"/>
    <w:rsid w:val="37814BF8"/>
    <w:rsid w:val="378241E9"/>
    <w:rsid w:val="37863E63"/>
    <w:rsid w:val="378A6E0D"/>
    <w:rsid w:val="37910ACC"/>
    <w:rsid w:val="379272E6"/>
    <w:rsid w:val="37950385"/>
    <w:rsid w:val="37971BCD"/>
    <w:rsid w:val="37991DE9"/>
    <w:rsid w:val="379C0B45"/>
    <w:rsid w:val="379C5435"/>
    <w:rsid w:val="37A02291"/>
    <w:rsid w:val="37A66995"/>
    <w:rsid w:val="37A8202C"/>
    <w:rsid w:val="37A94BA2"/>
    <w:rsid w:val="37AD1E60"/>
    <w:rsid w:val="37B6264F"/>
    <w:rsid w:val="37BB326A"/>
    <w:rsid w:val="37C4498C"/>
    <w:rsid w:val="37C7616F"/>
    <w:rsid w:val="37C869EA"/>
    <w:rsid w:val="37D13BC6"/>
    <w:rsid w:val="37D20015"/>
    <w:rsid w:val="37D344AD"/>
    <w:rsid w:val="37D70BC3"/>
    <w:rsid w:val="37D72911"/>
    <w:rsid w:val="37D83F93"/>
    <w:rsid w:val="37D96F9C"/>
    <w:rsid w:val="37DA5909"/>
    <w:rsid w:val="37DD32E2"/>
    <w:rsid w:val="37E00298"/>
    <w:rsid w:val="37E1109A"/>
    <w:rsid w:val="37E1553E"/>
    <w:rsid w:val="37E2174F"/>
    <w:rsid w:val="37E56DDC"/>
    <w:rsid w:val="37E80261"/>
    <w:rsid w:val="37EB3CC7"/>
    <w:rsid w:val="37EE37B7"/>
    <w:rsid w:val="37F20084"/>
    <w:rsid w:val="37F33DCA"/>
    <w:rsid w:val="38005022"/>
    <w:rsid w:val="38013777"/>
    <w:rsid w:val="38022469"/>
    <w:rsid w:val="380234E6"/>
    <w:rsid w:val="380413BF"/>
    <w:rsid w:val="38087231"/>
    <w:rsid w:val="380D0444"/>
    <w:rsid w:val="38187C25"/>
    <w:rsid w:val="382362EA"/>
    <w:rsid w:val="38273AE0"/>
    <w:rsid w:val="3828047D"/>
    <w:rsid w:val="382B2F5D"/>
    <w:rsid w:val="382D3204"/>
    <w:rsid w:val="382F26B3"/>
    <w:rsid w:val="383A5E3D"/>
    <w:rsid w:val="383E473E"/>
    <w:rsid w:val="38415FDC"/>
    <w:rsid w:val="38417D8A"/>
    <w:rsid w:val="38430930"/>
    <w:rsid w:val="38507965"/>
    <w:rsid w:val="3851621F"/>
    <w:rsid w:val="38561A88"/>
    <w:rsid w:val="38575800"/>
    <w:rsid w:val="386121DB"/>
    <w:rsid w:val="3863358F"/>
    <w:rsid w:val="3864073E"/>
    <w:rsid w:val="386B727B"/>
    <w:rsid w:val="386D0B7F"/>
    <w:rsid w:val="387328C9"/>
    <w:rsid w:val="387719FE"/>
    <w:rsid w:val="387800A4"/>
    <w:rsid w:val="38795776"/>
    <w:rsid w:val="387D27B9"/>
    <w:rsid w:val="38822931"/>
    <w:rsid w:val="388B64BB"/>
    <w:rsid w:val="388D2FD0"/>
    <w:rsid w:val="388F0AF6"/>
    <w:rsid w:val="389142C7"/>
    <w:rsid w:val="389205E6"/>
    <w:rsid w:val="3894378C"/>
    <w:rsid w:val="38966296"/>
    <w:rsid w:val="389A1363"/>
    <w:rsid w:val="389B1F7E"/>
    <w:rsid w:val="389E09C9"/>
    <w:rsid w:val="38AC16A8"/>
    <w:rsid w:val="38AD71CE"/>
    <w:rsid w:val="38B16CBE"/>
    <w:rsid w:val="38B302F9"/>
    <w:rsid w:val="38B36EDA"/>
    <w:rsid w:val="38B77CE5"/>
    <w:rsid w:val="38B95B73"/>
    <w:rsid w:val="38BC0459"/>
    <w:rsid w:val="38BD198E"/>
    <w:rsid w:val="38BE091C"/>
    <w:rsid w:val="38BE13DB"/>
    <w:rsid w:val="38C24E46"/>
    <w:rsid w:val="38C8225A"/>
    <w:rsid w:val="38C92167"/>
    <w:rsid w:val="38C9319D"/>
    <w:rsid w:val="38CA1425"/>
    <w:rsid w:val="38CA4224"/>
    <w:rsid w:val="38CF14E1"/>
    <w:rsid w:val="38CF183A"/>
    <w:rsid w:val="38D37892"/>
    <w:rsid w:val="38D91725"/>
    <w:rsid w:val="38E51487"/>
    <w:rsid w:val="38E65DD9"/>
    <w:rsid w:val="38EC7CF6"/>
    <w:rsid w:val="38F12CD3"/>
    <w:rsid w:val="38F142C0"/>
    <w:rsid w:val="38F17A02"/>
    <w:rsid w:val="38F244C5"/>
    <w:rsid w:val="38F31085"/>
    <w:rsid w:val="38F372D7"/>
    <w:rsid w:val="38F375F3"/>
    <w:rsid w:val="38F80D91"/>
    <w:rsid w:val="38F94775"/>
    <w:rsid w:val="38FC0F83"/>
    <w:rsid w:val="38FD1F03"/>
    <w:rsid w:val="39101DFC"/>
    <w:rsid w:val="39111E53"/>
    <w:rsid w:val="39140DAC"/>
    <w:rsid w:val="39162FC5"/>
    <w:rsid w:val="391B682D"/>
    <w:rsid w:val="391F7852"/>
    <w:rsid w:val="39203E44"/>
    <w:rsid w:val="392971ED"/>
    <w:rsid w:val="392A2FD2"/>
    <w:rsid w:val="392C29C6"/>
    <w:rsid w:val="392E47B3"/>
    <w:rsid w:val="3930052B"/>
    <w:rsid w:val="39325651"/>
    <w:rsid w:val="39333B77"/>
    <w:rsid w:val="39363667"/>
    <w:rsid w:val="39375D39"/>
    <w:rsid w:val="39395293"/>
    <w:rsid w:val="39396CB4"/>
    <w:rsid w:val="393D0552"/>
    <w:rsid w:val="39405540"/>
    <w:rsid w:val="39407539"/>
    <w:rsid w:val="39413A79"/>
    <w:rsid w:val="394C2E8B"/>
    <w:rsid w:val="39504729"/>
    <w:rsid w:val="3954364C"/>
    <w:rsid w:val="3956042C"/>
    <w:rsid w:val="3962620A"/>
    <w:rsid w:val="39676327"/>
    <w:rsid w:val="39680F50"/>
    <w:rsid w:val="396E3AC2"/>
    <w:rsid w:val="396E4BAF"/>
    <w:rsid w:val="39700E21"/>
    <w:rsid w:val="397612EC"/>
    <w:rsid w:val="397A79F8"/>
    <w:rsid w:val="397C551E"/>
    <w:rsid w:val="39825D37"/>
    <w:rsid w:val="3986495F"/>
    <w:rsid w:val="398E34A3"/>
    <w:rsid w:val="39916D64"/>
    <w:rsid w:val="399D7242"/>
    <w:rsid w:val="39A405D1"/>
    <w:rsid w:val="39AD1BA6"/>
    <w:rsid w:val="39B36C56"/>
    <w:rsid w:val="39B3709D"/>
    <w:rsid w:val="39B60304"/>
    <w:rsid w:val="39BA6046"/>
    <w:rsid w:val="39BB7972"/>
    <w:rsid w:val="39CB2002"/>
    <w:rsid w:val="39CB3DB0"/>
    <w:rsid w:val="39D07618"/>
    <w:rsid w:val="39D61F9D"/>
    <w:rsid w:val="39D776C2"/>
    <w:rsid w:val="39D80764"/>
    <w:rsid w:val="39DB7B85"/>
    <w:rsid w:val="39DF133D"/>
    <w:rsid w:val="39DF3CFF"/>
    <w:rsid w:val="39E35864"/>
    <w:rsid w:val="39E85508"/>
    <w:rsid w:val="39EC2F80"/>
    <w:rsid w:val="39EE64DB"/>
    <w:rsid w:val="39F72DF7"/>
    <w:rsid w:val="39FE4185"/>
    <w:rsid w:val="39FF1CAB"/>
    <w:rsid w:val="39FF7EFD"/>
    <w:rsid w:val="3A096AFB"/>
    <w:rsid w:val="3A0A7CB4"/>
    <w:rsid w:val="3A123FB6"/>
    <w:rsid w:val="3A1A0893"/>
    <w:rsid w:val="3A2160C5"/>
    <w:rsid w:val="3A267DA8"/>
    <w:rsid w:val="3A2B0CF2"/>
    <w:rsid w:val="3A2F2590"/>
    <w:rsid w:val="3A2F518E"/>
    <w:rsid w:val="3A3C2EFF"/>
    <w:rsid w:val="3A3E2F27"/>
    <w:rsid w:val="3A43603C"/>
    <w:rsid w:val="3A464844"/>
    <w:rsid w:val="3A467FF1"/>
    <w:rsid w:val="3A4C15CA"/>
    <w:rsid w:val="3A4F1AB9"/>
    <w:rsid w:val="3A507036"/>
    <w:rsid w:val="3A524858"/>
    <w:rsid w:val="3A533F40"/>
    <w:rsid w:val="3A6F6E31"/>
    <w:rsid w:val="3A7C32FC"/>
    <w:rsid w:val="3A80292E"/>
    <w:rsid w:val="3A872856"/>
    <w:rsid w:val="3A8B353F"/>
    <w:rsid w:val="3A8D72B7"/>
    <w:rsid w:val="3A9458DE"/>
    <w:rsid w:val="3A96260F"/>
    <w:rsid w:val="3A975DF9"/>
    <w:rsid w:val="3A9E3272"/>
    <w:rsid w:val="3AA0503A"/>
    <w:rsid w:val="3AA20FB4"/>
    <w:rsid w:val="3AA24006"/>
    <w:rsid w:val="3AA33AB5"/>
    <w:rsid w:val="3AA83D03"/>
    <w:rsid w:val="3AB577B2"/>
    <w:rsid w:val="3AB900AC"/>
    <w:rsid w:val="3ABB2076"/>
    <w:rsid w:val="3ABB3E24"/>
    <w:rsid w:val="3AC151B3"/>
    <w:rsid w:val="3AC3717D"/>
    <w:rsid w:val="3AC54CA3"/>
    <w:rsid w:val="3AD60C5E"/>
    <w:rsid w:val="3ADD6E62"/>
    <w:rsid w:val="3AE22668"/>
    <w:rsid w:val="3AE5322D"/>
    <w:rsid w:val="3AE570F3"/>
    <w:rsid w:val="3AE96BE3"/>
    <w:rsid w:val="3AEA4709"/>
    <w:rsid w:val="3AEB7108"/>
    <w:rsid w:val="3AF10756"/>
    <w:rsid w:val="3AF47336"/>
    <w:rsid w:val="3AF84CC0"/>
    <w:rsid w:val="3AFE1F63"/>
    <w:rsid w:val="3B003A67"/>
    <w:rsid w:val="3B004548"/>
    <w:rsid w:val="3B027CA5"/>
    <w:rsid w:val="3B037579"/>
    <w:rsid w:val="3B0449E1"/>
    <w:rsid w:val="3B051B7D"/>
    <w:rsid w:val="3B084B8F"/>
    <w:rsid w:val="3B091033"/>
    <w:rsid w:val="3B1663F2"/>
    <w:rsid w:val="3B166E68"/>
    <w:rsid w:val="3B190B4B"/>
    <w:rsid w:val="3B220A43"/>
    <w:rsid w:val="3B27171D"/>
    <w:rsid w:val="3B273268"/>
    <w:rsid w:val="3B293484"/>
    <w:rsid w:val="3B2A2D58"/>
    <w:rsid w:val="3B2C087E"/>
    <w:rsid w:val="3B362B15"/>
    <w:rsid w:val="3B3763D1"/>
    <w:rsid w:val="3B3812C8"/>
    <w:rsid w:val="3B3A078A"/>
    <w:rsid w:val="3B3F32BB"/>
    <w:rsid w:val="3B3F4A55"/>
    <w:rsid w:val="3B4200A1"/>
    <w:rsid w:val="3B4756B8"/>
    <w:rsid w:val="3B4958D4"/>
    <w:rsid w:val="3B4F19D5"/>
    <w:rsid w:val="3B57144D"/>
    <w:rsid w:val="3B573045"/>
    <w:rsid w:val="3B633E12"/>
    <w:rsid w:val="3B716BD9"/>
    <w:rsid w:val="3B7B4F7B"/>
    <w:rsid w:val="3B893F22"/>
    <w:rsid w:val="3B8E32E7"/>
    <w:rsid w:val="3B936ECA"/>
    <w:rsid w:val="3B954675"/>
    <w:rsid w:val="3B9652DE"/>
    <w:rsid w:val="3B98214E"/>
    <w:rsid w:val="3B9B6A03"/>
    <w:rsid w:val="3B9D79CE"/>
    <w:rsid w:val="3B9F54F4"/>
    <w:rsid w:val="3BA23236"/>
    <w:rsid w:val="3BA6165B"/>
    <w:rsid w:val="3BA64AD4"/>
    <w:rsid w:val="3BAC5E63"/>
    <w:rsid w:val="3BB0325D"/>
    <w:rsid w:val="3BB07701"/>
    <w:rsid w:val="3BB07762"/>
    <w:rsid w:val="3BB52F69"/>
    <w:rsid w:val="3BB54A60"/>
    <w:rsid w:val="3BB96A86"/>
    <w:rsid w:val="3BBC42F8"/>
    <w:rsid w:val="3BBC60A6"/>
    <w:rsid w:val="3BC66F24"/>
    <w:rsid w:val="3BC75D9D"/>
    <w:rsid w:val="3BC9680D"/>
    <w:rsid w:val="3BD94C62"/>
    <w:rsid w:val="3BDB619B"/>
    <w:rsid w:val="3BE15B0C"/>
    <w:rsid w:val="3BE23632"/>
    <w:rsid w:val="3BE56A31"/>
    <w:rsid w:val="3BE62D0E"/>
    <w:rsid w:val="3BE76F29"/>
    <w:rsid w:val="3BF21AC7"/>
    <w:rsid w:val="3BF221EF"/>
    <w:rsid w:val="3BF377E9"/>
    <w:rsid w:val="3BFC46F4"/>
    <w:rsid w:val="3BFD046C"/>
    <w:rsid w:val="3C0B0DDB"/>
    <w:rsid w:val="3C0B59C6"/>
    <w:rsid w:val="3C1321A5"/>
    <w:rsid w:val="3C1E5153"/>
    <w:rsid w:val="3C202B7C"/>
    <w:rsid w:val="3C2123AD"/>
    <w:rsid w:val="3C257806"/>
    <w:rsid w:val="3C293F6F"/>
    <w:rsid w:val="3C2F6E1E"/>
    <w:rsid w:val="3C300842"/>
    <w:rsid w:val="3C3420E0"/>
    <w:rsid w:val="3C366A87"/>
    <w:rsid w:val="3C370A88"/>
    <w:rsid w:val="3C3A452F"/>
    <w:rsid w:val="3C413397"/>
    <w:rsid w:val="3C4542ED"/>
    <w:rsid w:val="3C4937DA"/>
    <w:rsid w:val="3C4B7F1D"/>
    <w:rsid w:val="3C4F10AF"/>
    <w:rsid w:val="3C4F64BA"/>
    <w:rsid w:val="3C526F10"/>
    <w:rsid w:val="3C5344AD"/>
    <w:rsid w:val="3C5526D7"/>
    <w:rsid w:val="3C5C1637"/>
    <w:rsid w:val="3C5E715D"/>
    <w:rsid w:val="3C6F4AD6"/>
    <w:rsid w:val="3C706E90"/>
    <w:rsid w:val="3C771D3C"/>
    <w:rsid w:val="3C7B5B5E"/>
    <w:rsid w:val="3C7C5835"/>
    <w:rsid w:val="3C7D4FFA"/>
    <w:rsid w:val="3C7E77FF"/>
    <w:rsid w:val="3C832524"/>
    <w:rsid w:val="3C8B3CCA"/>
    <w:rsid w:val="3C8E79DF"/>
    <w:rsid w:val="3C925059"/>
    <w:rsid w:val="3C93000D"/>
    <w:rsid w:val="3C9943C8"/>
    <w:rsid w:val="3CA35A24"/>
    <w:rsid w:val="3CA803D8"/>
    <w:rsid w:val="3CAA23A2"/>
    <w:rsid w:val="3CB17EE6"/>
    <w:rsid w:val="3CB44FCF"/>
    <w:rsid w:val="3CBA2232"/>
    <w:rsid w:val="3CBB45AF"/>
    <w:rsid w:val="3CBE016E"/>
    <w:rsid w:val="3CC1149A"/>
    <w:rsid w:val="3CC35212"/>
    <w:rsid w:val="3CC855A0"/>
    <w:rsid w:val="3CD029E3"/>
    <w:rsid w:val="3CD76F0F"/>
    <w:rsid w:val="3CDA245A"/>
    <w:rsid w:val="3CE311B2"/>
    <w:rsid w:val="3CE31410"/>
    <w:rsid w:val="3CF0088C"/>
    <w:rsid w:val="3CF278A5"/>
    <w:rsid w:val="3CF81052"/>
    <w:rsid w:val="3CF962AB"/>
    <w:rsid w:val="3CFC3141"/>
    <w:rsid w:val="3D011E26"/>
    <w:rsid w:val="3D0137C6"/>
    <w:rsid w:val="3D031AB2"/>
    <w:rsid w:val="3D0A1093"/>
    <w:rsid w:val="3D0E59F4"/>
    <w:rsid w:val="3D0F737F"/>
    <w:rsid w:val="3D121CF5"/>
    <w:rsid w:val="3D123BCB"/>
    <w:rsid w:val="3D191E32"/>
    <w:rsid w:val="3D1E06B7"/>
    <w:rsid w:val="3D1E257B"/>
    <w:rsid w:val="3D1E68EC"/>
    <w:rsid w:val="3D1F7CE1"/>
    <w:rsid w:val="3D203927"/>
    <w:rsid w:val="3D204412"/>
    <w:rsid w:val="3D225E7D"/>
    <w:rsid w:val="3D25186F"/>
    <w:rsid w:val="3D271C45"/>
    <w:rsid w:val="3D286406"/>
    <w:rsid w:val="3D2C2DB7"/>
    <w:rsid w:val="3D2E3046"/>
    <w:rsid w:val="3D2E3DBF"/>
    <w:rsid w:val="3D3478E0"/>
    <w:rsid w:val="3D3507B9"/>
    <w:rsid w:val="3D3879AE"/>
    <w:rsid w:val="3D3B749E"/>
    <w:rsid w:val="3D3C1B2E"/>
    <w:rsid w:val="3D415C93"/>
    <w:rsid w:val="3D427D5D"/>
    <w:rsid w:val="3D452ED7"/>
    <w:rsid w:val="3D4C4A76"/>
    <w:rsid w:val="3D4D5B5D"/>
    <w:rsid w:val="3D4E5423"/>
    <w:rsid w:val="3D4E79D0"/>
    <w:rsid w:val="3D574181"/>
    <w:rsid w:val="3D5C3985"/>
    <w:rsid w:val="3D605AF2"/>
    <w:rsid w:val="3D695DB9"/>
    <w:rsid w:val="3D6E33D0"/>
    <w:rsid w:val="3D74650C"/>
    <w:rsid w:val="3D7606D4"/>
    <w:rsid w:val="3D7B4A66"/>
    <w:rsid w:val="3D8D1617"/>
    <w:rsid w:val="3D8D609A"/>
    <w:rsid w:val="3D9372DA"/>
    <w:rsid w:val="3D9425AC"/>
    <w:rsid w:val="3D974EEA"/>
    <w:rsid w:val="3D9A2417"/>
    <w:rsid w:val="3D9A7546"/>
    <w:rsid w:val="3D9C11F7"/>
    <w:rsid w:val="3D9D1F07"/>
    <w:rsid w:val="3DA037A5"/>
    <w:rsid w:val="3DA07301"/>
    <w:rsid w:val="3DAB63D2"/>
    <w:rsid w:val="3DB039E8"/>
    <w:rsid w:val="3DB159B2"/>
    <w:rsid w:val="3DB9425A"/>
    <w:rsid w:val="3DBB238D"/>
    <w:rsid w:val="3DBB771F"/>
    <w:rsid w:val="3DBF1E7D"/>
    <w:rsid w:val="3DBF668A"/>
    <w:rsid w:val="3DCD3FB6"/>
    <w:rsid w:val="3DCD678F"/>
    <w:rsid w:val="3DCE3E6E"/>
    <w:rsid w:val="3DD516A1"/>
    <w:rsid w:val="3DDE0603"/>
    <w:rsid w:val="3DE546C0"/>
    <w:rsid w:val="3DE6740A"/>
    <w:rsid w:val="3DE95753"/>
    <w:rsid w:val="3DE95C9F"/>
    <w:rsid w:val="3DEB6956"/>
    <w:rsid w:val="3DEC2EB6"/>
    <w:rsid w:val="3DEC562A"/>
    <w:rsid w:val="3DF25DB9"/>
    <w:rsid w:val="3DF820F2"/>
    <w:rsid w:val="3DF93DE0"/>
    <w:rsid w:val="3DF96E3A"/>
    <w:rsid w:val="3DFE25E4"/>
    <w:rsid w:val="3DFF102B"/>
    <w:rsid w:val="3E01686C"/>
    <w:rsid w:val="3E0344B3"/>
    <w:rsid w:val="3E0556A4"/>
    <w:rsid w:val="3E104487"/>
    <w:rsid w:val="3E121833"/>
    <w:rsid w:val="3E1321C9"/>
    <w:rsid w:val="3E156429"/>
    <w:rsid w:val="3E157254"/>
    <w:rsid w:val="3E157CEF"/>
    <w:rsid w:val="3E18333B"/>
    <w:rsid w:val="3E1A70B4"/>
    <w:rsid w:val="3E1C107E"/>
    <w:rsid w:val="3E26540F"/>
    <w:rsid w:val="3E285C74"/>
    <w:rsid w:val="3E292D54"/>
    <w:rsid w:val="3E29379B"/>
    <w:rsid w:val="3E2C2EB4"/>
    <w:rsid w:val="3E3068D7"/>
    <w:rsid w:val="3E321294"/>
    <w:rsid w:val="3E330175"/>
    <w:rsid w:val="3E35213F"/>
    <w:rsid w:val="3E3839DE"/>
    <w:rsid w:val="3E3A1504"/>
    <w:rsid w:val="3E3C050B"/>
    <w:rsid w:val="3E432C35"/>
    <w:rsid w:val="3E4660FB"/>
    <w:rsid w:val="3E4800C5"/>
    <w:rsid w:val="3E4B1963"/>
    <w:rsid w:val="3E566CAD"/>
    <w:rsid w:val="3E57744F"/>
    <w:rsid w:val="3E596C01"/>
    <w:rsid w:val="3E5973BD"/>
    <w:rsid w:val="3E5B104F"/>
    <w:rsid w:val="3E5D51F2"/>
    <w:rsid w:val="3E5F093C"/>
    <w:rsid w:val="3E69432C"/>
    <w:rsid w:val="3E6C59E0"/>
    <w:rsid w:val="3E707F93"/>
    <w:rsid w:val="3E74081F"/>
    <w:rsid w:val="3E776588"/>
    <w:rsid w:val="3E80785E"/>
    <w:rsid w:val="3E8611F6"/>
    <w:rsid w:val="3E8D4B08"/>
    <w:rsid w:val="3E990920"/>
    <w:rsid w:val="3E9E5F37"/>
    <w:rsid w:val="3EA22012"/>
    <w:rsid w:val="3EA37367"/>
    <w:rsid w:val="3EA6303D"/>
    <w:rsid w:val="3EA64DEB"/>
    <w:rsid w:val="3EAF1EF2"/>
    <w:rsid w:val="3EB62B11"/>
    <w:rsid w:val="3EB92D70"/>
    <w:rsid w:val="3EB94B1E"/>
    <w:rsid w:val="3EC731D4"/>
    <w:rsid w:val="3ECF128B"/>
    <w:rsid w:val="3ED075D4"/>
    <w:rsid w:val="3ED5122D"/>
    <w:rsid w:val="3ED65299"/>
    <w:rsid w:val="3ED92ACB"/>
    <w:rsid w:val="3EDA0523"/>
    <w:rsid w:val="3EE17BD1"/>
    <w:rsid w:val="3EE576C2"/>
    <w:rsid w:val="3EEA664C"/>
    <w:rsid w:val="3EEC4EF4"/>
    <w:rsid w:val="3EEC6CA2"/>
    <w:rsid w:val="3EEE3144"/>
    <w:rsid w:val="3EEF71F6"/>
    <w:rsid w:val="3EF21DDE"/>
    <w:rsid w:val="3EF47905"/>
    <w:rsid w:val="3EF66EFD"/>
    <w:rsid w:val="3EFC2C5D"/>
    <w:rsid w:val="3EFD0EAF"/>
    <w:rsid w:val="3EFF5D23"/>
    <w:rsid w:val="3F0264C5"/>
    <w:rsid w:val="3F034D2F"/>
    <w:rsid w:val="3F051B12"/>
    <w:rsid w:val="3F052E6A"/>
    <w:rsid w:val="3F125FDD"/>
    <w:rsid w:val="3F1862FB"/>
    <w:rsid w:val="3F1C079E"/>
    <w:rsid w:val="3F1C5311"/>
    <w:rsid w:val="3F204B9E"/>
    <w:rsid w:val="3F217C2E"/>
    <w:rsid w:val="3F233CB4"/>
    <w:rsid w:val="3F2C3542"/>
    <w:rsid w:val="3F2C64D9"/>
    <w:rsid w:val="3F2F3033"/>
    <w:rsid w:val="3F334164"/>
    <w:rsid w:val="3F3B19D7"/>
    <w:rsid w:val="3F3D222A"/>
    <w:rsid w:val="3F402B4A"/>
    <w:rsid w:val="3F406FEE"/>
    <w:rsid w:val="3F43263A"/>
    <w:rsid w:val="3F4737E3"/>
    <w:rsid w:val="3F4A39C9"/>
    <w:rsid w:val="3F5201EC"/>
    <w:rsid w:val="3F5406C8"/>
    <w:rsid w:val="3F5C0AB7"/>
    <w:rsid w:val="3F5D7C9F"/>
    <w:rsid w:val="3F636838"/>
    <w:rsid w:val="3F6B34B2"/>
    <w:rsid w:val="3F6E3B5B"/>
    <w:rsid w:val="3F7171A7"/>
    <w:rsid w:val="3F7667DD"/>
    <w:rsid w:val="3F7759E7"/>
    <w:rsid w:val="3F781B55"/>
    <w:rsid w:val="3F7B1DD4"/>
    <w:rsid w:val="3F827B6A"/>
    <w:rsid w:val="3F8539F8"/>
    <w:rsid w:val="3F8C2AC6"/>
    <w:rsid w:val="3F8E13F7"/>
    <w:rsid w:val="3F9115F7"/>
    <w:rsid w:val="3F917849"/>
    <w:rsid w:val="3F932A3E"/>
    <w:rsid w:val="3F9B06C8"/>
    <w:rsid w:val="3F9C31D5"/>
    <w:rsid w:val="3F9D61EE"/>
    <w:rsid w:val="3FA01B56"/>
    <w:rsid w:val="3FA04B59"/>
    <w:rsid w:val="3FA060B2"/>
    <w:rsid w:val="3FA22B90"/>
    <w:rsid w:val="3FA23805"/>
    <w:rsid w:val="3FA431BC"/>
    <w:rsid w:val="3FB12A0C"/>
    <w:rsid w:val="3FB157F6"/>
    <w:rsid w:val="3FB322F2"/>
    <w:rsid w:val="3FB377C0"/>
    <w:rsid w:val="3FB6105E"/>
    <w:rsid w:val="3FB77239"/>
    <w:rsid w:val="3FC4377B"/>
    <w:rsid w:val="3FC50A7D"/>
    <w:rsid w:val="3FCE0156"/>
    <w:rsid w:val="3FCF509C"/>
    <w:rsid w:val="3FD17EB9"/>
    <w:rsid w:val="3FDB69E9"/>
    <w:rsid w:val="3FE47979"/>
    <w:rsid w:val="3FE81FE4"/>
    <w:rsid w:val="3FEA6678"/>
    <w:rsid w:val="3FEB6F5A"/>
    <w:rsid w:val="3FED06D0"/>
    <w:rsid w:val="3FEE6A4A"/>
    <w:rsid w:val="3FF04570"/>
    <w:rsid w:val="3FFB4CC3"/>
    <w:rsid w:val="3FFC33CA"/>
    <w:rsid w:val="3FFC6AA9"/>
    <w:rsid w:val="4000567F"/>
    <w:rsid w:val="40074D52"/>
    <w:rsid w:val="400778EE"/>
    <w:rsid w:val="40077B0C"/>
    <w:rsid w:val="400A0B15"/>
    <w:rsid w:val="400C0C7E"/>
    <w:rsid w:val="4012492F"/>
    <w:rsid w:val="401631E4"/>
    <w:rsid w:val="401A15ED"/>
    <w:rsid w:val="401C2B1D"/>
    <w:rsid w:val="402045AD"/>
    <w:rsid w:val="402B1A4C"/>
    <w:rsid w:val="402E32EA"/>
    <w:rsid w:val="40324B88"/>
    <w:rsid w:val="40377318"/>
    <w:rsid w:val="40381597"/>
    <w:rsid w:val="40384243"/>
    <w:rsid w:val="404034E5"/>
    <w:rsid w:val="40407284"/>
    <w:rsid w:val="40416B7A"/>
    <w:rsid w:val="40420B44"/>
    <w:rsid w:val="404448BC"/>
    <w:rsid w:val="40452963"/>
    <w:rsid w:val="40460BE0"/>
    <w:rsid w:val="404B102A"/>
    <w:rsid w:val="404C569E"/>
    <w:rsid w:val="40575D69"/>
    <w:rsid w:val="405A5E8D"/>
    <w:rsid w:val="40604C5C"/>
    <w:rsid w:val="40644F5E"/>
    <w:rsid w:val="40672358"/>
    <w:rsid w:val="406805AA"/>
    <w:rsid w:val="406E7B8B"/>
    <w:rsid w:val="40754A75"/>
    <w:rsid w:val="4079782F"/>
    <w:rsid w:val="407A535C"/>
    <w:rsid w:val="407A6407"/>
    <w:rsid w:val="407C5E04"/>
    <w:rsid w:val="407E5835"/>
    <w:rsid w:val="407F58F4"/>
    <w:rsid w:val="407F76A2"/>
    <w:rsid w:val="408171DD"/>
    <w:rsid w:val="40896772"/>
    <w:rsid w:val="408B7F60"/>
    <w:rsid w:val="40907B01"/>
    <w:rsid w:val="409D1DE9"/>
    <w:rsid w:val="40A23744"/>
    <w:rsid w:val="40A37834"/>
    <w:rsid w:val="40A40C06"/>
    <w:rsid w:val="40A92F82"/>
    <w:rsid w:val="40AA20F5"/>
    <w:rsid w:val="40AF61D9"/>
    <w:rsid w:val="40BF0A0C"/>
    <w:rsid w:val="40BF6053"/>
    <w:rsid w:val="40C96B6F"/>
    <w:rsid w:val="40CA3013"/>
    <w:rsid w:val="40CD0775"/>
    <w:rsid w:val="40CD3EC6"/>
    <w:rsid w:val="40D73D29"/>
    <w:rsid w:val="40D91077"/>
    <w:rsid w:val="40DA0D7C"/>
    <w:rsid w:val="40DB5E0B"/>
    <w:rsid w:val="40DD183E"/>
    <w:rsid w:val="40DE6ABE"/>
    <w:rsid w:val="40E37C31"/>
    <w:rsid w:val="40E4515D"/>
    <w:rsid w:val="40E816EB"/>
    <w:rsid w:val="40ED7D5D"/>
    <w:rsid w:val="40F91D6E"/>
    <w:rsid w:val="40F94291"/>
    <w:rsid w:val="40FE2CBD"/>
    <w:rsid w:val="410236AA"/>
    <w:rsid w:val="41032081"/>
    <w:rsid w:val="41036525"/>
    <w:rsid w:val="411249BA"/>
    <w:rsid w:val="411307DB"/>
    <w:rsid w:val="41160006"/>
    <w:rsid w:val="41195D48"/>
    <w:rsid w:val="411C0819"/>
    <w:rsid w:val="41292928"/>
    <w:rsid w:val="41293E29"/>
    <w:rsid w:val="412D35A2"/>
    <w:rsid w:val="412F2E76"/>
    <w:rsid w:val="412F731A"/>
    <w:rsid w:val="41367318"/>
    <w:rsid w:val="41417FFF"/>
    <w:rsid w:val="41441235"/>
    <w:rsid w:val="41450AB0"/>
    <w:rsid w:val="41457A05"/>
    <w:rsid w:val="41472271"/>
    <w:rsid w:val="414A5F02"/>
    <w:rsid w:val="414B3D42"/>
    <w:rsid w:val="414C345E"/>
    <w:rsid w:val="414C3B4A"/>
    <w:rsid w:val="41596145"/>
    <w:rsid w:val="415C79E3"/>
    <w:rsid w:val="415D5C35"/>
    <w:rsid w:val="415E6EB8"/>
    <w:rsid w:val="41631EBB"/>
    <w:rsid w:val="416A65A4"/>
    <w:rsid w:val="416A7B46"/>
    <w:rsid w:val="416B0A29"/>
    <w:rsid w:val="41727207"/>
    <w:rsid w:val="41780CC1"/>
    <w:rsid w:val="418307EA"/>
    <w:rsid w:val="41886A2A"/>
    <w:rsid w:val="41A33677"/>
    <w:rsid w:val="41A55B96"/>
    <w:rsid w:val="41B1305B"/>
    <w:rsid w:val="41B51804"/>
    <w:rsid w:val="41BE02D2"/>
    <w:rsid w:val="41C0099D"/>
    <w:rsid w:val="41C23074"/>
    <w:rsid w:val="41CA69ED"/>
    <w:rsid w:val="41CE08E1"/>
    <w:rsid w:val="41CF0D50"/>
    <w:rsid w:val="41E35DF5"/>
    <w:rsid w:val="41E579D9"/>
    <w:rsid w:val="41E842F0"/>
    <w:rsid w:val="41F67E38"/>
    <w:rsid w:val="41FA1ECF"/>
    <w:rsid w:val="41FC1FB4"/>
    <w:rsid w:val="41FD51B5"/>
    <w:rsid w:val="41FF4F3E"/>
    <w:rsid w:val="4200449D"/>
    <w:rsid w:val="42024A2E"/>
    <w:rsid w:val="42054C8C"/>
    <w:rsid w:val="42075BA1"/>
    <w:rsid w:val="42083FDA"/>
    <w:rsid w:val="42113E21"/>
    <w:rsid w:val="4211578B"/>
    <w:rsid w:val="42140FEB"/>
    <w:rsid w:val="42167A81"/>
    <w:rsid w:val="42214167"/>
    <w:rsid w:val="42295B17"/>
    <w:rsid w:val="422B7AE1"/>
    <w:rsid w:val="422F6EA6"/>
    <w:rsid w:val="4232248C"/>
    <w:rsid w:val="42366486"/>
    <w:rsid w:val="423A3BCC"/>
    <w:rsid w:val="423A41C8"/>
    <w:rsid w:val="424262B6"/>
    <w:rsid w:val="424741EF"/>
    <w:rsid w:val="424E57D2"/>
    <w:rsid w:val="4251718A"/>
    <w:rsid w:val="425828A0"/>
    <w:rsid w:val="425A03C6"/>
    <w:rsid w:val="425C413F"/>
    <w:rsid w:val="425E6F62"/>
    <w:rsid w:val="425F2679"/>
    <w:rsid w:val="425F2F04"/>
    <w:rsid w:val="42611755"/>
    <w:rsid w:val="42642FF3"/>
    <w:rsid w:val="426A131F"/>
    <w:rsid w:val="42701998"/>
    <w:rsid w:val="42757563"/>
    <w:rsid w:val="428216CB"/>
    <w:rsid w:val="4288188D"/>
    <w:rsid w:val="428A301F"/>
    <w:rsid w:val="42903DE8"/>
    <w:rsid w:val="42925DB2"/>
    <w:rsid w:val="42935686"/>
    <w:rsid w:val="429531AD"/>
    <w:rsid w:val="429815E1"/>
    <w:rsid w:val="429827B8"/>
    <w:rsid w:val="42996501"/>
    <w:rsid w:val="42AC04F6"/>
    <w:rsid w:val="42AC54A2"/>
    <w:rsid w:val="42B26C49"/>
    <w:rsid w:val="42B45D29"/>
    <w:rsid w:val="42B52012"/>
    <w:rsid w:val="42BB0811"/>
    <w:rsid w:val="42C03047"/>
    <w:rsid w:val="42CE36A7"/>
    <w:rsid w:val="42D107B5"/>
    <w:rsid w:val="42D77201"/>
    <w:rsid w:val="42DA1507"/>
    <w:rsid w:val="42DE0CD7"/>
    <w:rsid w:val="42DE16E9"/>
    <w:rsid w:val="42E102FD"/>
    <w:rsid w:val="42E12404"/>
    <w:rsid w:val="42E15A85"/>
    <w:rsid w:val="42EB32CE"/>
    <w:rsid w:val="42EB54C2"/>
    <w:rsid w:val="42EF4FB3"/>
    <w:rsid w:val="42F500EF"/>
    <w:rsid w:val="42FF5749"/>
    <w:rsid w:val="4303099F"/>
    <w:rsid w:val="430A1DED"/>
    <w:rsid w:val="430D78DE"/>
    <w:rsid w:val="430E71C5"/>
    <w:rsid w:val="43165E98"/>
    <w:rsid w:val="431F43AB"/>
    <w:rsid w:val="432056A2"/>
    <w:rsid w:val="43212B41"/>
    <w:rsid w:val="43272395"/>
    <w:rsid w:val="43287AED"/>
    <w:rsid w:val="432945B7"/>
    <w:rsid w:val="432B1D63"/>
    <w:rsid w:val="432E715D"/>
    <w:rsid w:val="433131AA"/>
    <w:rsid w:val="43362BE2"/>
    <w:rsid w:val="43370708"/>
    <w:rsid w:val="4339622E"/>
    <w:rsid w:val="433A6FE6"/>
    <w:rsid w:val="433C2D74"/>
    <w:rsid w:val="433D3357"/>
    <w:rsid w:val="4344348C"/>
    <w:rsid w:val="43457534"/>
    <w:rsid w:val="434626F9"/>
    <w:rsid w:val="43480868"/>
    <w:rsid w:val="43490FBF"/>
    <w:rsid w:val="43493C8E"/>
    <w:rsid w:val="434951B8"/>
    <w:rsid w:val="43500374"/>
    <w:rsid w:val="4350713C"/>
    <w:rsid w:val="43595962"/>
    <w:rsid w:val="4365093B"/>
    <w:rsid w:val="436653E0"/>
    <w:rsid w:val="436F39FE"/>
    <w:rsid w:val="437012C7"/>
    <w:rsid w:val="43762FDE"/>
    <w:rsid w:val="4377078F"/>
    <w:rsid w:val="437B54F6"/>
    <w:rsid w:val="437D25BE"/>
    <w:rsid w:val="43851C29"/>
    <w:rsid w:val="43862537"/>
    <w:rsid w:val="43935C63"/>
    <w:rsid w:val="439B0BA5"/>
    <w:rsid w:val="439C056B"/>
    <w:rsid w:val="439D2DFF"/>
    <w:rsid w:val="439E791E"/>
    <w:rsid w:val="43A318F9"/>
    <w:rsid w:val="43AA712C"/>
    <w:rsid w:val="43AC3866"/>
    <w:rsid w:val="43B54465"/>
    <w:rsid w:val="43B6162D"/>
    <w:rsid w:val="43B81849"/>
    <w:rsid w:val="43B835F7"/>
    <w:rsid w:val="43C02452"/>
    <w:rsid w:val="43C060B4"/>
    <w:rsid w:val="43C4431A"/>
    <w:rsid w:val="43CA332A"/>
    <w:rsid w:val="43CC0E50"/>
    <w:rsid w:val="43CC52F4"/>
    <w:rsid w:val="43CF28BC"/>
    <w:rsid w:val="43D321DE"/>
    <w:rsid w:val="43D538CD"/>
    <w:rsid w:val="43DB04B6"/>
    <w:rsid w:val="43DD12AF"/>
    <w:rsid w:val="43DE21E6"/>
    <w:rsid w:val="43E4263E"/>
    <w:rsid w:val="43EB4717"/>
    <w:rsid w:val="43EE526A"/>
    <w:rsid w:val="43F263DD"/>
    <w:rsid w:val="43FB34E3"/>
    <w:rsid w:val="43FF6F09"/>
    <w:rsid w:val="44044A8E"/>
    <w:rsid w:val="44092ED5"/>
    <w:rsid w:val="440A2717"/>
    <w:rsid w:val="440B4568"/>
    <w:rsid w:val="440D3860"/>
    <w:rsid w:val="440E0C53"/>
    <w:rsid w:val="44150E0F"/>
    <w:rsid w:val="441E11B4"/>
    <w:rsid w:val="442361AF"/>
    <w:rsid w:val="44240C8C"/>
    <w:rsid w:val="442472A6"/>
    <w:rsid w:val="442713A6"/>
    <w:rsid w:val="44276F7A"/>
    <w:rsid w:val="442944F4"/>
    <w:rsid w:val="44296A60"/>
    <w:rsid w:val="442A0C98"/>
    <w:rsid w:val="44306E23"/>
    <w:rsid w:val="44357A2E"/>
    <w:rsid w:val="443B0AC0"/>
    <w:rsid w:val="44432F4C"/>
    <w:rsid w:val="444404EC"/>
    <w:rsid w:val="44507EC5"/>
    <w:rsid w:val="4452415D"/>
    <w:rsid w:val="4453331F"/>
    <w:rsid w:val="44557097"/>
    <w:rsid w:val="445950D3"/>
    <w:rsid w:val="445A2900"/>
    <w:rsid w:val="445F3A72"/>
    <w:rsid w:val="44615A3C"/>
    <w:rsid w:val="446217B4"/>
    <w:rsid w:val="446D2A1D"/>
    <w:rsid w:val="446E419E"/>
    <w:rsid w:val="4470786A"/>
    <w:rsid w:val="44773DC7"/>
    <w:rsid w:val="44794362"/>
    <w:rsid w:val="448F1469"/>
    <w:rsid w:val="44906321"/>
    <w:rsid w:val="44935E12"/>
    <w:rsid w:val="449B6F13"/>
    <w:rsid w:val="449F47B6"/>
    <w:rsid w:val="44A0089A"/>
    <w:rsid w:val="44A037CE"/>
    <w:rsid w:val="44AB543F"/>
    <w:rsid w:val="44AE0556"/>
    <w:rsid w:val="44AE0E14"/>
    <w:rsid w:val="44B060EA"/>
    <w:rsid w:val="44B33DBE"/>
    <w:rsid w:val="44B81283"/>
    <w:rsid w:val="44B951CC"/>
    <w:rsid w:val="44B95661"/>
    <w:rsid w:val="44BA6EFA"/>
    <w:rsid w:val="44C04D73"/>
    <w:rsid w:val="44C36FED"/>
    <w:rsid w:val="44C42B6A"/>
    <w:rsid w:val="44C47D79"/>
    <w:rsid w:val="44C90381"/>
    <w:rsid w:val="44CD14E0"/>
    <w:rsid w:val="44D83825"/>
    <w:rsid w:val="44D83E07"/>
    <w:rsid w:val="44E126D9"/>
    <w:rsid w:val="44E65F41"/>
    <w:rsid w:val="44E96119"/>
    <w:rsid w:val="44F04F4B"/>
    <w:rsid w:val="44F20B0B"/>
    <w:rsid w:val="44F63EA4"/>
    <w:rsid w:val="44F71A43"/>
    <w:rsid w:val="44F92119"/>
    <w:rsid w:val="44FE772F"/>
    <w:rsid w:val="4509658E"/>
    <w:rsid w:val="45097E82"/>
    <w:rsid w:val="450B6A36"/>
    <w:rsid w:val="450D1347"/>
    <w:rsid w:val="450E38CC"/>
    <w:rsid w:val="45153463"/>
    <w:rsid w:val="451A10CB"/>
    <w:rsid w:val="451E4D0E"/>
    <w:rsid w:val="45244CBC"/>
    <w:rsid w:val="45274794"/>
    <w:rsid w:val="452E5F4C"/>
    <w:rsid w:val="45321187"/>
    <w:rsid w:val="453273D9"/>
    <w:rsid w:val="45356EC9"/>
    <w:rsid w:val="453663E9"/>
    <w:rsid w:val="4537652B"/>
    <w:rsid w:val="453C3DB3"/>
    <w:rsid w:val="453F26E9"/>
    <w:rsid w:val="454366FA"/>
    <w:rsid w:val="454D26FF"/>
    <w:rsid w:val="45505F06"/>
    <w:rsid w:val="4555317F"/>
    <w:rsid w:val="45557BBB"/>
    <w:rsid w:val="455A2E42"/>
    <w:rsid w:val="455B4933"/>
    <w:rsid w:val="455F51E8"/>
    <w:rsid w:val="45603F46"/>
    <w:rsid w:val="45612018"/>
    <w:rsid w:val="45660E30"/>
    <w:rsid w:val="457903DE"/>
    <w:rsid w:val="45804F31"/>
    <w:rsid w:val="45835E86"/>
    <w:rsid w:val="458946E9"/>
    <w:rsid w:val="458D056E"/>
    <w:rsid w:val="458D0DE9"/>
    <w:rsid w:val="45925536"/>
    <w:rsid w:val="45934AF7"/>
    <w:rsid w:val="459E4A6E"/>
    <w:rsid w:val="45A26510"/>
    <w:rsid w:val="45A47C0E"/>
    <w:rsid w:val="45A51959"/>
    <w:rsid w:val="45A86E84"/>
    <w:rsid w:val="45AD70E0"/>
    <w:rsid w:val="45B1409B"/>
    <w:rsid w:val="45B918A8"/>
    <w:rsid w:val="45BD2F79"/>
    <w:rsid w:val="45C5024D"/>
    <w:rsid w:val="45D466E2"/>
    <w:rsid w:val="45DB7BF3"/>
    <w:rsid w:val="45E20144"/>
    <w:rsid w:val="45E948B1"/>
    <w:rsid w:val="45EB6494"/>
    <w:rsid w:val="45F97EF6"/>
    <w:rsid w:val="45FA05BD"/>
    <w:rsid w:val="46070113"/>
    <w:rsid w:val="46082702"/>
    <w:rsid w:val="460E1FB1"/>
    <w:rsid w:val="460F3276"/>
    <w:rsid w:val="461525E2"/>
    <w:rsid w:val="46177F8F"/>
    <w:rsid w:val="46184820"/>
    <w:rsid w:val="462250EE"/>
    <w:rsid w:val="462A3742"/>
    <w:rsid w:val="462B41E2"/>
    <w:rsid w:val="462B6B5F"/>
    <w:rsid w:val="46320AF8"/>
    <w:rsid w:val="46323946"/>
    <w:rsid w:val="46390CCA"/>
    <w:rsid w:val="463A326F"/>
    <w:rsid w:val="46410F44"/>
    <w:rsid w:val="464C1083"/>
    <w:rsid w:val="46530654"/>
    <w:rsid w:val="465515D1"/>
    <w:rsid w:val="465731F4"/>
    <w:rsid w:val="46577FD6"/>
    <w:rsid w:val="46584C1D"/>
    <w:rsid w:val="465B318B"/>
    <w:rsid w:val="465E69B3"/>
    <w:rsid w:val="465F62BF"/>
    <w:rsid w:val="4662484B"/>
    <w:rsid w:val="46641814"/>
    <w:rsid w:val="466510E8"/>
    <w:rsid w:val="466E1DD9"/>
    <w:rsid w:val="4674629A"/>
    <w:rsid w:val="467C75E4"/>
    <w:rsid w:val="467E1892"/>
    <w:rsid w:val="467F21AA"/>
    <w:rsid w:val="468365B4"/>
    <w:rsid w:val="46845A12"/>
    <w:rsid w:val="4685178A"/>
    <w:rsid w:val="46875502"/>
    <w:rsid w:val="46937228"/>
    <w:rsid w:val="4695545A"/>
    <w:rsid w:val="4697266F"/>
    <w:rsid w:val="46A458E3"/>
    <w:rsid w:val="46A936CA"/>
    <w:rsid w:val="46AB08C9"/>
    <w:rsid w:val="46B05C97"/>
    <w:rsid w:val="46B67B95"/>
    <w:rsid w:val="46C16C66"/>
    <w:rsid w:val="46C276CE"/>
    <w:rsid w:val="46C934D7"/>
    <w:rsid w:val="46CB755E"/>
    <w:rsid w:val="46CC1FB3"/>
    <w:rsid w:val="46CE4EDF"/>
    <w:rsid w:val="46D4544D"/>
    <w:rsid w:val="46D76D9C"/>
    <w:rsid w:val="46D83FB0"/>
    <w:rsid w:val="46D841BD"/>
    <w:rsid w:val="46D955A7"/>
    <w:rsid w:val="46E66013"/>
    <w:rsid w:val="46E722AE"/>
    <w:rsid w:val="46F2715E"/>
    <w:rsid w:val="46F30DEA"/>
    <w:rsid w:val="46F414DE"/>
    <w:rsid w:val="46F5246C"/>
    <w:rsid w:val="46FA1788"/>
    <w:rsid w:val="46FC5594"/>
    <w:rsid w:val="46FD4400"/>
    <w:rsid w:val="46FD6EB4"/>
    <w:rsid w:val="46FE3577"/>
    <w:rsid w:val="47003815"/>
    <w:rsid w:val="470657DD"/>
    <w:rsid w:val="470B4B04"/>
    <w:rsid w:val="470E79D1"/>
    <w:rsid w:val="47133957"/>
    <w:rsid w:val="4717258D"/>
    <w:rsid w:val="471A0124"/>
    <w:rsid w:val="471C616E"/>
    <w:rsid w:val="471F1BB5"/>
    <w:rsid w:val="472461ED"/>
    <w:rsid w:val="472B0583"/>
    <w:rsid w:val="472E2D47"/>
    <w:rsid w:val="4739367F"/>
    <w:rsid w:val="4739549D"/>
    <w:rsid w:val="473D3E13"/>
    <w:rsid w:val="474214B7"/>
    <w:rsid w:val="474433F3"/>
    <w:rsid w:val="47455236"/>
    <w:rsid w:val="474B29D4"/>
    <w:rsid w:val="4757001C"/>
    <w:rsid w:val="475C24EB"/>
    <w:rsid w:val="475F5F7C"/>
    <w:rsid w:val="476067BD"/>
    <w:rsid w:val="47611807"/>
    <w:rsid w:val="4767462D"/>
    <w:rsid w:val="477A1772"/>
    <w:rsid w:val="477B4A45"/>
    <w:rsid w:val="478302A1"/>
    <w:rsid w:val="47840D6F"/>
    <w:rsid w:val="47881934"/>
    <w:rsid w:val="478A7058"/>
    <w:rsid w:val="478C7274"/>
    <w:rsid w:val="479000C6"/>
    <w:rsid w:val="479223B1"/>
    <w:rsid w:val="479B1265"/>
    <w:rsid w:val="47A07E0C"/>
    <w:rsid w:val="47A24FAA"/>
    <w:rsid w:val="47A311C0"/>
    <w:rsid w:val="47B10C28"/>
    <w:rsid w:val="47B5004D"/>
    <w:rsid w:val="47B651CB"/>
    <w:rsid w:val="47B95B8F"/>
    <w:rsid w:val="47D25DFF"/>
    <w:rsid w:val="47D26E0C"/>
    <w:rsid w:val="47D64431"/>
    <w:rsid w:val="47D875B4"/>
    <w:rsid w:val="47D909D6"/>
    <w:rsid w:val="47E0311C"/>
    <w:rsid w:val="47E3640F"/>
    <w:rsid w:val="47EB15FB"/>
    <w:rsid w:val="47ED3A8B"/>
    <w:rsid w:val="47F93485"/>
    <w:rsid w:val="47FA426E"/>
    <w:rsid w:val="47FB4CF8"/>
    <w:rsid w:val="47FB7F56"/>
    <w:rsid w:val="48055B08"/>
    <w:rsid w:val="480C5CBF"/>
    <w:rsid w:val="480E14BE"/>
    <w:rsid w:val="48142DC6"/>
    <w:rsid w:val="481B11CD"/>
    <w:rsid w:val="4822140C"/>
    <w:rsid w:val="48240658"/>
    <w:rsid w:val="4824230B"/>
    <w:rsid w:val="482569A2"/>
    <w:rsid w:val="482D18B6"/>
    <w:rsid w:val="48313978"/>
    <w:rsid w:val="483403BD"/>
    <w:rsid w:val="48343954"/>
    <w:rsid w:val="483901D6"/>
    <w:rsid w:val="483B5DF0"/>
    <w:rsid w:val="48425B85"/>
    <w:rsid w:val="484C255F"/>
    <w:rsid w:val="484F69EF"/>
    <w:rsid w:val="48531B40"/>
    <w:rsid w:val="48547155"/>
    <w:rsid w:val="48547666"/>
    <w:rsid w:val="485674E5"/>
    <w:rsid w:val="485730A2"/>
    <w:rsid w:val="48584752"/>
    <w:rsid w:val="485D29BF"/>
    <w:rsid w:val="485F17DF"/>
    <w:rsid w:val="485F6737"/>
    <w:rsid w:val="48643D4D"/>
    <w:rsid w:val="486A0C38"/>
    <w:rsid w:val="486F3400"/>
    <w:rsid w:val="4870272E"/>
    <w:rsid w:val="48806453"/>
    <w:rsid w:val="48885E0A"/>
    <w:rsid w:val="488A3ABB"/>
    <w:rsid w:val="488F1EE9"/>
    <w:rsid w:val="489108BA"/>
    <w:rsid w:val="48926F12"/>
    <w:rsid w:val="4893018E"/>
    <w:rsid w:val="48934632"/>
    <w:rsid w:val="48946DE5"/>
    <w:rsid w:val="489E7916"/>
    <w:rsid w:val="48AD7568"/>
    <w:rsid w:val="48B10A89"/>
    <w:rsid w:val="48B50B74"/>
    <w:rsid w:val="48BF0F83"/>
    <w:rsid w:val="48C464DC"/>
    <w:rsid w:val="48CD75C0"/>
    <w:rsid w:val="48D47A82"/>
    <w:rsid w:val="48D6451F"/>
    <w:rsid w:val="48D8725E"/>
    <w:rsid w:val="48DD765B"/>
    <w:rsid w:val="48DF1625"/>
    <w:rsid w:val="48E91EBC"/>
    <w:rsid w:val="48E924A4"/>
    <w:rsid w:val="48E97BAB"/>
    <w:rsid w:val="48EA3157"/>
    <w:rsid w:val="48EB1D78"/>
    <w:rsid w:val="48EE5521"/>
    <w:rsid w:val="48F45F58"/>
    <w:rsid w:val="48F826E7"/>
    <w:rsid w:val="48FD385A"/>
    <w:rsid w:val="49042E3A"/>
    <w:rsid w:val="490966A2"/>
    <w:rsid w:val="490E1F0B"/>
    <w:rsid w:val="490E5DC7"/>
    <w:rsid w:val="49145FD1"/>
    <w:rsid w:val="491C0184"/>
    <w:rsid w:val="4925660E"/>
    <w:rsid w:val="49285078"/>
    <w:rsid w:val="49295ED6"/>
    <w:rsid w:val="49326638"/>
    <w:rsid w:val="493279A7"/>
    <w:rsid w:val="49364AC1"/>
    <w:rsid w:val="49366D6C"/>
    <w:rsid w:val="493A35E1"/>
    <w:rsid w:val="493D6C54"/>
    <w:rsid w:val="493F3E72"/>
    <w:rsid w:val="494219FE"/>
    <w:rsid w:val="494476DB"/>
    <w:rsid w:val="494B0A69"/>
    <w:rsid w:val="494B3BCB"/>
    <w:rsid w:val="494C03A8"/>
    <w:rsid w:val="49507E2D"/>
    <w:rsid w:val="495518E8"/>
    <w:rsid w:val="49556190"/>
    <w:rsid w:val="49577C74"/>
    <w:rsid w:val="495913D8"/>
    <w:rsid w:val="49614A25"/>
    <w:rsid w:val="49630A38"/>
    <w:rsid w:val="496911ED"/>
    <w:rsid w:val="49695393"/>
    <w:rsid w:val="496F7DF4"/>
    <w:rsid w:val="49796F4A"/>
    <w:rsid w:val="49843F7B"/>
    <w:rsid w:val="49883415"/>
    <w:rsid w:val="498A77E3"/>
    <w:rsid w:val="49914BE6"/>
    <w:rsid w:val="49956188"/>
    <w:rsid w:val="49967F1D"/>
    <w:rsid w:val="49975A5C"/>
    <w:rsid w:val="499A197B"/>
    <w:rsid w:val="499A554C"/>
    <w:rsid w:val="49A95790"/>
    <w:rsid w:val="49AE2DA6"/>
    <w:rsid w:val="49B11E26"/>
    <w:rsid w:val="49BC1967"/>
    <w:rsid w:val="49C01457"/>
    <w:rsid w:val="49C16F7D"/>
    <w:rsid w:val="49CB410E"/>
    <w:rsid w:val="49D22F38"/>
    <w:rsid w:val="49D7054F"/>
    <w:rsid w:val="49DA0653"/>
    <w:rsid w:val="49DA2C21"/>
    <w:rsid w:val="49DC1DE3"/>
    <w:rsid w:val="49DC7715"/>
    <w:rsid w:val="49DE01D4"/>
    <w:rsid w:val="49DF2CFA"/>
    <w:rsid w:val="49E82C88"/>
    <w:rsid w:val="49EA0282"/>
    <w:rsid w:val="49EA2030"/>
    <w:rsid w:val="49EB7487"/>
    <w:rsid w:val="49F337A2"/>
    <w:rsid w:val="49FC5C1D"/>
    <w:rsid w:val="49FD10A7"/>
    <w:rsid w:val="4A017DD0"/>
    <w:rsid w:val="4A02055D"/>
    <w:rsid w:val="4A023139"/>
    <w:rsid w:val="4A034605"/>
    <w:rsid w:val="4A044293"/>
    <w:rsid w:val="4A047074"/>
    <w:rsid w:val="4A050C18"/>
    <w:rsid w:val="4A061ED2"/>
    <w:rsid w:val="4A111CB3"/>
    <w:rsid w:val="4A113A61"/>
    <w:rsid w:val="4A123335"/>
    <w:rsid w:val="4A17094B"/>
    <w:rsid w:val="4A181CD1"/>
    <w:rsid w:val="4A184976"/>
    <w:rsid w:val="4A1A56BC"/>
    <w:rsid w:val="4A1E617D"/>
    <w:rsid w:val="4A210E8F"/>
    <w:rsid w:val="4A227A1C"/>
    <w:rsid w:val="4A230EA0"/>
    <w:rsid w:val="4A2319E6"/>
    <w:rsid w:val="4A253068"/>
    <w:rsid w:val="4A2A68D0"/>
    <w:rsid w:val="4A2F3EE7"/>
    <w:rsid w:val="4A314103"/>
    <w:rsid w:val="4A3572D7"/>
    <w:rsid w:val="4A385328"/>
    <w:rsid w:val="4A3D0A1C"/>
    <w:rsid w:val="4A461E3D"/>
    <w:rsid w:val="4A4831FA"/>
    <w:rsid w:val="4A4A1D57"/>
    <w:rsid w:val="4A4C6847"/>
    <w:rsid w:val="4A50597B"/>
    <w:rsid w:val="4A5120AF"/>
    <w:rsid w:val="4A530A8D"/>
    <w:rsid w:val="4A565917"/>
    <w:rsid w:val="4A595E27"/>
    <w:rsid w:val="4A5B4CDC"/>
    <w:rsid w:val="4A6515E6"/>
    <w:rsid w:val="4A653DAC"/>
    <w:rsid w:val="4A674244"/>
    <w:rsid w:val="4A6B226D"/>
    <w:rsid w:val="4A6C194E"/>
    <w:rsid w:val="4A6F1947"/>
    <w:rsid w:val="4A707442"/>
    <w:rsid w:val="4A710AA3"/>
    <w:rsid w:val="4A71143E"/>
    <w:rsid w:val="4A740312"/>
    <w:rsid w:val="4A767D68"/>
    <w:rsid w:val="4A7B576F"/>
    <w:rsid w:val="4A7B712C"/>
    <w:rsid w:val="4A7D2EA4"/>
    <w:rsid w:val="4A7E06C0"/>
    <w:rsid w:val="4A895CED"/>
    <w:rsid w:val="4A897999"/>
    <w:rsid w:val="4A8A6E3A"/>
    <w:rsid w:val="4A8D0910"/>
    <w:rsid w:val="4A8F4E20"/>
    <w:rsid w:val="4A9106FD"/>
    <w:rsid w:val="4A9224F4"/>
    <w:rsid w:val="4A9C3A16"/>
    <w:rsid w:val="4A9D3546"/>
    <w:rsid w:val="4AA9419A"/>
    <w:rsid w:val="4AAC3789"/>
    <w:rsid w:val="4AAE7501"/>
    <w:rsid w:val="4ABE06BB"/>
    <w:rsid w:val="4AC00FE3"/>
    <w:rsid w:val="4AC163C2"/>
    <w:rsid w:val="4AC46D25"/>
    <w:rsid w:val="4ACB3D7C"/>
    <w:rsid w:val="4ACB7475"/>
    <w:rsid w:val="4ACE1952"/>
    <w:rsid w:val="4ACF1226"/>
    <w:rsid w:val="4AD0601C"/>
    <w:rsid w:val="4AD2721F"/>
    <w:rsid w:val="4AD54880"/>
    <w:rsid w:val="4AE66C9B"/>
    <w:rsid w:val="4AEA2F72"/>
    <w:rsid w:val="4AF34F14"/>
    <w:rsid w:val="4AF561A9"/>
    <w:rsid w:val="4AFD386D"/>
    <w:rsid w:val="4B02784D"/>
    <w:rsid w:val="4B0521F5"/>
    <w:rsid w:val="4B0E61F2"/>
    <w:rsid w:val="4B195AFD"/>
    <w:rsid w:val="4B1A1EC0"/>
    <w:rsid w:val="4B1A561A"/>
    <w:rsid w:val="4B1C04F1"/>
    <w:rsid w:val="4B241572"/>
    <w:rsid w:val="4B2477C4"/>
    <w:rsid w:val="4B2A4224"/>
    <w:rsid w:val="4B2C05D3"/>
    <w:rsid w:val="4B2D169E"/>
    <w:rsid w:val="4B300EE9"/>
    <w:rsid w:val="4B3043BA"/>
    <w:rsid w:val="4B3612A5"/>
    <w:rsid w:val="4B367C72"/>
    <w:rsid w:val="4B3C4B1F"/>
    <w:rsid w:val="4B410375"/>
    <w:rsid w:val="4B413ED2"/>
    <w:rsid w:val="4B484598"/>
    <w:rsid w:val="4B4E0392"/>
    <w:rsid w:val="4B4E2A92"/>
    <w:rsid w:val="4B50680B"/>
    <w:rsid w:val="4B510C36"/>
    <w:rsid w:val="4B5138BB"/>
    <w:rsid w:val="4B5736F5"/>
    <w:rsid w:val="4B5B0D5A"/>
    <w:rsid w:val="4B5D16B0"/>
    <w:rsid w:val="4B616322"/>
    <w:rsid w:val="4B624F0F"/>
    <w:rsid w:val="4B663938"/>
    <w:rsid w:val="4B69167A"/>
    <w:rsid w:val="4B693428"/>
    <w:rsid w:val="4B6B0A45"/>
    <w:rsid w:val="4B6D116B"/>
    <w:rsid w:val="4B6E5086"/>
    <w:rsid w:val="4B772F07"/>
    <w:rsid w:val="4B7901ED"/>
    <w:rsid w:val="4B7A3887"/>
    <w:rsid w:val="4B7C576C"/>
    <w:rsid w:val="4B801973"/>
    <w:rsid w:val="4B8957F1"/>
    <w:rsid w:val="4B8A0D3C"/>
    <w:rsid w:val="4B8F3CDB"/>
    <w:rsid w:val="4B92472D"/>
    <w:rsid w:val="4B9762C0"/>
    <w:rsid w:val="4B986D1E"/>
    <w:rsid w:val="4B991F60"/>
    <w:rsid w:val="4B9B1698"/>
    <w:rsid w:val="4BA076B7"/>
    <w:rsid w:val="4BA83F51"/>
    <w:rsid w:val="4BAB3A41"/>
    <w:rsid w:val="4BAD47E4"/>
    <w:rsid w:val="4BB85F8B"/>
    <w:rsid w:val="4BBC3ECC"/>
    <w:rsid w:val="4BC220E1"/>
    <w:rsid w:val="4BC32EDC"/>
    <w:rsid w:val="4BC67321"/>
    <w:rsid w:val="4BD21234"/>
    <w:rsid w:val="4BD21F77"/>
    <w:rsid w:val="4BDE0179"/>
    <w:rsid w:val="4BF123A7"/>
    <w:rsid w:val="4BF34FB9"/>
    <w:rsid w:val="4BF86145"/>
    <w:rsid w:val="4C001FDF"/>
    <w:rsid w:val="4C0513A3"/>
    <w:rsid w:val="4C0C1D79"/>
    <w:rsid w:val="4C0F7AEF"/>
    <w:rsid w:val="4C194E4E"/>
    <w:rsid w:val="4C1D5FF9"/>
    <w:rsid w:val="4C25357F"/>
    <w:rsid w:val="4C2C208C"/>
    <w:rsid w:val="4C2C652A"/>
    <w:rsid w:val="4C2E7C1C"/>
    <w:rsid w:val="4C39729F"/>
    <w:rsid w:val="4C3C1AD4"/>
    <w:rsid w:val="4C3E2B07"/>
    <w:rsid w:val="4C403D10"/>
    <w:rsid w:val="4C417685"/>
    <w:rsid w:val="4C436F46"/>
    <w:rsid w:val="4C4634D7"/>
    <w:rsid w:val="4C4675FE"/>
    <w:rsid w:val="4C4A0649"/>
    <w:rsid w:val="4C4B4FE8"/>
    <w:rsid w:val="4C520360"/>
    <w:rsid w:val="4C545E87"/>
    <w:rsid w:val="4C5479B0"/>
    <w:rsid w:val="4C5C1239"/>
    <w:rsid w:val="4C5D11DF"/>
    <w:rsid w:val="4C6571B8"/>
    <w:rsid w:val="4C6755B6"/>
    <w:rsid w:val="4C6E5C70"/>
    <w:rsid w:val="4C7179D7"/>
    <w:rsid w:val="4C7C718B"/>
    <w:rsid w:val="4C7D53DD"/>
    <w:rsid w:val="4C7E5ECA"/>
    <w:rsid w:val="4C7F49C9"/>
    <w:rsid w:val="4C8526AF"/>
    <w:rsid w:val="4C854292"/>
    <w:rsid w:val="4C876AA5"/>
    <w:rsid w:val="4C8D3147"/>
    <w:rsid w:val="4C975D73"/>
    <w:rsid w:val="4C993E74"/>
    <w:rsid w:val="4C9B3A49"/>
    <w:rsid w:val="4C9B5863"/>
    <w:rsid w:val="4CA30BBC"/>
    <w:rsid w:val="4CAA1F4A"/>
    <w:rsid w:val="4CAB32E3"/>
    <w:rsid w:val="4CB62B2D"/>
    <w:rsid w:val="4CB66B41"/>
    <w:rsid w:val="4CB85EE9"/>
    <w:rsid w:val="4CC23686"/>
    <w:rsid w:val="4CC254E6"/>
    <w:rsid w:val="4CC92607"/>
    <w:rsid w:val="4CCB737A"/>
    <w:rsid w:val="4CCF19B1"/>
    <w:rsid w:val="4CCF58EA"/>
    <w:rsid w:val="4CD17B99"/>
    <w:rsid w:val="4CD7651E"/>
    <w:rsid w:val="4CDC5ED5"/>
    <w:rsid w:val="4CE21E44"/>
    <w:rsid w:val="4CE44DB6"/>
    <w:rsid w:val="4CEA4ADF"/>
    <w:rsid w:val="4CEC7770"/>
    <w:rsid w:val="4CED3B14"/>
    <w:rsid w:val="4CF136D5"/>
    <w:rsid w:val="4CF938F5"/>
    <w:rsid w:val="4CFC657A"/>
    <w:rsid w:val="4D006D97"/>
    <w:rsid w:val="4D027E1D"/>
    <w:rsid w:val="4D072EF9"/>
    <w:rsid w:val="4D073FAA"/>
    <w:rsid w:val="4D0B0C3B"/>
    <w:rsid w:val="4D0C5369"/>
    <w:rsid w:val="4D0E00FB"/>
    <w:rsid w:val="4D0E6A52"/>
    <w:rsid w:val="4D101778"/>
    <w:rsid w:val="4D176606"/>
    <w:rsid w:val="4D1846D0"/>
    <w:rsid w:val="4D221AE1"/>
    <w:rsid w:val="4D2717ED"/>
    <w:rsid w:val="4D2939AA"/>
    <w:rsid w:val="4D2D1641"/>
    <w:rsid w:val="4D326766"/>
    <w:rsid w:val="4D341814"/>
    <w:rsid w:val="4D355CB8"/>
    <w:rsid w:val="4D384E95"/>
    <w:rsid w:val="4D3B3F70"/>
    <w:rsid w:val="4D3D10E9"/>
    <w:rsid w:val="4D4375FC"/>
    <w:rsid w:val="4D4555F6"/>
    <w:rsid w:val="4D4E0723"/>
    <w:rsid w:val="4D5C3245"/>
    <w:rsid w:val="4D5E064B"/>
    <w:rsid w:val="4D622825"/>
    <w:rsid w:val="4D643CDE"/>
    <w:rsid w:val="4D6A0A55"/>
    <w:rsid w:val="4D6E11CA"/>
    <w:rsid w:val="4D6E4D26"/>
    <w:rsid w:val="4D6F454C"/>
    <w:rsid w:val="4D7465DE"/>
    <w:rsid w:val="4D7C0195"/>
    <w:rsid w:val="4D7E2637"/>
    <w:rsid w:val="4D8131B7"/>
    <w:rsid w:val="4D846871"/>
    <w:rsid w:val="4D870D8D"/>
    <w:rsid w:val="4D870E9B"/>
    <w:rsid w:val="4D8B4139"/>
    <w:rsid w:val="4D8F743A"/>
    <w:rsid w:val="4D977BC7"/>
    <w:rsid w:val="4D993218"/>
    <w:rsid w:val="4D9F18C1"/>
    <w:rsid w:val="4DA0163A"/>
    <w:rsid w:val="4DAC584E"/>
    <w:rsid w:val="4DAE7818"/>
    <w:rsid w:val="4DB03590"/>
    <w:rsid w:val="4DB55A2C"/>
    <w:rsid w:val="4DC1579E"/>
    <w:rsid w:val="4DC1754C"/>
    <w:rsid w:val="4DD612B3"/>
    <w:rsid w:val="4DDB0D98"/>
    <w:rsid w:val="4DDB4BBC"/>
    <w:rsid w:val="4DDE00FE"/>
    <w:rsid w:val="4DDF54F9"/>
    <w:rsid w:val="4DE44086"/>
    <w:rsid w:val="4DE52D23"/>
    <w:rsid w:val="4DEB6377"/>
    <w:rsid w:val="4DEC4FB0"/>
    <w:rsid w:val="4DED0138"/>
    <w:rsid w:val="4DEF53A0"/>
    <w:rsid w:val="4DF12BD9"/>
    <w:rsid w:val="4DF27705"/>
    <w:rsid w:val="4DF33B05"/>
    <w:rsid w:val="4DF83498"/>
    <w:rsid w:val="4DFA2A5E"/>
    <w:rsid w:val="4DFF1E8B"/>
    <w:rsid w:val="4E02343A"/>
    <w:rsid w:val="4E075D8A"/>
    <w:rsid w:val="4E08517B"/>
    <w:rsid w:val="4E131240"/>
    <w:rsid w:val="4E21078A"/>
    <w:rsid w:val="4E217FEA"/>
    <w:rsid w:val="4E234B23"/>
    <w:rsid w:val="4E261AA5"/>
    <w:rsid w:val="4E2B1EB6"/>
    <w:rsid w:val="4E2D46F7"/>
    <w:rsid w:val="4E2D6F34"/>
    <w:rsid w:val="4E2F5F0F"/>
    <w:rsid w:val="4E3046D1"/>
    <w:rsid w:val="4E382BE8"/>
    <w:rsid w:val="4E395334"/>
    <w:rsid w:val="4E3A621D"/>
    <w:rsid w:val="4E3B6791"/>
    <w:rsid w:val="4E3C3076"/>
    <w:rsid w:val="4E3C4E24"/>
    <w:rsid w:val="4E4B5067"/>
    <w:rsid w:val="4E4C150B"/>
    <w:rsid w:val="4E4D2773"/>
    <w:rsid w:val="4E524648"/>
    <w:rsid w:val="4E586B64"/>
    <w:rsid w:val="4E593C28"/>
    <w:rsid w:val="4E5D650F"/>
    <w:rsid w:val="4E612ADD"/>
    <w:rsid w:val="4E637DE8"/>
    <w:rsid w:val="4E680C1E"/>
    <w:rsid w:val="4E6A527E"/>
    <w:rsid w:val="4E6C5482"/>
    <w:rsid w:val="4E6F7F33"/>
    <w:rsid w:val="4E760168"/>
    <w:rsid w:val="4E772300"/>
    <w:rsid w:val="4E7F6E5E"/>
    <w:rsid w:val="4E824F2D"/>
    <w:rsid w:val="4E8A5B90"/>
    <w:rsid w:val="4E905954"/>
    <w:rsid w:val="4E9A5E2F"/>
    <w:rsid w:val="4E9B3F1C"/>
    <w:rsid w:val="4EAD187E"/>
    <w:rsid w:val="4EB26E94"/>
    <w:rsid w:val="4EB32F14"/>
    <w:rsid w:val="4EB52124"/>
    <w:rsid w:val="4EC00FAD"/>
    <w:rsid w:val="4EC12B2C"/>
    <w:rsid w:val="4EC13C9E"/>
    <w:rsid w:val="4EC41DC4"/>
    <w:rsid w:val="4EC61D60"/>
    <w:rsid w:val="4EC80E89"/>
    <w:rsid w:val="4EC866B8"/>
    <w:rsid w:val="4ECC6D94"/>
    <w:rsid w:val="4ED22589"/>
    <w:rsid w:val="4ED35661"/>
    <w:rsid w:val="4EE94FAC"/>
    <w:rsid w:val="4EEA4174"/>
    <w:rsid w:val="4EEA4880"/>
    <w:rsid w:val="4EED611E"/>
    <w:rsid w:val="4EF16274"/>
    <w:rsid w:val="4EF86F9D"/>
    <w:rsid w:val="4EFE3C60"/>
    <w:rsid w:val="4F0079E0"/>
    <w:rsid w:val="4F086393"/>
    <w:rsid w:val="4F0C2B5C"/>
    <w:rsid w:val="4F0C42E9"/>
    <w:rsid w:val="4F0D1B7B"/>
    <w:rsid w:val="4F15559D"/>
    <w:rsid w:val="4F165675"/>
    <w:rsid w:val="4F1A33B7"/>
    <w:rsid w:val="4F235F46"/>
    <w:rsid w:val="4F290873"/>
    <w:rsid w:val="4F2A01EE"/>
    <w:rsid w:val="4F2B2B76"/>
    <w:rsid w:val="4F310701"/>
    <w:rsid w:val="4F372CC3"/>
    <w:rsid w:val="4F3854C4"/>
    <w:rsid w:val="4F391364"/>
    <w:rsid w:val="4F3B7C8E"/>
    <w:rsid w:val="4F3D0E54"/>
    <w:rsid w:val="4F3E697A"/>
    <w:rsid w:val="4F400944"/>
    <w:rsid w:val="4F42646A"/>
    <w:rsid w:val="4F586DEA"/>
    <w:rsid w:val="4F5950E5"/>
    <w:rsid w:val="4F5D4C99"/>
    <w:rsid w:val="4F651160"/>
    <w:rsid w:val="4F701D2A"/>
    <w:rsid w:val="4F710AFD"/>
    <w:rsid w:val="4F734E61"/>
    <w:rsid w:val="4F756840"/>
    <w:rsid w:val="4F7A5DF1"/>
    <w:rsid w:val="4F7E0975"/>
    <w:rsid w:val="4F86410B"/>
    <w:rsid w:val="4F871DE5"/>
    <w:rsid w:val="4F8C3B89"/>
    <w:rsid w:val="4F8E5B53"/>
    <w:rsid w:val="4F953265"/>
    <w:rsid w:val="4F9843DC"/>
    <w:rsid w:val="4F9D0C0C"/>
    <w:rsid w:val="4FA03191"/>
    <w:rsid w:val="4FA71BCA"/>
    <w:rsid w:val="4FAA3277"/>
    <w:rsid w:val="4FAA51A5"/>
    <w:rsid w:val="4FAA530F"/>
    <w:rsid w:val="4FAB7475"/>
    <w:rsid w:val="4FAD5FDA"/>
    <w:rsid w:val="4FB258BC"/>
    <w:rsid w:val="4FB8672C"/>
    <w:rsid w:val="4FBA20F2"/>
    <w:rsid w:val="4FBC621D"/>
    <w:rsid w:val="4FBD3D43"/>
    <w:rsid w:val="4FC220E3"/>
    <w:rsid w:val="4FC43323"/>
    <w:rsid w:val="4FC62A8C"/>
    <w:rsid w:val="4FC772AC"/>
    <w:rsid w:val="4FC926E8"/>
    <w:rsid w:val="4FCA3829"/>
    <w:rsid w:val="4FCF4503"/>
    <w:rsid w:val="4FD5400F"/>
    <w:rsid w:val="4FE1650A"/>
    <w:rsid w:val="4FE20F0D"/>
    <w:rsid w:val="4FE51552"/>
    <w:rsid w:val="4FE575A3"/>
    <w:rsid w:val="4FED6FA2"/>
    <w:rsid w:val="4FF17F6E"/>
    <w:rsid w:val="4FF503BD"/>
    <w:rsid w:val="4FF534DD"/>
    <w:rsid w:val="4FF712F5"/>
    <w:rsid w:val="4FFA4F97"/>
    <w:rsid w:val="4FFC486B"/>
    <w:rsid w:val="4FFD305E"/>
    <w:rsid w:val="4FFE4A87"/>
    <w:rsid w:val="50085545"/>
    <w:rsid w:val="5012408F"/>
    <w:rsid w:val="50132425"/>
    <w:rsid w:val="50151DD1"/>
    <w:rsid w:val="501A5E6C"/>
    <w:rsid w:val="501E3E9C"/>
    <w:rsid w:val="501E5494"/>
    <w:rsid w:val="502618E8"/>
    <w:rsid w:val="50295500"/>
    <w:rsid w:val="502C0397"/>
    <w:rsid w:val="5032028D"/>
    <w:rsid w:val="50373AF5"/>
    <w:rsid w:val="50377F99"/>
    <w:rsid w:val="50402532"/>
    <w:rsid w:val="50493828"/>
    <w:rsid w:val="504A1A7A"/>
    <w:rsid w:val="504D307D"/>
    <w:rsid w:val="504D50C7"/>
    <w:rsid w:val="504F7091"/>
    <w:rsid w:val="50500441"/>
    <w:rsid w:val="50504C4B"/>
    <w:rsid w:val="50593A6B"/>
    <w:rsid w:val="50597678"/>
    <w:rsid w:val="505E37B1"/>
    <w:rsid w:val="50696E2E"/>
    <w:rsid w:val="507B4F96"/>
    <w:rsid w:val="507C3BFE"/>
    <w:rsid w:val="507C775A"/>
    <w:rsid w:val="508036EE"/>
    <w:rsid w:val="50850D04"/>
    <w:rsid w:val="5086130F"/>
    <w:rsid w:val="508B0EE7"/>
    <w:rsid w:val="508B5BEF"/>
    <w:rsid w:val="508C5413"/>
    <w:rsid w:val="508E2890"/>
    <w:rsid w:val="508E3509"/>
    <w:rsid w:val="50926F7D"/>
    <w:rsid w:val="509C6E7C"/>
    <w:rsid w:val="509E1DC6"/>
    <w:rsid w:val="50A15412"/>
    <w:rsid w:val="50B33A15"/>
    <w:rsid w:val="50C9527D"/>
    <w:rsid w:val="50CA2BBB"/>
    <w:rsid w:val="50D106E5"/>
    <w:rsid w:val="50D37CC2"/>
    <w:rsid w:val="50D43A3A"/>
    <w:rsid w:val="50D54727"/>
    <w:rsid w:val="50D650BC"/>
    <w:rsid w:val="50D77086"/>
    <w:rsid w:val="50DA1089"/>
    <w:rsid w:val="50DB6B76"/>
    <w:rsid w:val="50E33C7D"/>
    <w:rsid w:val="50E377D9"/>
    <w:rsid w:val="50E7551B"/>
    <w:rsid w:val="50E772C9"/>
    <w:rsid w:val="50F30636"/>
    <w:rsid w:val="50F44A9D"/>
    <w:rsid w:val="50F6575E"/>
    <w:rsid w:val="50FE5D3D"/>
    <w:rsid w:val="510A6DE4"/>
    <w:rsid w:val="510C6A50"/>
    <w:rsid w:val="510F4A72"/>
    <w:rsid w:val="510F6820"/>
    <w:rsid w:val="51152F96"/>
    <w:rsid w:val="511610B5"/>
    <w:rsid w:val="5119398D"/>
    <w:rsid w:val="511D718F"/>
    <w:rsid w:val="512027DB"/>
    <w:rsid w:val="512322CB"/>
    <w:rsid w:val="512353A3"/>
    <w:rsid w:val="512646CD"/>
    <w:rsid w:val="51276FF3"/>
    <w:rsid w:val="512D4760"/>
    <w:rsid w:val="512D4762"/>
    <w:rsid w:val="51304D2D"/>
    <w:rsid w:val="51346287"/>
    <w:rsid w:val="514143E2"/>
    <w:rsid w:val="51432280"/>
    <w:rsid w:val="51457355"/>
    <w:rsid w:val="514E10F6"/>
    <w:rsid w:val="51517C3A"/>
    <w:rsid w:val="51532795"/>
    <w:rsid w:val="51563C65"/>
    <w:rsid w:val="515661FD"/>
    <w:rsid w:val="515C49C2"/>
    <w:rsid w:val="515E2011"/>
    <w:rsid w:val="5162104E"/>
    <w:rsid w:val="516613C8"/>
    <w:rsid w:val="51736DAF"/>
    <w:rsid w:val="517C75D2"/>
    <w:rsid w:val="517D5E7F"/>
    <w:rsid w:val="51840FBC"/>
    <w:rsid w:val="51844B18"/>
    <w:rsid w:val="51860D3F"/>
    <w:rsid w:val="5187285A"/>
    <w:rsid w:val="518C1C1F"/>
    <w:rsid w:val="518C5779"/>
    <w:rsid w:val="51960CEF"/>
    <w:rsid w:val="51975088"/>
    <w:rsid w:val="519A258E"/>
    <w:rsid w:val="519D1737"/>
    <w:rsid w:val="51A61F98"/>
    <w:rsid w:val="51B010A1"/>
    <w:rsid w:val="51B27247"/>
    <w:rsid w:val="51B35558"/>
    <w:rsid w:val="51B50CE4"/>
    <w:rsid w:val="51B578E7"/>
    <w:rsid w:val="51B7313F"/>
    <w:rsid w:val="51B940F4"/>
    <w:rsid w:val="51BF3DA2"/>
    <w:rsid w:val="51C04E17"/>
    <w:rsid w:val="51C27D36"/>
    <w:rsid w:val="51C554AF"/>
    <w:rsid w:val="51C710A1"/>
    <w:rsid w:val="51C732EE"/>
    <w:rsid w:val="51D13AD5"/>
    <w:rsid w:val="51DD06CC"/>
    <w:rsid w:val="51DD214D"/>
    <w:rsid w:val="51E001DA"/>
    <w:rsid w:val="51E11F6A"/>
    <w:rsid w:val="51EC4E24"/>
    <w:rsid w:val="51F60A51"/>
    <w:rsid w:val="51F6353C"/>
    <w:rsid w:val="51F872B4"/>
    <w:rsid w:val="51FA5EEB"/>
    <w:rsid w:val="51FC6DA4"/>
    <w:rsid w:val="51FE0D6E"/>
    <w:rsid w:val="51FE786D"/>
    <w:rsid w:val="51FF0643"/>
    <w:rsid w:val="51FF7084"/>
    <w:rsid w:val="52045688"/>
    <w:rsid w:val="5212175A"/>
    <w:rsid w:val="521656D1"/>
    <w:rsid w:val="521A0616"/>
    <w:rsid w:val="521C7446"/>
    <w:rsid w:val="521D6E27"/>
    <w:rsid w:val="521F2376"/>
    <w:rsid w:val="521F2A93"/>
    <w:rsid w:val="52253BD5"/>
    <w:rsid w:val="52265350"/>
    <w:rsid w:val="52267AA3"/>
    <w:rsid w:val="52304CA0"/>
    <w:rsid w:val="523429E2"/>
    <w:rsid w:val="523A78CD"/>
    <w:rsid w:val="523C1897"/>
    <w:rsid w:val="523F1387"/>
    <w:rsid w:val="52444D2C"/>
    <w:rsid w:val="524E02C5"/>
    <w:rsid w:val="52500E9E"/>
    <w:rsid w:val="525151DD"/>
    <w:rsid w:val="525C2209"/>
    <w:rsid w:val="52610D67"/>
    <w:rsid w:val="5263737E"/>
    <w:rsid w:val="52640B80"/>
    <w:rsid w:val="5264494A"/>
    <w:rsid w:val="526A7CDF"/>
    <w:rsid w:val="526B217C"/>
    <w:rsid w:val="526D37FE"/>
    <w:rsid w:val="527208FC"/>
    <w:rsid w:val="527805D2"/>
    <w:rsid w:val="527C5B30"/>
    <w:rsid w:val="527F0D08"/>
    <w:rsid w:val="52872F5F"/>
    <w:rsid w:val="528A1A8A"/>
    <w:rsid w:val="528B5F65"/>
    <w:rsid w:val="528C06A5"/>
    <w:rsid w:val="528C45CC"/>
    <w:rsid w:val="529214B7"/>
    <w:rsid w:val="52950FA7"/>
    <w:rsid w:val="5295500F"/>
    <w:rsid w:val="52981582"/>
    <w:rsid w:val="52A5743C"/>
    <w:rsid w:val="52A642BD"/>
    <w:rsid w:val="52AB48FB"/>
    <w:rsid w:val="52AE4AE4"/>
    <w:rsid w:val="52B21B59"/>
    <w:rsid w:val="52B534C8"/>
    <w:rsid w:val="52BA27BB"/>
    <w:rsid w:val="52BD36EC"/>
    <w:rsid w:val="52C535BF"/>
    <w:rsid w:val="52CB2EA1"/>
    <w:rsid w:val="52CB3281"/>
    <w:rsid w:val="52D424A3"/>
    <w:rsid w:val="52D7511B"/>
    <w:rsid w:val="52D764AD"/>
    <w:rsid w:val="52DA4A7E"/>
    <w:rsid w:val="52E635B0"/>
    <w:rsid w:val="52E91706"/>
    <w:rsid w:val="52EC6E19"/>
    <w:rsid w:val="52EF6909"/>
    <w:rsid w:val="52F32B1B"/>
    <w:rsid w:val="52F43F1F"/>
    <w:rsid w:val="52F775D7"/>
    <w:rsid w:val="52F932E4"/>
    <w:rsid w:val="52FE08FA"/>
    <w:rsid w:val="53001CBD"/>
    <w:rsid w:val="530524D1"/>
    <w:rsid w:val="530B7849"/>
    <w:rsid w:val="530C1887"/>
    <w:rsid w:val="530F6FAB"/>
    <w:rsid w:val="53165ACD"/>
    <w:rsid w:val="5323375D"/>
    <w:rsid w:val="532365B3"/>
    <w:rsid w:val="5326046A"/>
    <w:rsid w:val="53290398"/>
    <w:rsid w:val="53291D44"/>
    <w:rsid w:val="532A03F7"/>
    <w:rsid w:val="53345D64"/>
    <w:rsid w:val="53367966"/>
    <w:rsid w:val="53385ED7"/>
    <w:rsid w:val="533B7DA0"/>
    <w:rsid w:val="5345333A"/>
    <w:rsid w:val="53513120"/>
    <w:rsid w:val="53536C33"/>
    <w:rsid w:val="53536E98"/>
    <w:rsid w:val="535449BE"/>
    <w:rsid w:val="53590226"/>
    <w:rsid w:val="535A6478"/>
    <w:rsid w:val="535B2858"/>
    <w:rsid w:val="535D3873"/>
    <w:rsid w:val="535E75EB"/>
    <w:rsid w:val="53603363"/>
    <w:rsid w:val="53672943"/>
    <w:rsid w:val="53746F88"/>
    <w:rsid w:val="53755688"/>
    <w:rsid w:val="53760DD8"/>
    <w:rsid w:val="537868DB"/>
    <w:rsid w:val="537B678C"/>
    <w:rsid w:val="53832456"/>
    <w:rsid w:val="53867734"/>
    <w:rsid w:val="538B008B"/>
    <w:rsid w:val="538F0EB4"/>
    <w:rsid w:val="53906AF0"/>
    <w:rsid w:val="5391176E"/>
    <w:rsid w:val="53924AD9"/>
    <w:rsid w:val="539354E6"/>
    <w:rsid w:val="5394222F"/>
    <w:rsid w:val="53963229"/>
    <w:rsid w:val="539E0C5C"/>
    <w:rsid w:val="53A039CC"/>
    <w:rsid w:val="53A1505A"/>
    <w:rsid w:val="53A176F2"/>
    <w:rsid w:val="53A33245"/>
    <w:rsid w:val="53AA20F6"/>
    <w:rsid w:val="53AA69BC"/>
    <w:rsid w:val="53AC65A8"/>
    <w:rsid w:val="53AE40CE"/>
    <w:rsid w:val="53B2032E"/>
    <w:rsid w:val="53B74085"/>
    <w:rsid w:val="53BC0303"/>
    <w:rsid w:val="53BC2C8F"/>
    <w:rsid w:val="53C03D13"/>
    <w:rsid w:val="53C3156D"/>
    <w:rsid w:val="53CE6E32"/>
    <w:rsid w:val="53D17CA8"/>
    <w:rsid w:val="53D42E9C"/>
    <w:rsid w:val="53D722CD"/>
    <w:rsid w:val="53DA6B55"/>
    <w:rsid w:val="53DD07F9"/>
    <w:rsid w:val="53E13EF1"/>
    <w:rsid w:val="53F73CC7"/>
    <w:rsid w:val="53F81F38"/>
    <w:rsid w:val="53FE377E"/>
    <w:rsid w:val="540177F1"/>
    <w:rsid w:val="5403095E"/>
    <w:rsid w:val="54063E08"/>
    <w:rsid w:val="540722D6"/>
    <w:rsid w:val="540C5299"/>
    <w:rsid w:val="54115E18"/>
    <w:rsid w:val="541224FD"/>
    <w:rsid w:val="541B1C18"/>
    <w:rsid w:val="541B7982"/>
    <w:rsid w:val="54212E7B"/>
    <w:rsid w:val="54224ABC"/>
    <w:rsid w:val="5426587E"/>
    <w:rsid w:val="54297BF9"/>
    <w:rsid w:val="542C43EF"/>
    <w:rsid w:val="542C65D7"/>
    <w:rsid w:val="54300F87"/>
    <w:rsid w:val="54311940"/>
    <w:rsid w:val="543437E8"/>
    <w:rsid w:val="54343E0A"/>
    <w:rsid w:val="54361761"/>
    <w:rsid w:val="54367A9B"/>
    <w:rsid w:val="543D1818"/>
    <w:rsid w:val="54402158"/>
    <w:rsid w:val="54442658"/>
    <w:rsid w:val="54461839"/>
    <w:rsid w:val="54464BBC"/>
    <w:rsid w:val="54495C05"/>
    <w:rsid w:val="544A35EC"/>
    <w:rsid w:val="544D2410"/>
    <w:rsid w:val="54531554"/>
    <w:rsid w:val="5454733B"/>
    <w:rsid w:val="54571DEF"/>
    <w:rsid w:val="545C0DEF"/>
    <w:rsid w:val="546267E5"/>
    <w:rsid w:val="5464633E"/>
    <w:rsid w:val="546724CF"/>
    <w:rsid w:val="54761616"/>
    <w:rsid w:val="547D3F6F"/>
    <w:rsid w:val="547F222C"/>
    <w:rsid w:val="548070A5"/>
    <w:rsid w:val="548331D0"/>
    <w:rsid w:val="54882AE2"/>
    <w:rsid w:val="548B7A74"/>
    <w:rsid w:val="549E2395"/>
    <w:rsid w:val="54A66005"/>
    <w:rsid w:val="54AA5156"/>
    <w:rsid w:val="54B02B7F"/>
    <w:rsid w:val="54B139D4"/>
    <w:rsid w:val="54B9075C"/>
    <w:rsid w:val="54B95421"/>
    <w:rsid w:val="54BA2F6A"/>
    <w:rsid w:val="54BE2761"/>
    <w:rsid w:val="54BF230B"/>
    <w:rsid w:val="54C25410"/>
    <w:rsid w:val="54C31DFB"/>
    <w:rsid w:val="54C41444"/>
    <w:rsid w:val="54C4542D"/>
    <w:rsid w:val="54C625D1"/>
    <w:rsid w:val="54C94F38"/>
    <w:rsid w:val="54CF69F2"/>
    <w:rsid w:val="54DC0F5A"/>
    <w:rsid w:val="54DF070E"/>
    <w:rsid w:val="54E0475B"/>
    <w:rsid w:val="54E2628C"/>
    <w:rsid w:val="54F16968"/>
    <w:rsid w:val="54F73313"/>
    <w:rsid w:val="54F80955"/>
    <w:rsid w:val="5502690E"/>
    <w:rsid w:val="550565D4"/>
    <w:rsid w:val="55081F04"/>
    <w:rsid w:val="55083CB2"/>
    <w:rsid w:val="55102B67"/>
    <w:rsid w:val="55126BCE"/>
    <w:rsid w:val="55191A1B"/>
    <w:rsid w:val="551D6150"/>
    <w:rsid w:val="551E34D6"/>
    <w:rsid w:val="55230AEC"/>
    <w:rsid w:val="55264138"/>
    <w:rsid w:val="552A00CC"/>
    <w:rsid w:val="552A3C28"/>
    <w:rsid w:val="552B79A7"/>
    <w:rsid w:val="552C3FC0"/>
    <w:rsid w:val="552D3719"/>
    <w:rsid w:val="552F3B91"/>
    <w:rsid w:val="553108D0"/>
    <w:rsid w:val="55342CF9"/>
    <w:rsid w:val="55344AA7"/>
    <w:rsid w:val="553625CD"/>
    <w:rsid w:val="553E0825"/>
    <w:rsid w:val="553E6AE1"/>
    <w:rsid w:val="554271C4"/>
    <w:rsid w:val="554525D7"/>
    <w:rsid w:val="55452810"/>
    <w:rsid w:val="554A22E8"/>
    <w:rsid w:val="554A42CB"/>
    <w:rsid w:val="554E679D"/>
    <w:rsid w:val="555170A7"/>
    <w:rsid w:val="555313D1"/>
    <w:rsid w:val="555B1898"/>
    <w:rsid w:val="55627866"/>
    <w:rsid w:val="556F3D31"/>
    <w:rsid w:val="55713605"/>
    <w:rsid w:val="55747BA2"/>
    <w:rsid w:val="5576721A"/>
    <w:rsid w:val="557E6A07"/>
    <w:rsid w:val="55801A9A"/>
    <w:rsid w:val="55842EA5"/>
    <w:rsid w:val="5587536D"/>
    <w:rsid w:val="558B3AB9"/>
    <w:rsid w:val="558E406F"/>
    <w:rsid w:val="558F2CFC"/>
    <w:rsid w:val="55965FBE"/>
    <w:rsid w:val="559B174B"/>
    <w:rsid w:val="559D264C"/>
    <w:rsid w:val="55A0038E"/>
    <w:rsid w:val="55A559A5"/>
    <w:rsid w:val="55A863DE"/>
    <w:rsid w:val="55AA2FBB"/>
    <w:rsid w:val="55AD03B6"/>
    <w:rsid w:val="55AF2380"/>
    <w:rsid w:val="55AF412E"/>
    <w:rsid w:val="55B53A58"/>
    <w:rsid w:val="55B77F4B"/>
    <w:rsid w:val="55BB22CC"/>
    <w:rsid w:val="55BB5265"/>
    <w:rsid w:val="55BD5D60"/>
    <w:rsid w:val="55C0534A"/>
    <w:rsid w:val="55C45E2B"/>
    <w:rsid w:val="55C66E05"/>
    <w:rsid w:val="55CA2593"/>
    <w:rsid w:val="55CA55F7"/>
    <w:rsid w:val="55CD1223"/>
    <w:rsid w:val="55CE0CF4"/>
    <w:rsid w:val="55CE6CAA"/>
    <w:rsid w:val="55CF4C1F"/>
    <w:rsid w:val="55D04FA7"/>
    <w:rsid w:val="55E41916"/>
    <w:rsid w:val="55E7347A"/>
    <w:rsid w:val="55E860FF"/>
    <w:rsid w:val="55EA2C6D"/>
    <w:rsid w:val="55F14DEF"/>
    <w:rsid w:val="55F72C7F"/>
    <w:rsid w:val="55F935FB"/>
    <w:rsid w:val="55FB55C5"/>
    <w:rsid w:val="55FD133D"/>
    <w:rsid w:val="55FF100C"/>
    <w:rsid w:val="56020701"/>
    <w:rsid w:val="56045FCA"/>
    <w:rsid w:val="56073F6A"/>
    <w:rsid w:val="56097CE2"/>
    <w:rsid w:val="560E6A1A"/>
    <w:rsid w:val="5611195D"/>
    <w:rsid w:val="56161C92"/>
    <w:rsid w:val="56193438"/>
    <w:rsid w:val="561C7481"/>
    <w:rsid w:val="561F5757"/>
    <w:rsid w:val="56242D6E"/>
    <w:rsid w:val="562468CA"/>
    <w:rsid w:val="56251B57"/>
    <w:rsid w:val="562B64D0"/>
    <w:rsid w:val="56316AFA"/>
    <w:rsid w:val="56352885"/>
    <w:rsid w:val="56356D29"/>
    <w:rsid w:val="563A2710"/>
    <w:rsid w:val="56494582"/>
    <w:rsid w:val="565151E5"/>
    <w:rsid w:val="56575846"/>
    <w:rsid w:val="56575CED"/>
    <w:rsid w:val="5659026C"/>
    <w:rsid w:val="565C2507"/>
    <w:rsid w:val="565D1DDC"/>
    <w:rsid w:val="56672A0E"/>
    <w:rsid w:val="566A4EFD"/>
    <w:rsid w:val="567158A4"/>
    <w:rsid w:val="567333AD"/>
    <w:rsid w:val="567B1C1A"/>
    <w:rsid w:val="567C04B4"/>
    <w:rsid w:val="567C094D"/>
    <w:rsid w:val="568140A3"/>
    <w:rsid w:val="56835CE6"/>
    <w:rsid w:val="56867584"/>
    <w:rsid w:val="56890E23"/>
    <w:rsid w:val="56921A85"/>
    <w:rsid w:val="56956DCB"/>
    <w:rsid w:val="56982E14"/>
    <w:rsid w:val="569956F7"/>
    <w:rsid w:val="569C1432"/>
    <w:rsid w:val="569C36DF"/>
    <w:rsid w:val="569D6990"/>
    <w:rsid w:val="569F1F43"/>
    <w:rsid w:val="56A3487D"/>
    <w:rsid w:val="56A74DC4"/>
    <w:rsid w:val="56AC0382"/>
    <w:rsid w:val="56AC3CDF"/>
    <w:rsid w:val="56B22A9C"/>
    <w:rsid w:val="56B52866"/>
    <w:rsid w:val="56B67742"/>
    <w:rsid w:val="56BC6B02"/>
    <w:rsid w:val="56C60329"/>
    <w:rsid w:val="56C835DF"/>
    <w:rsid w:val="56CA56C3"/>
    <w:rsid w:val="56CE1E94"/>
    <w:rsid w:val="56D05411"/>
    <w:rsid w:val="56DF3F35"/>
    <w:rsid w:val="56E46059"/>
    <w:rsid w:val="56EC5303"/>
    <w:rsid w:val="56EE10A3"/>
    <w:rsid w:val="56EE6C55"/>
    <w:rsid w:val="56EF512A"/>
    <w:rsid w:val="56FB2053"/>
    <w:rsid w:val="570105FA"/>
    <w:rsid w:val="570A502D"/>
    <w:rsid w:val="570B1838"/>
    <w:rsid w:val="570B2A97"/>
    <w:rsid w:val="57160908"/>
    <w:rsid w:val="5717642E"/>
    <w:rsid w:val="571F3872"/>
    <w:rsid w:val="571F75A1"/>
    <w:rsid w:val="57212E09"/>
    <w:rsid w:val="572161FB"/>
    <w:rsid w:val="57250B4B"/>
    <w:rsid w:val="57285B2E"/>
    <w:rsid w:val="57367FFF"/>
    <w:rsid w:val="573C5AC9"/>
    <w:rsid w:val="573F27EE"/>
    <w:rsid w:val="57496D0D"/>
    <w:rsid w:val="574C257C"/>
    <w:rsid w:val="57550131"/>
    <w:rsid w:val="57645C46"/>
    <w:rsid w:val="57664CC0"/>
    <w:rsid w:val="57672F12"/>
    <w:rsid w:val="576D604E"/>
    <w:rsid w:val="57711FE2"/>
    <w:rsid w:val="57737563"/>
    <w:rsid w:val="57767D76"/>
    <w:rsid w:val="57776ECD"/>
    <w:rsid w:val="57780CFE"/>
    <w:rsid w:val="57832CCF"/>
    <w:rsid w:val="57834D3C"/>
    <w:rsid w:val="578404A0"/>
    <w:rsid w:val="578C7B66"/>
    <w:rsid w:val="578E4942"/>
    <w:rsid w:val="5792131B"/>
    <w:rsid w:val="579730CB"/>
    <w:rsid w:val="57A5242C"/>
    <w:rsid w:val="57AE1152"/>
    <w:rsid w:val="57AE732C"/>
    <w:rsid w:val="57AF2B0B"/>
    <w:rsid w:val="57AF7361"/>
    <w:rsid w:val="57B72A76"/>
    <w:rsid w:val="57BF6098"/>
    <w:rsid w:val="57C3426C"/>
    <w:rsid w:val="57C53D6A"/>
    <w:rsid w:val="57C71C02"/>
    <w:rsid w:val="57C71CB3"/>
    <w:rsid w:val="57CE1F93"/>
    <w:rsid w:val="57D63138"/>
    <w:rsid w:val="57D63150"/>
    <w:rsid w:val="57DB2C59"/>
    <w:rsid w:val="57E24C8E"/>
    <w:rsid w:val="57E336E2"/>
    <w:rsid w:val="57E52089"/>
    <w:rsid w:val="57E601A8"/>
    <w:rsid w:val="57E834F2"/>
    <w:rsid w:val="57E83927"/>
    <w:rsid w:val="57E952BD"/>
    <w:rsid w:val="57EA58F1"/>
    <w:rsid w:val="57F25858"/>
    <w:rsid w:val="57F61771"/>
    <w:rsid w:val="57F945DA"/>
    <w:rsid w:val="57FC74D7"/>
    <w:rsid w:val="58044C05"/>
    <w:rsid w:val="58082A96"/>
    <w:rsid w:val="580A07AE"/>
    <w:rsid w:val="580C5867"/>
    <w:rsid w:val="58100309"/>
    <w:rsid w:val="58134E48"/>
    <w:rsid w:val="581D38D8"/>
    <w:rsid w:val="581D7C2B"/>
    <w:rsid w:val="58235A2F"/>
    <w:rsid w:val="582D6EF7"/>
    <w:rsid w:val="58354DBE"/>
    <w:rsid w:val="583733E0"/>
    <w:rsid w:val="583A40A4"/>
    <w:rsid w:val="58404BF5"/>
    <w:rsid w:val="58457402"/>
    <w:rsid w:val="58470B61"/>
    <w:rsid w:val="5848477E"/>
    <w:rsid w:val="584A2FE9"/>
    <w:rsid w:val="584E630F"/>
    <w:rsid w:val="58546B0D"/>
    <w:rsid w:val="58580AAD"/>
    <w:rsid w:val="58586CFE"/>
    <w:rsid w:val="585A61E3"/>
    <w:rsid w:val="585E52F5"/>
    <w:rsid w:val="585F2561"/>
    <w:rsid w:val="5866766D"/>
    <w:rsid w:val="586E6522"/>
    <w:rsid w:val="58732438"/>
    <w:rsid w:val="587B2367"/>
    <w:rsid w:val="587E56A8"/>
    <w:rsid w:val="588040E3"/>
    <w:rsid w:val="5882405C"/>
    <w:rsid w:val="588418A2"/>
    <w:rsid w:val="588743D1"/>
    <w:rsid w:val="5887701A"/>
    <w:rsid w:val="58902C7A"/>
    <w:rsid w:val="58907086"/>
    <w:rsid w:val="58A55427"/>
    <w:rsid w:val="58A75590"/>
    <w:rsid w:val="58AB6E2E"/>
    <w:rsid w:val="58AF08B9"/>
    <w:rsid w:val="58B303D9"/>
    <w:rsid w:val="58B46E42"/>
    <w:rsid w:val="58B66C14"/>
    <w:rsid w:val="58B71C77"/>
    <w:rsid w:val="58B93701"/>
    <w:rsid w:val="58BA1767"/>
    <w:rsid w:val="58BA34E5"/>
    <w:rsid w:val="58BC728D"/>
    <w:rsid w:val="58BF6D7E"/>
    <w:rsid w:val="58C1067D"/>
    <w:rsid w:val="58C6010C"/>
    <w:rsid w:val="58CC0C6F"/>
    <w:rsid w:val="58CE59D8"/>
    <w:rsid w:val="58D17379"/>
    <w:rsid w:val="58D36323"/>
    <w:rsid w:val="58D64704"/>
    <w:rsid w:val="58D80F93"/>
    <w:rsid w:val="58D95C71"/>
    <w:rsid w:val="58DF54BF"/>
    <w:rsid w:val="58E275DE"/>
    <w:rsid w:val="58E47841"/>
    <w:rsid w:val="58E53B80"/>
    <w:rsid w:val="58EA21E6"/>
    <w:rsid w:val="58EB36CF"/>
    <w:rsid w:val="58EC457C"/>
    <w:rsid w:val="58F534DF"/>
    <w:rsid w:val="58F61CCC"/>
    <w:rsid w:val="58FC29EF"/>
    <w:rsid w:val="58FD15E8"/>
    <w:rsid w:val="58FE4A19"/>
    <w:rsid w:val="59026058"/>
    <w:rsid w:val="59080725"/>
    <w:rsid w:val="5909243F"/>
    <w:rsid w:val="590B5B1F"/>
    <w:rsid w:val="590C4F59"/>
    <w:rsid w:val="591744C4"/>
    <w:rsid w:val="591C0D62"/>
    <w:rsid w:val="591D4E77"/>
    <w:rsid w:val="59254E33"/>
    <w:rsid w:val="59260BAB"/>
    <w:rsid w:val="592B4413"/>
    <w:rsid w:val="592D018B"/>
    <w:rsid w:val="592E0C4E"/>
    <w:rsid w:val="592F3EA4"/>
    <w:rsid w:val="59332F66"/>
    <w:rsid w:val="593B35D7"/>
    <w:rsid w:val="59417793"/>
    <w:rsid w:val="59425A14"/>
    <w:rsid w:val="59441031"/>
    <w:rsid w:val="59444C41"/>
    <w:rsid w:val="59492413"/>
    <w:rsid w:val="5952151D"/>
    <w:rsid w:val="59557213"/>
    <w:rsid w:val="59570D64"/>
    <w:rsid w:val="595B6AA6"/>
    <w:rsid w:val="595D004C"/>
    <w:rsid w:val="595E20F3"/>
    <w:rsid w:val="59601E20"/>
    <w:rsid w:val="59617E35"/>
    <w:rsid w:val="596209A6"/>
    <w:rsid w:val="596266FC"/>
    <w:rsid w:val="59647D01"/>
    <w:rsid w:val="596544AE"/>
    <w:rsid w:val="596671F9"/>
    <w:rsid w:val="597653C7"/>
    <w:rsid w:val="597A6C86"/>
    <w:rsid w:val="5980222F"/>
    <w:rsid w:val="598B6C60"/>
    <w:rsid w:val="598C74CC"/>
    <w:rsid w:val="598D50F3"/>
    <w:rsid w:val="599716A2"/>
    <w:rsid w:val="59975605"/>
    <w:rsid w:val="5999291B"/>
    <w:rsid w:val="59A33FA9"/>
    <w:rsid w:val="59A53CE1"/>
    <w:rsid w:val="59A73A9A"/>
    <w:rsid w:val="59AA25E2"/>
    <w:rsid w:val="59AC62AE"/>
    <w:rsid w:val="59AD3C12"/>
    <w:rsid w:val="59B30690"/>
    <w:rsid w:val="59B44408"/>
    <w:rsid w:val="59B45AF6"/>
    <w:rsid w:val="59B63CDD"/>
    <w:rsid w:val="59B83EF9"/>
    <w:rsid w:val="59C0439F"/>
    <w:rsid w:val="59C7413C"/>
    <w:rsid w:val="59D40607"/>
    <w:rsid w:val="59D453B7"/>
    <w:rsid w:val="59D625D1"/>
    <w:rsid w:val="59D975AF"/>
    <w:rsid w:val="59E06223"/>
    <w:rsid w:val="59E24AD2"/>
    <w:rsid w:val="59E469F1"/>
    <w:rsid w:val="59E720E8"/>
    <w:rsid w:val="59E806C7"/>
    <w:rsid w:val="59E92304"/>
    <w:rsid w:val="59EA607C"/>
    <w:rsid w:val="59EA6202"/>
    <w:rsid w:val="59EC5950"/>
    <w:rsid w:val="59EC76FE"/>
    <w:rsid w:val="59EE791A"/>
    <w:rsid w:val="59F52A3C"/>
    <w:rsid w:val="59F60CF8"/>
    <w:rsid w:val="59F667CF"/>
    <w:rsid w:val="59FC75C2"/>
    <w:rsid w:val="5A012C99"/>
    <w:rsid w:val="5A0233C6"/>
    <w:rsid w:val="5A02695A"/>
    <w:rsid w:val="5A032C9A"/>
    <w:rsid w:val="5A0C4199"/>
    <w:rsid w:val="5A0D37E5"/>
    <w:rsid w:val="5A0F1829"/>
    <w:rsid w:val="5A204604"/>
    <w:rsid w:val="5A2359F1"/>
    <w:rsid w:val="5A2F1CE1"/>
    <w:rsid w:val="5A307D4C"/>
    <w:rsid w:val="5A33532D"/>
    <w:rsid w:val="5A335D71"/>
    <w:rsid w:val="5A367015"/>
    <w:rsid w:val="5A3A1ABA"/>
    <w:rsid w:val="5A3C31EA"/>
    <w:rsid w:val="5A3D07F3"/>
    <w:rsid w:val="5A403A28"/>
    <w:rsid w:val="5A432D36"/>
    <w:rsid w:val="5A596479"/>
    <w:rsid w:val="5A5B4884"/>
    <w:rsid w:val="5A5C55A1"/>
    <w:rsid w:val="5A5D05FC"/>
    <w:rsid w:val="5A5D684E"/>
    <w:rsid w:val="5A627044"/>
    <w:rsid w:val="5A663955"/>
    <w:rsid w:val="5A706581"/>
    <w:rsid w:val="5A731BCE"/>
    <w:rsid w:val="5A795B68"/>
    <w:rsid w:val="5A7D2CE7"/>
    <w:rsid w:val="5A8262B5"/>
    <w:rsid w:val="5A847860"/>
    <w:rsid w:val="5A851901"/>
    <w:rsid w:val="5A8913F1"/>
    <w:rsid w:val="5A8A0299"/>
    <w:rsid w:val="5A8B5169"/>
    <w:rsid w:val="5A8D5F7D"/>
    <w:rsid w:val="5A8F3BA2"/>
    <w:rsid w:val="5A9349DC"/>
    <w:rsid w:val="5A9F0C15"/>
    <w:rsid w:val="5AA52BC1"/>
    <w:rsid w:val="5AA56D82"/>
    <w:rsid w:val="5AA85B39"/>
    <w:rsid w:val="5AA91A93"/>
    <w:rsid w:val="5AB346C0"/>
    <w:rsid w:val="5AB53F94"/>
    <w:rsid w:val="5AB84E76"/>
    <w:rsid w:val="5ABB4D72"/>
    <w:rsid w:val="5ABE2233"/>
    <w:rsid w:val="5AC226A1"/>
    <w:rsid w:val="5AC462A3"/>
    <w:rsid w:val="5AC938EB"/>
    <w:rsid w:val="5AC97A40"/>
    <w:rsid w:val="5ACE2473"/>
    <w:rsid w:val="5AD54636"/>
    <w:rsid w:val="5AD563E4"/>
    <w:rsid w:val="5AD96BC3"/>
    <w:rsid w:val="5ADA39FB"/>
    <w:rsid w:val="5ADC3C17"/>
    <w:rsid w:val="5ADD4AE8"/>
    <w:rsid w:val="5ADD7DC6"/>
    <w:rsid w:val="5ADF6F3A"/>
    <w:rsid w:val="5ADF7263"/>
    <w:rsid w:val="5AE27234"/>
    <w:rsid w:val="5AE34FA5"/>
    <w:rsid w:val="5AE63D07"/>
    <w:rsid w:val="5AE87C8F"/>
    <w:rsid w:val="5AEA47A1"/>
    <w:rsid w:val="5AEB3E5A"/>
    <w:rsid w:val="5AED0425"/>
    <w:rsid w:val="5AF93724"/>
    <w:rsid w:val="5AFC62B9"/>
    <w:rsid w:val="5AFF3461"/>
    <w:rsid w:val="5AFF4DB0"/>
    <w:rsid w:val="5B0C743C"/>
    <w:rsid w:val="5B0D75A3"/>
    <w:rsid w:val="5B144CB3"/>
    <w:rsid w:val="5B1A64ED"/>
    <w:rsid w:val="5B1C04B7"/>
    <w:rsid w:val="5B1F58B2"/>
    <w:rsid w:val="5B215D77"/>
    <w:rsid w:val="5B21787C"/>
    <w:rsid w:val="5B234BF3"/>
    <w:rsid w:val="5B2358BC"/>
    <w:rsid w:val="5B275B22"/>
    <w:rsid w:val="5B2D6220"/>
    <w:rsid w:val="5B2F1F99"/>
    <w:rsid w:val="5B332A87"/>
    <w:rsid w:val="5B3C2A37"/>
    <w:rsid w:val="5B3E455E"/>
    <w:rsid w:val="5B440E4E"/>
    <w:rsid w:val="5B463948"/>
    <w:rsid w:val="5B541A2E"/>
    <w:rsid w:val="5B5E462C"/>
    <w:rsid w:val="5B624BBB"/>
    <w:rsid w:val="5B627E52"/>
    <w:rsid w:val="5B630E90"/>
    <w:rsid w:val="5B66495E"/>
    <w:rsid w:val="5B6D0D13"/>
    <w:rsid w:val="5B6F4A8B"/>
    <w:rsid w:val="5B74506C"/>
    <w:rsid w:val="5B773003"/>
    <w:rsid w:val="5B7A4083"/>
    <w:rsid w:val="5B7C2BC9"/>
    <w:rsid w:val="5B7C7CA2"/>
    <w:rsid w:val="5B8027F4"/>
    <w:rsid w:val="5B804E56"/>
    <w:rsid w:val="5B811B57"/>
    <w:rsid w:val="5B8C4407"/>
    <w:rsid w:val="5B907F2B"/>
    <w:rsid w:val="5B953DC6"/>
    <w:rsid w:val="5B96763D"/>
    <w:rsid w:val="5B9B5880"/>
    <w:rsid w:val="5BA04C44"/>
    <w:rsid w:val="5BA62408"/>
    <w:rsid w:val="5BA97648"/>
    <w:rsid w:val="5BB95D06"/>
    <w:rsid w:val="5BBA5D5A"/>
    <w:rsid w:val="5BBB382C"/>
    <w:rsid w:val="5BBB7CD0"/>
    <w:rsid w:val="5BBE6D09"/>
    <w:rsid w:val="5BBE7621"/>
    <w:rsid w:val="5BBE7690"/>
    <w:rsid w:val="5BC00810"/>
    <w:rsid w:val="5BC528FD"/>
    <w:rsid w:val="5BC71E54"/>
    <w:rsid w:val="5BCA7F13"/>
    <w:rsid w:val="5BD237B0"/>
    <w:rsid w:val="5BD243D6"/>
    <w:rsid w:val="5BD74251"/>
    <w:rsid w:val="5BD806E6"/>
    <w:rsid w:val="5BD95648"/>
    <w:rsid w:val="5BDD1924"/>
    <w:rsid w:val="5BDF5D95"/>
    <w:rsid w:val="5BE20302"/>
    <w:rsid w:val="5BE72873"/>
    <w:rsid w:val="5BF14C2E"/>
    <w:rsid w:val="5BFE7528"/>
    <w:rsid w:val="5C001082"/>
    <w:rsid w:val="5C0A0D6D"/>
    <w:rsid w:val="5C0A6FBD"/>
    <w:rsid w:val="5C0C4088"/>
    <w:rsid w:val="5C1328D2"/>
    <w:rsid w:val="5C174686"/>
    <w:rsid w:val="5C1816B2"/>
    <w:rsid w:val="5C193E44"/>
    <w:rsid w:val="5C1D6295"/>
    <w:rsid w:val="5C1F025F"/>
    <w:rsid w:val="5C205BBF"/>
    <w:rsid w:val="5C242E11"/>
    <w:rsid w:val="5C2C1351"/>
    <w:rsid w:val="5C321615"/>
    <w:rsid w:val="5C390BF5"/>
    <w:rsid w:val="5C3F05AC"/>
    <w:rsid w:val="5C45176F"/>
    <w:rsid w:val="5C471339"/>
    <w:rsid w:val="5C5A7650"/>
    <w:rsid w:val="5C68451B"/>
    <w:rsid w:val="5C693F03"/>
    <w:rsid w:val="5C6D1040"/>
    <w:rsid w:val="5C7560D1"/>
    <w:rsid w:val="5C831C5C"/>
    <w:rsid w:val="5C86060B"/>
    <w:rsid w:val="5C88709C"/>
    <w:rsid w:val="5C8B5A45"/>
    <w:rsid w:val="5C901F0C"/>
    <w:rsid w:val="5C902F0B"/>
    <w:rsid w:val="5C9522CF"/>
    <w:rsid w:val="5C981DBF"/>
    <w:rsid w:val="5C9F70ED"/>
    <w:rsid w:val="5CA70254"/>
    <w:rsid w:val="5CA97B29"/>
    <w:rsid w:val="5CAE15E3"/>
    <w:rsid w:val="5CB169DD"/>
    <w:rsid w:val="5CB36BF9"/>
    <w:rsid w:val="5CB817EE"/>
    <w:rsid w:val="5CBA2C4C"/>
    <w:rsid w:val="5CBA7D0C"/>
    <w:rsid w:val="5CC06FCC"/>
    <w:rsid w:val="5CC11316"/>
    <w:rsid w:val="5CC3098C"/>
    <w:rsid w:val="5CCE2189"/>
    <w:rsid w:val="5CD379A9"/>
    <w:rsid w:val="5CD526CC"/>
    <w:rsid w:val="5CDA23D8"/>
    <w:rsid w:val="5CDE61E5"/>
    <w:rsid w:val="5CE46DB3"/>
    <w:rsid w:val="5CE57E3C"/>
    <w:rsid w:val="5CEC3A93"/>
    <w:rsid w:val="5CEC747F"/>
    <w:rsid w:val="5CF54B1C"/>
    <w:rsid w:val="5CFD5DA4"/>
    <w:rsid w:val="5D002B6A"/>
    <w:rsid w:val="5D0204D6"/>
    <w:rsid w:val="5D094A6B"/>
    <w:rsid w:val="5D0A2889"/>
    <w:rsid w:val="5D0B04AC"/>
    <w:rsid w:val="5D0C1C08"/>
    <w:rsid w:val="5D0E2082"/>
    <w:rsid w:val="5D101956"/>
    <w:rsid w:val="5D107BA8"/>
    <w:rsid w:val="5D1256CE"/>
    <w:rsid w:val="5D131446"/>
    <w:rsid w:val="5D1717AF"/>
    <w:rsid w:val="5D1A4582"/>
    <w:rsid w:val="5D1C5CC2"/>
    <w:rsid w:val="5D1C7811"/>
    <w:rsid w:val="5D1F7DEB"/>
    <w:rsid w:val="5D2116BF"/>
    <w:rsid w:val="5D250E31"/>
    <w:rsid w:val="5D2740BB"/>
    <w:rsid w:val="5D2746F8"/>
    <w:rsid w:val="5D293816"/>
    <w:rsid w:val="5D323FC2"/>
    <w:rsid w:val="5D372F58"/>
    <w:rsid w:val="5D373386"/>
    <w:rsid w:val="5D375134"/>
    <w:rsid w:val="5D3B07BB"/>
    <w:rsid w:val="5D3B0F8C"/>
    <w:rsid w:val="5D3C099D"/>
    <w:rsid w:val="5D3C6BEF"/>
    <w:rsid w:val="5D3D29AA"/>
    <w:rsid w:val="5D3E4715"/>
    <w:rsid w:val="5D3E7A82"/>
    <w:rsid w:val="5D470B36"/>
    <w:rsid w:val="5D526250"/>
    <w:rsid w:val="5D535CE6"/>
    <w:rsid w:val="5D567CEE"/>
    <w:rsid w:val="5D57778A"/>
    <w:rsid w:val="5D6241BC"/>
    <w:rsid w:val="5D627360"/>
    <w:rsid w:val="5D6E48CE"/>
    <w:rsid w:val="5D74760D"/>
    <w:rsid w:val="5D7A7717"/>
    <w:rsid w:val="5D7B7E30"/>
    <w:rsid w:val="5D7C0182"/>
    <w:rsid w:val="5D7E7207"/>
    <w:rsid w:val="5D942D30"/>
    <w:rsid w:val="5D9B1B67"/>
    <w:rsid w:val="5DA36273"/>
    <w:rsid w:val="5DAC246E"/>
    <w:rsid w:val="5DB42C29"/>
    <w:rsid w:val="5DB449D7"/>
    <w:rsid w:val="5DBB1E62"/>
    <w:rsid w:val="5DC11BD4"/>
    <w:rsid w:val="5DC32E6C"/>
    <w:rsid w:val="5DC42740"/>
    <w:rsid w:val="5DC759B6"/>
    <w:rsid w:val="5DC961C2"/>
    <w:rsid w:val="5DCD5A99"/>
    <w:rsid w:val="5DD337FE"/>
    <w:rsid w:val="5DDB29D0"/>
    <w:rsid w:val="5DDC3F2E"/>
    <w:rsid w:val="5DE401C7"/>
    <w:rsid w:val="5DEA0758"/>
    <w:rsid w:val="5DEE4B0E"/>
    <w:rsid w:val="5DEF78BB"/>
    <w:rsid w:val="5DF3340F"/>
    <w:rsid w:val="5DF96318"/>
    <w:rsid w:val="5E001ACF"/>
    <w:rsid w:val="5E077FA7"/>
    <w:rsid w:val="5E08087F"/>
    <w:rsid w:val="5E0D034B"/>
    <w:rsid w:val="5E1436C8"/>
    <w:rsid w:val="5E195986"/>
    <w:rsid w:val="5E1B7EF2"/>
    <w:rsid w:val="5E1C257C"/>
    <w:rsid w:val="5E1E4DF0"/>
    <w:rsid w:val="5E1F60A7"/>
    <w:rsid w:val="5E2356B9"/>
    <w:rsid w:val="5E2467F1"/>
    <w:rsid w:val="5E2A4C99"/>
    <w:rsid w:val="5E352B67"/>
    <w:rsid w:val="5E370582"/>
    <w:rsid w:val="5E381A9C"/>
    <w:rsid w:val="5E3B6AAD"/>
    <w:rsid w:val="5E4A70E9"/>
    <w:rsid w:val="5E4F4700"/>
    <w:rsid w:val="5E565A8E"/>
    <w:rsid w:val="5E577F63"/>
    <w:rsid w:val="5E631F59"/>
    <w:rsid w:val="5E635D82"/>
    <w:rsid w:val="5E6957C1"/>
    <w:rsid w:val="5E730575"/>
    <w:rsid w:val="5E761C8C"/>
    <w:rsid w:val="5E7674DE"/>
    <w:rsid w:val="5E79083D"/>
    <w:rsid w:val="5E800D5D"/>
    <w:rsid w:val="5E89726E"/>
    <w:rsid w:val="5E8A5738"/>
    <w:rsid w:val="5E987791"/>
    <w:rsid w:val="5E9F464C"/>
    <w:rsid w:val="5E9F7435"/>
    <w:rsid w:val="5EA66A16"/>
    <w:rsid w:val="5EA902B4"/>
    <w:rsid w:val="5EAF155F"/>
    <w:rsid w:val="5EB033F0"/>
    <w:rsid w:val="5EB036B2"/>
    <w:rsid w:val="5EBD78BB"/>
    <w:rsid w:val="5EC62C14"/>
    <w:rsid w:val="5EC7073A"/>
    <w:rsid w:val="5EC944B2"/>
    <w:rsid w:val="5ECB647C"/>
    <w:rsid w:val="5ECC7AFE"/>
    <w:rsid w:val="5ED30271"/>
    <w:rsid w:val="5ED370DF"/>
    <w:rsid w:val="5EDE0D40"/>
    <w:rsid w:val="5EE027E7"/>
    <w:rsid w:val="5EE22D04"/>
    <w:rsid w:val="5EE475E4"/>
    <w:rsid w:val="5EE55333"/>
    <w:rsid w:val="5EEC6D75"/>
    <w:rsid w:val="5EF07C91"/>
    <w:rsid w:val="5EF37781"/>
    <w:rsid w:val="5EF37937"/>
    <w:rsid w:val="5EFC134A"/>
    <w:rsid w:val="5EFE5DC1"/>
    <w:rsid w:val="5EFF5A75"/>
    <w:rsid w:val="5F014E9D"/>
    <w:rsid w:val="5F071428"/>
    <w:rsid w:val="5F0965A4"/>
    <w:rsid w:val="5F0B0D18"/>
    <w:rsid w:val="5F1A2B43"/>
    <w:rsid w:val="5F1F1FF6"/>
    <w:rsid w:val="5F2218B2"/>
    <w:rsid w:val="5F2B6F1B"/>
    <w:rsid w:val="5F2D2C93"/>
    <w:rsid w:val="5F311D58"/>
    <w:rsid w:val="5F3B05DC"/>
    <w:rsid w:val="5F3E3C5B"/>
    <w:rsid w:val="5F401D9B"/>
    <w:rsid w:val="5F41214C"/>
    <w:rsid w:val="5F431FA1"/>
    <w:rsid w:val="5F461238"/>
    <w:rsid w:val="5F462387"/>
    <w:rsid w:val="5F4A106A"/>
    <w:rsid w:val="5F4B022D"/>
    <w:rsid w:val="5F4B4919"/>
    <w:rsid w:val="5F506981"/>
    <w:rsid w:val="5F530220"/>
    <w:rsid w:val="5F5650DC"/>
    <w:rsid w:val="5F5875E4"/>
    <w:rsid w:val="5F592D36"/>
    <w:rsid w:val="5F595ACD"/>
    <w:rsid w:val="5F5C6189"/>
    <w:rsid w:val="5F5F1038"/>
    <w:rsid w:val="5F6B4CCF"/>
    <w:rsid w:val="5F7A2EE8"/>
    <w:rsid w:val="5F7E529D"/>
    <w:rsid w:val="5F864151"/>
    <w:rsid w:val="5F8A052F"/>
    <w:rsid w:val="5F8F1018"/>
    <w:rsid w:val="5F9525E6"/>
    <w:rsid w:val="5F9862CA"/>
    <w:rsid w:val="5FA32F55"/>
    <w:rsid w:val="5FB7255D"/>
    <w:rsid w:val="5FB837BB"/>
    <w:rsid w:val="5FBF31B3"/>
    <w:rsid w:val="5FC222E6"/>
    <w:rsid w:val="5FC259CE"/>
    <w:rsid w:val="5FC4308B"/>
    <w:rsid w:val="5FCF3D4A"/>
    <w:rsid w:val="5FD01870"/>
    <w:rsid w:val="5FD0361E"/>
    <w:rsid w:val="5FD255E8"/>
    <w:rsid w:val="5FD46A15"/>
    <w:rsid w:val="5FD924D3"/>
    <w:rsid w:val="5FE532A2"/>
    <w:rsid w:val="5FF21651"/>
    <w:rsid w:val="5FF67529"/>
    <w:rsid w:val="5FFC4413"/>
    <w:rsid w:val="5FFD5996"/>
    <w:rsid w:val="6008100A"/>
    <w:rsid w:val="60103799"/>
    <w:rsid w:val="6017749F"/>
    <w:rsid w:val="60177B46"/>
    <w:rsid w:val="60180706"/>
    <w:rsid w:val="601B6F8F"/>
    <w:rsid w:val="601C3E3D"/>
    <w:rsid w:val="601E25DC"/>
    <w:rsid w:val="60200102"/>
    <w:rsid w:val="60234096"/>
    <w:rsid w:val="602A28EC"/>
    <w:rsid w:val="602C11A0"/>
    <w:rsid w:val="60365B77"/>
    <w:rsid w:val="603C3B9C"/>
    <w:rsid w:val="604069F6"/>
    <w:rsid w:val="604638E0"/>
    <w:rsid w:val="60473184"/>
    <w:rsid w:val="60483AFC"/>
    <w:rsid w:val="604A517F"/>
    <w:rsid w:val="604F4E8B"/>
    <w:rsid w:val="60522285"/>
    <w:rsid w:val="60593614"/>
    <w:rsid w:val="60620269"/>
    <w:rsid w:val="6065020A"/>
    <w:rsid w:val="60656AB9"/>
    <w:rsid w:val="60673F83"/>
    <w:rsid w:val="60681AA9"/>
    <w:rsid w:val="60695F4D"/>
    <w:rsid w:val="606A5D6B"/>
    <w:rsid w:val="6072639B"/>
    <w:rsid w:val="60757447"/>
    <w:rsid w:val="607937C9"/>
    <w:rsid w:val="60793CB6"/>
    <w:rsid w:val="607E12CC"/>
    <w:rsid w:val="60803296"/>
    <w:rsid w:val="60891CF4"/>
    <w:rsid w:val="608A127E"/>
    <w:rsid w:val="608F19AC"/>
    <w:rsid w:val="60910267"/>
    <w:rsid w:val="60967917"/>
    <w:rsid w:val="609D307B"/>
    <w:rsid w:val="60A356C4"/>
    <w:rsid w:val="60A95C2E"/>
    <w:rsid w:val="60A978E8"/>
    <w:rsid w:val="60B50F97"/>
    <w:rsid w:val="60B8658C"/>
    <w:rsid w:val="60BC7E74"/>
    <w:rsid w:val="60BD1060"/>
    <w:rsid w:val="60BE2043"/>
    <w:rsid w:val="60BE791B"/>
    <w:rsid w:val="60C04175"/>
    <w:rsid w:val="60C82547"/>
    <w:rsid w:val="60CC405A"/>
    <w:rsid w:val="60CD3C52"/>
    <w:rsid w:val="60CE5484"/>
    <w:rsid w:val="60D63372"/>
    <w:rsid w:val="60DB1612"/>
    <w:rsid w:val="60DC7029"/>
    <w:rsid w:val="60DD4245"/>
    <w:rsid w:val="60DE1591"/>
    <w:rsid w:val="60E44846"/>
    <w:rsid w:val="60E44EAB"/>
    <w:rsid w:val="60F35816"/>
    <w:rsid w:val="60F94C01"/>
    <w:rsid w:val="60FD75AC"/>
    <w:rsid w:val="61006F0C"/>
    <w:rsid w:val="611052AA"/>
    <w:rsid w:val="611759A9"/>
    <w:rsid w:val="61197766"/>
    <w:rsid w:val="61202383"/>
    <w:rsid w:val="61232F88"/>
    <w:rsid w:val="612956DC"/>
    <w:rsid w:val="612D2848"/>
    <w:rsid w:val="612E4AA0"/>
    <w:rsid w:val="612F0A64"/>
    <w:rsid w:val="61357BDD"/>
    <w:rsid w:val="613B0F6B"/>
    <w:rsid w:val="613B213C"/>
    <w:rsid w:val="614442C4"/>
    <w:rsid w:val="614C27B6"/>
    <w:rsid w:val="614E4127"/>
    <w:rsid w:val="61544139"/>
    <w:rsid w:val="615A5895"/>
    <w:rsid w:val="615A6E64"/>
    <w:rsid w:val="615E1FB9"/>
    <w:rsid w:val="61616C24"/>
    <w:rsid w:val="616404C2"/>
    <w:rsid w:val="61646714"/>
    <w:rsid w:val="616473E7"/>
    <w:rsid w:val="61676CFF"/>
    <w:rsid w:val="616B1851"/>
    <w:rsid w:val="616B68A3"/>
    <w:rsid w:val="616C0976"/>
    <w:rsid w:val="616F4356"/>
    <w:rsid w:val="617240E5"/>
    <w:rsid w:val="61764927"/>
    <w:rsid w:val="617C404C"/>
    <w:rsid w:val="61811074"/>
    <w:rsid w:val="61832254"/>
    <w:rsid w:val="618531C6"/>
    <w:rsid w:val="618A197E"/>
    <w:rsid w:val="6192502F"/>
    <w:rsid w:val="61926DDD"/>
    <w:rsid w:val="61930DA7"/>
    <w:rsid w:val="61932B55"/>
    <w:rsid w:val="619472BB"/>
    <w:rsid w:val="61955C36"/>
    <w:rsid w:val="619A4975"/>
    <w:rsid w:val="619B3FD0"/>
    <w:rsid w:val="619C7C5C"/>
    <w:rsid w:val="61A30D8A"/>
    <w:rsid w:val="61A30FEA"/>
    <w:rsid w:val="61A46B11"/>
    <w:rsid w:val="61A56C12"/>
    <w:rsid w:val="61AB4343"/>
    <w:rsid w:val="61AE5BF4"/>
    <w:rsid w:val="61AF3E33"/>
    <w:rsid w:val="61B551C2"/>
    <w:rsid w:val="61B62A43"/>
    <w:rsid w:val="61BC02FE"/>
    <w:rsid w:val="61BD1D0E"/>
    <w:rsid w:val="61C176C2"/>
    <w:rsid w:val="61C53F19"/>
    <w:rsid w:val="61C6117D"/>
    <w:rsid w:val="61C808EF"/>
    <w:rsid w:val="61C83B57"/>
    <w:rsid w:val="61CC33D5"/>
    <w:rsid w:val="61CD11EB"/>
    <w:rsid w:val="61CD42B9"/>
    <w:rsid w:val="61CF1677"/>
    <w:rsid w:val="61CF1FFF"/>
    <w:rsid w:val="61D17319"/>
    <w:rsid w:val="61D75E21"/>
    <w:rsid w:val="61D85AC9"/>
    <w:rsid w:val="61DE1F28"/>
    <w:rsid w:val="61E215D8"/>
    <w:rsid w:val="61E76A46"/>
    <w:rsid w:val="61E83787"/>
    <w:rsid w:val="61FB7C8E"/>
    <w:rsid w:val="61FC06FB"/>
    <w:rsid w:val="62064265"/>
    <w:rsid w:val="620677CB"/>
    <w:rsid w:val="620815C8"/>
    <w:rsid w:val="620A72BB"/>
    <w:rsid w:val="620D6DAC"/>
    <w:rsid w:val="620F40B1"/>
    <w:rsid w:val="6213047A"/>
    <w:rsid w:val="62181EE6"/>
    <w:rsid w:val="62183792"/>
    <w:rsid w:val="621A6DD3"/>
    <w:rsid w:val="621B3775"/>
    <w:rsid w:val="622540F5"/>
    <w:rsid w:val="622B0FE0"/>
    <w:rsid w:val="622C6B78"/>
    <w:rsid w:val="62362CF4"/>
    <w:rsid w:val="62364782"/>
    <w:rsid w:val="623720B9"/>
    <w:rsid w:val="62404A8B"/>
    <w:rsid w:val="62414596"/>
    <w:rsid w:val="62415380"/>
    <w:rsid w:val="62481B92"/>
    <w:rsid w:val="624C4E55"/>
    <w:rsid w:val="624E0893"/>
    <w:rsid w:val="624E70B1"/>
    <w:rsid w:val="624F1172"/>
    <w:rsid w:val="625209B9"/>
    <w:rsid w:val="6252656D"/>
    <w:rsid w:val="62614A02"/>
    <w:rsid w:val="62634C1E"/>
    <w:rsid w:val="626369CC"/>
    <w:rsid w:val="626A1B08"/>
    <w:rsid w:val="626D2023"/>
    <w:rsid w:val="627209BD"/>
    <w:rsid w:val="62771F43"/>
    <w:rsid w:val="627838A0"/>
    <w:rsid w:val="62797F9D"/>
    <w:rsid w:val="627D7A8D"/>
    <w:rsid w:val="627E51DA"/>
    <w:rsid w:val="628030DA"/>
    <w:rsid w:val="62850A57"/>
    <w:rsid w:val="62862181"/>
    <w:rsid w:val="628816D8"/>
    <w:rsid w:val="628E1C9B"/>
    <w:rsid w:val="629C4DF2"/>
    <w:rsid w:val="629D3E15"/>
    <w:rsid w:val="62A0552A"/>
    <w:rsid w:val="62AA1DB0"/>
    <w:rsid w:val="62AC4080"/>
    <w:rsid w:val="62AF7E63"/>
    <w:rsid w:val="62B2525D"/>
    <w:rsid w:val="62B52802"/>
    <w:rsid w:val="62B611F1"/>
    <w:rsid w:val="62B936C9"/>
    <w:rsid w:val="62B965EC"/>
    <w:rsid w:val="62C31A76"/>
    <w:rsid w:val="62C70274"/>
    <w:rsid w:val="62C92CD3"/>
    <w:rsid w:val="62CD2097"/>
    <w:rsid w:val="62CF6AAF"/>
    <w:rsid w:val="62D11B87"/>
    <w:rsid w:val="62D13935"/>
    <w:rsid w:val="62D152C3"/>
    <w:rsid w:val="62D172D1"/>
    <w:rsid w:val="62D33B51"/>
    <w:rsid w:val="62D358FF"/>
    <w:rsid w:val="62E0001C"/>
    <w:rsid w:val="62E12624"/>
    <w:rsid w:val="62E775FD"/>
    <w:rsid w:val="62E8203F"/>
    <w:rsid w:val="62F31AFE"/>
    <w:rsid w:val="62F53AC8"/>
    <w:rsid w:val="62F615EE"/>
    <w:rsid w:val="62FA7330"/>
    <w:rsid w:val="62FB09B2"/>
    <w:rsid w:val="62FD2D46"/>
    <w:rsid w:val="62FD5FB9"/>
    <w:rsid w:val="63043D0B"/>
    <w:rsid w:val="6306709B"/>
    <w:rsid w:val="630A3E66"/>
    <w:rsid w:val="630E06E5"/>
    <w:rsid w:val="63165FA7"/>
    <w:rsid w:val="632074AD"/>
    <w:rsid w:val="63212267"/>
    <w:rsid w:val="63215906"/>
    <w:rsid w:val="632225B3"/>
    <w:rsid w:val="63293771"/>
    <w:rsid w:val="632B4E06"/>
    <w:rsid w:val="632B64E7"/>
    <w:rsid w:val="632E0D88"/>
    <w:rsid w:val="6330580C"/>
    <w:rsid w:val="63340929"/>
    <w:rsid w:val="633649C0"/>
    <w:rsid w:val="63387A26"/>
    <w:rsid w:val="633914DA"/>
    <w:rsid w:val="633C08FC"/>
    <w:rsid w:val="633E1A60"/>
    <w:rsid w:val="63416D0D"/>
    <w:rsid w:val="634217E8"/>
    <w:rsid w:val="634265E1"/>
    <w:rsid w:val="634B7B8C"/>
    <w:rsid w:val="634E64FC"/>
    <w:rsid w:val="63544194"/>
    <w:rsid w:val="63590869"/>
    <w:rsid w:val="635F3637"/>
    <w:rsid w:val="63647883"/>
    <w:rsid w:val="6367429A"/>
    <w:rsid w:val="63683A4C"/>
    <w:rsid w:val="636B3D8A"/>
    <w:rsid w:val="636F233B"/>
    <w:rsid w:val="637013A0"/>
    <w:rsid w:val="637A7682"/>
    <w:rsid w:val="63843F1E"/>
    <w:rsid w:val="638552A0"/>
    <w:rsid w:val="638769CE"/>
    <w:rsid w:val="638E55D2"/>
    <w:rsid w:val="6394356A"/>
    <w:rsid w:val="63944097"/>
    <w:rsid w:val="6397692D"/>
    <w:rsid w:val="63983766"/>
    <w:rsid w:val="639A01CB"/>
    <w:rsid w:val="639D1DD4"/>
    <w:rsid w:val="63A33228"/>
    <w:rsid w:val="63A64DC2"/>
    <w:rsid w:val="63A70B3A"/>
    <w:rsid w:val="63A977B9"/>
    <w:rsid w:val="63B02335"/>
    <w:rsid w:val="63B279CD"/>
    <w:rsid w:val="63B51154"/>
    <w:rsid w:val="63B82D47"/>
    <w:rsid w:val="63B91E59"/>
    <w:rsid w:val="63BC45E5"/>
    <w:rsid w:val="63BD210C"/>
    <w:rsid w:val="63C4067C"/>
    <w:rsid w:val="63C61B2C"/>
    <w:rsid w:val="63C65464"/>
    <w:rsid w:val="63CC234F"/>
    <w:rsid w:val="63D00091"/>
    <w:rsid w:val="63D40BE9"/>
    <w:rsid w:val="63D95197"/>
    <w:rsid w:val="63DD4B50"/>
    <w:rsid w:val="63DD630A"/>
    <w:rsid w:val="63E678B4"/>
    <w:rsid w:val="63EA2D09"/>
    <w:rsid w:val="63EB3B94"/>
    <w:rsid w:val="63EB4ECB"/>
    <w:rsid w:val="63F05DFF"/>
    <w:rsid w:val="63F10BEA"/>
    <w:rsid w:val="63F23BEA"/>
    <w:rsid w:val="63F5102E"/>
    <w:rsid w:val="63F975E8"/>
    <w:rsid w:val="63FF2724"/>
    <w:rsid w:val="64007E18"/>
    <w:rsid w:val="640146EE"/>
    <w:rsid w:val="64074BCA"/>
    <w:rsid w:val="640B49E2"/>
    <w:rsid w:val="640D4E41"/>
    <w:rsid w:val="640E2967"/>
    <w:rsid w:val="64102431"/>
    <w:rsid w:val="641066DF"/>
    <w:rsid w:val="64173EFA"/>
    <w:rsid w:val="641C5084"/>
    <w:rsid w:val="64242A33"/>
    <w:rsid w:val="64265F03"/>
    <w:rsid w:val="64267CB1"/>
    <w:rsid w:val="64285135"/>
    <w:rsid w:val="642E5A0B"/>
    <w:rsid w:val="642E6B65"/>
    <w:rsid w:val="642F125B"/>
    <w:rsid w:val="642F3009"/>
    <w:rsid w:val="642F7E17"/>
    <w:rsid w:val="643028DD"/>
    <w:rsid w:val="643322BC"/>
    <w:rsid w:val="643A375C"/>
    <w:rsid w:val="643E39FE"/>
    <w:rsid w:val="644279E6"/>
    <w:rsid w:val="64446389"/>
    <w:rsid w:val="64452F49"/>
    <w:rsid w:val="64456942"/>
    <w:rsid w:val="64493D8F"/>
    <w:rsid w:val="644D47F0"/>
    <w:rsid w:val="644F3738"/>
    <w:rsid w:val="64520AA6"/>
    <w:rsid w:val="64671BB7"/>
    <w:rsid w:val="647A41C3"/>
    <w:rsid w:val="64840F16"/>
    <w:rsid w:val="64851E32"/>
    <w:rsid w:val="64882719"/>
    <w:rsid w:val="648A46E4"/>
    <w:rsid w:val="64902B9E"/>
    <w:rsid w:val="649C61C5"/>
    <w:rsid w:val="64A31301"/>
    <w:rsid w:val="64A42741"/>
    <w:rsid w:val="64A5243A"/>
    <w:rsid w:val="64AD03D2"/>
    <w:rsid w:val="64AD2180"/>
    <w:rsid w:val="64B654D9"/>
    <w:rsid w:val="64B81251"/>
    <w:rsid w:val="64BD0615"/>
    <w:rsid w:val="64C574CA"/>
    <w:rsid w:val="64C9520C"/>
    <w:rsid w:val="64CC6AAA"/>
    <w:rsid w:val="64CF02FD"/>
    <w:rsid w:val="64D040DE"/>
    <w:rsid w:val="64D12312"/>
    <w:rsid w:val="64D21BE7"/>
    <w:rsid w:val="64D74D2B"/>
    <w:rsid w:val="64DD2A65"/>
    <w:rsid w:val="64E14E42"/>
    <w:rsid w:val="64F46001"/>
    <w:rsid w:val="64F47195"/>
    <w:rsid w:val="64F531DE"/>
    <w:rsid w:val="64FE29DC"/>
    <w:rsid w:val="65011063"/>
    <w:rsid w:val="650457AB"/>
    <w:rsid w:val="650758DA"/>
    <w:rsid w:val="65167D25"/>
    <w:rsid w:val="65172C25"/>
    <w:rsid w:val="651C71CE"/>
    <w:rsid w:val="651E1886"/>
    <w:rsid w:val="65247DB9"/>
    <w:rsid w:val="65273CE0"/>
    <w:rsid w:val="652E506F"/>
    <w:rsid w:val="65310A80"/>
    <w:rsid w:val="6531690D"/>
    <w:rsid w:val="65317D45"/>
    <w:rsid w:val="65335EBC"/>
    <w:rsid w:val="65373578"/>
    <w:rsid w:val="6538351C"/>
    <w:rsid w:val="65462432"/>
    <w:rsid w:val="65462486"/>
    <w:rsid w:val="654B3ABF"/>
    <w:rsid w:val="654F3237"/>
    <w:rsid w:val="65517B28"/>
    <w:rsid w:val="655814EA"/>
    <w:rsid w:val="655F4A2A"/>
    <w:rsid w:val="65604E14"/>
    <w:rsid w:val="65644F35"/>
    <w:rsid w:val="65660CAD"/>
    <w:rsid w:val="656B46CF"/>
    <w:rsid w:val="6578453C"/>
    <w:rsid w:val="657E40B7"/>
    <w:rsid w:val="657F77F3"/>
    <w:rsid w:val="658C6239"/>
    <w:rsid w:val="658F7046"/>
    <w:rsid w:val="65944F19"/>
    <w:rsid w:val="65962C14"/>
    <w:rsid w:val="659A6BA8"/>
    <w:rsid w:val="65A272E6"/>
    <w:rsid w:val="65A92947"/>
    <w:rsid w:val="65AA7839"/>
    <w:rsid w:val="65AF18EF"/>
    <w:rsid w:val="65AF24FC"/>
    <w:rsid w:val="65B16484"/>
    <w:rsid w:val="65B242C1"/>
    <w:rsid w:val="65B337C6"/>
    <w:rsid w:val="65B41636"/>
    <w:rsid w:val="65B904AF"/>
    <w:rsid w:val="65BF28C0"/>
    <w:rsid w:val="65C14135"/>
    <w:rsid w:val="65C31EBF"/>
    <w:rsid w:val="65CB0B10"/>
    <w:rsid w:val="65D329DC"/>
    <w:rsid w:val="65D9563C"/>
    <w:rsid w:val="65DB3657"/>
    <w:rsid w:val="65DB6AE0"/>
    <w:rsid w:val="65DC6B33"/>
    <w:rsid w:val="65E12D89"/>
    <w:rsid w:val="65E816C2"/>
    <w:rsid w:val="65E9102E"/>
    <w:rsid w:val="65E971E8"/>
    <w:rsid w:val="65EC0A86"/>
    <w:rsid w:val="65EF0514"/>
    <w:rsid w:val="65FF6A0B"/>
    <w:rsid w:val="66063F8F"/>
    <w:rsid w:val="6607107C"/>
    <w:rsid w:val="660D2ED6"/>
    <w:rsid w:val="66112C08"/>
    <w:rsid w:val="66184BA2"/>
    <w:rsid w:val="661C5916"/>
    <w:rsid w:val="661F70AE"/>
    <w:rsid w:val="661F7830"/>
    <w:rsid w:val="66240220"/>
    <w:rsid w:val="66264306"/>
    <w:rsid w:val="66320B8F"/>
    <w:rsid w:val="66391F1D"/>
    <w:rsid w:val="663A7A43"/>
    <w:rsid w:val="6640544E"/>
    <w:rsid w:val="66483D36"/>
    <w:rsid w:val="66503996"/>
    <w:rsid w:val="66575337"/>
    <w:rsid w:val="66596BBD"/>
    <w:rsid w:val="665C20B0"/>
    <w:rsid w:val="665C3D4F"/>
    <w:rsid w:val="666A0292"/>
    <w:rsid w:val="666B10DF"/>
    <w:rsid w:val="666E38DB"/>
    <w:rsid w:val="66714F40"/>
    <w:rsid w:val="667271DD"/>
    <w:rsid w:val="66763171"/>
    <w:rsid w:val="667B0788"/>
    <w:rsid w:val="66810A05"/>
    <w:rsid w:val="66833198"/>
    <w:rsid w:val="66855E09"/>
    <w:rsid w:val="668607FC"/>
    <w:rsid w:val="66860EDB"/>
    <w:rsid w:val="668641F4"/>
    <w:rsid w:val="668A09CB"/>
    <w:rsid w:val="668F5FE1"/>
    <w:rsid w:val="6695111E"/>
    <w:rsid w:val="669D40AB"/>
    <w:rsid w:val="66A370CE"/>
    <w:rsid w:val="66A718E0"/>
    <w:rsid w:val="66A80E51"/>
    <w:rsid w:val="66AA4BC9"/>
    <w:rsid w:val="66AE3BEE"/>
    <w:rsid w:val="66C33EDD"/>
    <w:rsid w:val="66C36B8F"/>
    <w:rsid w:val="66C51AAB"/>
    <w:rsid w:val="66C9098F"/>
    <w:rsid w:val="66CD4D5B"/>
    <w:rsid w:val="66CD74EB"/>
    <w:rsid w:val="66D41C46"/>
    <w:rsid w:val="66DA706A"/>
    <w:rsid w:val="66DF6717"/>
    <w:rsid w:val="66E0683F"/>
    <w:rsid w:val="66E414EA"/>
    <w:rsid w:val="66E873CE"/>
    <w:rsid w:val="66F300FB"/>
    <w:rsid w:val="66F5632C"/>
    <w:rsid w:val="66FB3677"/>
    <w:rsid w:val="6703152B"/>
    <w:rsid w:val="670503E1"/>
    <w:rsid w:val="67073DC9"/>
    <w:rsid w:val="670752CC"/>
    <w:rsid w:val="670F7122"/>
    <w:rsid w:val="67141D0B"/>
    <w:rsid w:val="671708C5"/>
    <w:rsid w:val="67185FD7"/>
    <w:rsid w:val="67191D4F"/>
    <w:rsid w:val="671F124A"/>
    <w:rsid w:val="67206C39"/>
    <w:rsid w:val="6722070B"/>
    <w:rsid w:val="672524A2"/>
    <w:rsid w:val="67266558"/>
    <w:rsid w:val="67283D40"/>
    <w:rsid w:val="672D1356"/>
    <w:rsid w:val="67392CCC"/>
    <w:rsid w:val="67397CFB"/>
    <w:rsid w:val="673C2122"/>
    <w:rsid w:val="674067A8"/>
    <w:rsid w:val="67452246"/>
    <w:rsid w:val="6746005A"/>
    <w:rsid w:val="67467072"/>
    <w:rsid w:val="674D150B"/>
    <w:rsid w:val="674D2CD2"/>
    <w:rsid w:val="67554EF5"/>
    <w:rsid w:val="67586027"/>
    <w:rsid w:val="67590DCC"/>
    <w:rsid w:val="675A3185"/>
    <w:rsid w:val="675D091D"/>
    <w:rsid w:val="675E7762"/>
    <w:rsid w:val="67626C3F"/>
    <w:rsid w:val="67627252"/>
    <w:rsid w:val="67696832"/>
    <w:rsid w:val="67696CD9"/>
    <w:rsid w:val="67704709"/>
    <w:rsid w:val="67715E8D"/>
    <w:rsid w:val="67750BD7"/>
    <w:rsid w:val="6778132C"/>
    <w:rsid w:val="677A33C6"/>
    <w:rsid w:val="67890C82"/>
    <w:rsid w:val="678C42CF"/>
    <w:rsid w:val="67900263"/>
    <w:rsid w:val="67922539"/>
    <w:rsid w:val="679B09B6"/>
    <w:rsid w:val="679B2764"/>
    <w:rsid w:val="679C2E98"/>
    <w:rsid w:val="679D028A"/>
    <w:rsid w:val="679D5376"/>
    <w:rsid w:val="679F0344"/>
    <w:rsid w:val="679F4002"/>
    <w:rsid w:val="67A23AF2"/>
    <w:rsid w:val="67A41618"/>
    <w:rsid w:val="67A4786A"/>
    <w:rsid w:val="67A51EFC"/>
    <w:rsid w:val="67AC671F"/>
    <w:rsid w:val="67AE343A"/>
    <w:rsid w:val="67BD43F3"/>
    <w:rsid w:val="67C0431C"/>
    <w:rsid w:val="67C32A17"/>
    <w:rsid w:val="67CA4DF7"/>
    <w:rsid w:val="67D03B42"/>
    <w:rsid w:val="67D124CC"/>
    <w:rsid w:val="67D55C76"/>
    <w:rsid w:val="67D619EE"/>
    <w:rsid w:val="67D63D90"/>
    <w:rsid w:val="67DF6AF4"/>
    <w:rsid w:val="67E20393"/>
    <w:rsid w:val="67E61E8E"/>
    <w:rsid w:val="67E73BFB"/>
    <w:rsid w:val="67E91721"/>
    <w:rsid w:val="67EC20DF"/>
    <w:rsid w:val="67F818B5"/>
    <w:rsid w:val="67FF0F45"/>
    <w:rsid w:val="680102C6"/>
    <w:rsid w:val="68040309"/>
    <w:rsid w:val="68071393"/>
    <w:rsid w:val="680C5410"/>
    <w:rsid w:val="680D18B3"/>
    <w:rsid w:val="681744E0"/>
    <w:rsid w:val="681F6961"/>
    <w:rsid w:val="6828049B"/>
    <w:rsid w:val="68282344"/>
    <w:rsid w:val="683055A2"/>
    <w:rsid w:val="68306927"/>
    <w:rsid w:val="68354966"/>
    <w:rsid w:val="683573B6"/>
    <w:rsid w:val="6837248C"/>
    <w:rsid w:val="683E1412"/>
    <w:rsid w:val="68403510"/>
    <w:rsid w:val="6844104D"/>
    <w:rsid w:val="684A5B95"/>
    <w:rsid w:val="684B5F38"/>
    <w:rsid w:val="684D33EC"/>
    <w:rsid w:val="68540C60"/>
    <w:rsid w:val="6856731C"/>
    <w:rsid w:val="685814FE"/>
    <w:rsid w:val="68594E4C"/>
    <w:rsid w:val="68596203"/>
    <w:rsid w:val="685B394F"/>
    <w:rsid w:val="68610A2F"/>
    <w:rsid w:val="68641968"/>
    <w:rsid w:val="68646FFA"/>
    <w:rsid w:val="68671EE0"/>
    <w:rsid w:val="686D4DEE"/>
    <w:rsid w:val="686F13BE"/>
    <w:rsid w:val="686F5A57"/>
    <w:rsid w:val="686F7E78"/>
    <w:rsid w:val="68705C18"/>
    <w:rsid w:val="687436E1"/>
    <w:rsid w:val="687950AD"/>
    <w:rsid w:val="687C5E39"/>
    <w:rsid w:val="687E455F"/>
    <w:rsid w:val="68805514"/>
    <w:rsid w:val="68815DFE"/>
    <w:rsid w:val="688356D2"/>
    <w:rsid w:val="688651C2"/>
    <w:rsid w:val="68880F3A"/>
    <w:rsid w:val="688F20D7"/>
    <w:rsid w:val="688F37FD"/>
    <w:rsid w:val="68956452"/>
    <w:rsid w:val="689859A9"/>
    <w:rsid w:val="689E42BA"/>
    <w:rsid w:val="68A85138"/>
    <w:rsid w:val="68AA0F63"/>
    <w:rsid w:val="68AA7102"/>
    <w:rsid w:val="68AB2848"/>
    <w:rsid w:val="68B41D2F"/>
    <w:rsid w:val="68B453BE"/>
    <w:rsid w:val="68B94F26"/>
    <w:rsid w:val="68BF05A2"/>
    <w:rsid w:val="68D26659"/>
    <w:rsid w:val="68D42C30"/>
    <w:rsid w:val="68D75A1D"/>
    <w:rsid w:val="68DA22C3"/>
    <w:rsid w:val="68DC0F20"/>
    <w:rsid w:val="68E56022"/>
    <w:rsid w:val="68E57CC1"/>
    <w:rsid w:val="68E73D10"/>
    <w:rsid w:val="68F30B57"/>
    <w:rsid w:val="68F465CF"/>
    <w:rsid w:val="68FC7CF6"/>
    <w:rsid w:val="690744A3"/>
    <w:rsid w:val="690B1079"/>
    <w:rsid w:val="69126547"/>
    <w:rsid w:val="691714D9"/>
    <w:rsid w:val="691A3DDD"/>
    <w:rsid w:val="691B3B5C"/>
    <w:rsid w:val="691F66E4"/>
    <w:rsid w:val="692236F6"/>
    <w:rsid w:val="692755F0"/>
    <w:rsid w:val="692844CB"/>
    <w:rsid w:val="692A3144"/>
    <w:rsid w:val="692F4203"/>
    <w:rsid w:val="692F4396"/>
    <w:rsid w:val="69316E2F"/>
    <w:rsid w:val="69407A67"/>
    <w:rsid w:val="69485A1A"/>
    <w:rsid w:val="69485C04"/>
    <w:rsid w:val="694E2071"/>
    <w:rsid w:val="69505C13"/>
    <w:rsid w:val="695312C2"/>
    <w:rsid w:val="6955518E"/>
    <w:rsid w:val="695706BC"/>
    <w:rsid w:val="695B03FD"/>
    <w:rsid w:val="695B6F1E"/>
    <w:rsid w:val="6962178B"/>
    <w:rsid w:val="6965127B"/>
    <w:rsid w:val="696F20FA"/>
    <w:rsid w:val="69766163"/>
    <w:rsid w:val="697935EC"/>
    <w:rsid w:val="69796AD5"/>
    <w:rsid w:val="697A3B33"/>
    <w:rsid w:val="697B284D"/>
    <w:rsid w:val="697E3764"/>
    <w:rsid w:val="69825989"/>
    <w:rsid w:val="69841649"/>
    <w:rsid w:val="69876A11"/>
    <w:rsid w:val="698C2047"/>
    <w:rsid w:val="698C6808"/>
    <w:rsid w:val="698E317B"/>
    <w:rsid w:val="698E6A48"/>
    <w:rsid w:val="69935DE8"/>
    <w:rsid w:val="699B47B0"/>
    <w:rsid w:val="69A00505"/>
    <w:rsid w:val="69AA5E2F"/>
    <w:rsid w:val="69AD1ECC"/>
    <w:rsid w:val="69AE33EB"/>
    <w:rsid w:val="69B1626F"/>
    <w:rsid w:val="69B60CCC"/>
    <w:rsid w:val="69B73F18"/>
    <w:rsid w:val="69B93291"/>
    <w:rsid w:val="69BC4E2E"/>
    <w:rsid w:val="69C2047C"/>
    <w:rsid w:val="69C53AC8"/>
    <w:rsid w:val="69C8232E"/>
    <w:rsid w:val="69CB37D4"/>
    <w:rsid w:val="69CB51EC"/>
    <w:rsid w:val="69D17924"/>
    <w:rsid w:val="69D44760"/>
    <w:rsid w:val="69DC0762"/>
    <w:rsid w:val="69DC778F"/>
    <w:rsid w:val="69E11605"/>
    <w:rsid w:val="69E8794F"/>
    <w:rsid w:val="69EA2BD4"/>
    <w:rsid w:val="69EE7718"/>
    <w:rsid w:val="69F14A8C"/>
    <w:rsid w:val="69F3202B"/>
    <w:rsid w:val="69F8149D"/>
    <w:rsid w:val="69FF2A4C"/>
    <w:rsid w:val="6A042842"/>
    <w:rsid w:val="6A095D5D"/>
    <w:rsid w:val="6A0F07A6"/>
    <w:rsid w:val="6A136F29"/>
    <w:rsid w:val="6A1A15F6"/>
    <w:rsid w:val="6A211646"/>
    <w:rsid w:val="6A243C24"/>
    <w:rsid w:val="6A24707D"/>
    <w:rsid w:val="6A281DDE"/>
    <w:rsid w:val="6A2C6AE5"/>
    <w:rsid w:val="6A2E28DA"/>
    <w:rsid w:val="6A346104"/>
    <w:rsid w:val="6A3550F2"/>
    <w:rsid w:val="6A377D1F"/>
    <w:rsid w:val="6A3D3FA6"/>
    <w:rsid w:val="6A3F1ACC"/>
    <w:rsid w:val="6A46714C"/>
    <w:rsid w:val="6A475A9B"/>
    <w:rsid w:val="6A4D7232"/>
    <w:rsid w:val="6A4E2025"/>
    <w:rsid w:val="6A520EC7"/>
    <w:rsid w:val="6A537326"/>
    <w:rsid w:val="6A563A62"/>
    <w:rsid w:val="6A57356D"/>
    <w:rsid w:val="6A58046F"/>
    <w:rsid w:val="6A58493C"/>
    <w:rsid w:val="6A64789D"/>
    <w:rsid w:val="6A6652AB"/>
    <w:rsid w:val="6A687B43"/>
    <w:rsid w:val="6A697D3C"/>
    <w:rsid w:val="6A6C5840"/>
    <w:rsid w:val="6A721EA2"/>
    <w:rsid w:val="6A7379C8"/>
    <w:rsid w:val="6A757BBE"/>
    <w:rsid w:val="6A7960E5"/>
    <w:rsid w:val="6A7B0828"/>
    <w:rsid w:val="6A815C41"/>
    <w:rsid w:val="6A9364EA"/>
    <w:rsid w:val="6A9A4F55"/>
    <w:rsid w:val="6A9C0897"/>
    <w:rsid w:val="6AA81420"/>
    <w:rsid w:val="6AAD2EDA"/>
    <w:rsid w:val="6AAD4C88"/>
    <w:rsid w:val="6AAE4347"/>
    <w:rsid w:val="6AB46016"/>
    <w:rsid w:val="6AB51D8E"/>
    <w:rsid w:val="6ABA55F7"/>
    <w:rsid w:val="6ABC61BB"/>
    <w:rsid w:val="6AC43927"/>
    <w:rsid w:val="6AC47324"/>
    <w:rsid w:val="6AC527E9"/>
    <w:rsid w:val="6ACB3360"/>
    <w:rsid w:val="6AD12253"/>
    <w:rsid w:val="6AD27DC4"/>
    <w:rsid w:val="6AD67A27"/>
    <w:rsid w:val="6AD77F57"/>
    <w:rsid w:val="6ADC7038"/>
    <w:rsid w:val="6ADF06DE"/>
    <w:rsid w:val="6AE04D82"/>
    <w:rsid w:val="6AE47CB9"/>
    <w:rsid w:val="6AE85D4F"/>
    <w:rsid w:val="6AEA5F00"/>
    <w:rsid w:val="6AEB755E"/>
    <w:rsid w:val="6AED32D6"/>
    <w:rsid w:val="6AF87E20"/>
    <w:rsid w:val="6AFA3F1E"/>
    <w:rsid w:val="6AFB4456"/>
    <w:rsid w:val="6AFC0403"/>
    <w:rsid w:val="6B030D4C"/>
    <w:rsid w:val="6B0638BC"/>
    <w:rsid w:val="6B0D1BCA"/>
    <w:rsid w:val="6B106FC5"/>
    <w:rsid w:val="6B151AB7"/>
    <w:rsid w:val="6B1C5EE7"/>
    <w:rsid w:val="6B1E16E2"/>
    <w:rsid w:val="6B21527D"/>
    <w:rsid w:val="6B227A82"/>
    <w:rsid w:val="6B233926"/>
    <w:rsid w:val="6B250CC2"/>
    <w:rsid w:val="6B264A3A"/>
    <w:rsid w:val="6B2C2051"/>
    <w:rsid w:val="6B322639"/>
    <w:rsid w:val="6B332CDE"/>
    <w:rsid w:val="6B3F1BC1"/>
    <w:rsid w:val="6B4078AA"/>
    <w:rsid w:val="6B4B22CA"/>
    <w:rsid w:val="6B4B4D56"/>
    <w:rsid w:val="6B4D0B82"/>
    <w:rsid w:val="6B546DA9"/>
    <w:rsid w:val="6B657A90"/>
    <w:rsid w:val="6B693C73"/>
    <w:rsid w:val="6B6D7F88"/>
    <w:rsid w:val="6B723553"/>
    <w:rsid w:val="6B7C16E9"/>
    <w:rsid w:val="6B8222FA"/>
    <w:rsid w:val="6B8474C6"/>
    <w:rsid w:val="6B8B1B3D"/>
    <w:rsid w:val="6B8E4D79"/>
    <w:rsid w:val="6B8E7D54"/>
    <w:rsid w:val="6B953331"/>
    <w:rsid w:val="6B9B0F84"/>
    <w:rsid w:val="6B9C01C8"/>
    <w:rsid w:val="6B9C0CC3"/>
    <w:rsid w:val="6B9E1CDF"/>
    <w:rsid w:val="6B9F653B"/>
    <w:rsid w:val="6BA047ED"/>
    <w:rsid w:val="6BA240C1"/>
    <w:rsid w:val="6BB0083E"/>
    <w:rsid w:val="6BB10A4A"/>
    <w:rsid w:val="6BB8040C"/>
    <w:rsid w:val="6BBB5A1F"/>
    <w:rsid w:val="6BBD0EFB"/>
    <w:rsid w:val="6BC02799"/>
    <w:rsid w:val="6BC1683A"/>
    <w:rsid w:val="6BC54708"/>
    <w:rsid w:val="6BCB05F1"/>
    <w:rsid w:val="6BCD120B"/>
    <w:rsid w:val="6BD050D2"/>
    <w:rsid w:val="6BD10A6B"/>
    <w:rsid w:val="6BD140C6"/>
    <w:rsid w:val="6BDC1388"/>
    <w:rsid w:val="6BE0108D"/>
    <w:rsid w:val="6BE16873"/>
    <w:rsid w:val="6BE4292B"/>
    <w:rsid w:val="6BE57FCF"/>
    <w:rsid w:val="6BEB1F0C"/>
    <w:rsid w:val="6BEC17E0"/>
    <w:rsid w:val="6BED5AC6"/>
    <w:rsid w:val="6BF426B9"/>
    <w:rsid w:val="6BF572A8"/>
    <w:rsid w:val="6BF6440D"/>
    <w:rsid w:val="6BF7178C"/>
    <w:rsid w:val="6BF74882"/>
    <w:rsid w:val="6BF87D40"/>
    <w:rsid w:val="6BFD1C3F"/>
    <w:rsid w:val="6C021E4C"/>
    <w:rsid w:val="6C0307C0"/>
    <w:rsid w:val="6C053A5D"/>
    <w:rsid w:val="6C072CED"/>
    <w:rsid w:val="6C083AA7"/>
    <w:rsid w:val="6C0B605F"/>
    <w:rsid w:val="6C0B664D"/>
    <w:rsid w:val="6C0F5C50"/>
    <w:rsid w:val="6C11698D"/>
    <w:rsid w:val="6C1B56FB"/>
    <w:rsid w:val="6C20148A"/>
    <w:rsid w:val="6C225202"/>
    <w:rsid w:val="6C264CF2"/>
    <w:rsid w:val="6C2840CC"/>
    <w:rsid w:val="6C2947E2"/>
    <w:rsid w:val="6C332C64"/>
    <w:rsid w:val="6C375151"/>
    <w:rsid w:val="6C3917ED"/>
    <w:rsid w:val="6C3C0ACD"/>
    <w:rsid w:val="6C420F8A"/>
    <w:rsid w:val="6C423AF6"/>
    <w:rsid w:val="6C425506"/>
    <w:rsid w:val="6C4674C2"/>
    <w:rsid w:val="6C47110C"/>
    <w:rsid w:val="6C494258"/>
    <w:rsid w:val="6C4C54AA"/>
    <w:rsid w:val="6C4C64C1"/>
    <w:rsid w:val="6C4F379E"/>
    <w:rsid w:val="6C507FC1"/>
    <w:rsid w:val="6C527544"/>
    <w:rsid w:val="6C564EB1"/>
    <w:rsid w:val="6C587073"/>
    <w:rsid w:val="6C5B6EDA"/>
    <w:rsid w:val="6C5F0204"/>
    <w:rsid w:val="6C630EC1"/>
    <w:rsid w:val="6C636C38"/>
    <w:rsid w:val="6C67530A"/>
    <w:rsid w:val="6C6E0447"/>
    <w:rsid w:val="6C730E20"/>
    <w:rsid w:val="6C7468CE"/>
    <w:rsid w:val="6C747658"/>
    <w:rsid w:val="6C747B66"/>
    <w:rsid w:val="6C7B0E38"/>
    <w:rsid w:val="6C7E2CAC"/>
    <w:rsid w:val="6C7F2654"/>
    <w:rsid w:val="6C832144"/>
    <w:rsid w:val="6C884B18"/>
    <w:rsid w:val="6C88775B"/>
    <w:rsid w:val="6C907761"/>
    <w:rsid w:val="6C9327EC"/>
    <w:rsid w:val="6C97174C"/>
    <w:rsid w:val="6C9A748E"/>
    <w:rsid w:val="6CA35327"/>
    <w:rsid w:val="6CA74554"/>
    <w:rsid w:val="6CA9147F"/>
    <w:rsid w:val="6CAC2DE0"/>
    <w:rsid w:val="6CAF118B"/>
    <w:rsid w:val="6CB30550"/>
    <w:rsid w:val="6CBA0AE5"/>
    <w:rsid w:val="6CBC56D8"/>
    <w:rsid w:val="6CBE3029"/>
    <w:rsid w:val="6CBE5C36"/>
    <w:rsid w:val="6CBF4040"/>
    <w:rsid w:val="6CC12C6C"/>
    <w:rsid w:val="6CC31F64"/>
    <w:rsid w:val="6CCF37A9"/>
    <w:rsid w:val="6CD1113C"/>
    <w:rsid w:val="6CD208AF"/>
    <w:rsid w:val="6CDE737B"/>
    <w:rsid w:val="6CE34991"/>
    <w:rsid w:val="6CE84D5A"/>
    <w:rsid w:val="6CEB48D8"/>
    <w:rsid w:val="6CFC3B75"/>
    <w:rsid w:val="6CFC710B"/>
    <w:rsid w:val="6CFF5543"/>
    <w:rsid w:val="6D06067F"/>
    <w:rsid w:val="6D064B23"/>
    <w:rsid w:val="6D08089B"/>
    <w:rsid w:val="6D0936FF"/>
    <w:rsid w:val="6D0B3EE8"/>
    <w:rsid w:val="6D0C7A1B"/>
    <w:rsid w:val="6D185B70"/>
    <w:rsid w:val="6D190260"/>
    <w:rsid w:val="6D195F0B"/>
    <w:rsid w:val="6D2A3396"/>
    <w:rsid w:val="6D2E6300"/>
    <w:rsid w:val="6D355868"/>
    <w:rsid w:val="6D371181"/>
    <w:rsid w:val="6D396CA7"/>
    <w:rsid w:val="6D3A3386"/>
    <w:rsid w:val="6D411C47"/>
    <w:rsid w:val="6D426A89"/>
    <w:rsid w:val="6D467BCA"/>
    <w:rsid w:val="6D480C98"/>
    <w:rsid w:val="6D484EBB"/>
    <w:rsid w:val="6D4D4500"/>
    <w:rsid w:val="6D4E3E17"/>
    <w:rsid w:val="6D4F30B5"/>
    <w:rsid w:val="6D521B17"/>
    <w:rsid w:val="6D5B4E6F"/>
    <w:rsid w:val="6D5E1042"/>
    <w:rsid w:val="6D605470"/>
    <w:rsid w:val="6D610E81"/>
    <w:rsid w:val="6D64426C"/>
    <w:rsid w:val="6D660C83"/>
    <w:rsid w:val="6D686AB5"/>
    <w:rsid w:val="6D6F226E"/>
    <w:rsid w:val="6D710D5E"/>
    <w:rsid w:val="6D742357"/>
    <w:rsid w:val="6D7777CF"/>
    <w:rsid w:val="6D7C6D55"/>
    <w:rsid w:val="6D8343C6"/>
    <w:rsid w:val="6D8445D4"/>
    <w:rsid w:val="6D944304"/>
    <w:rsid w:val="6D956B6F"/>
    <w:rsid w:val="6D9640F9"/>
    <w:rsid w:val="6DA32372"/>
    <w:rsid w:val="6DA42E20"/>
    <w:rsid w:val="6DA67457"/>
    <w:rsid w:val="6DB34098"/>
    <w:rsid w:val="6DB545B6"/>
    <w:rsid w:val="6DB85411"/>
    <w:rsid w:val="6DB92C24"/>
    <w:rsid w:val="6DBE0F5A"/>
    <w:rsid w:val="6DBE53FE"/>
    <w:rsid w:val="6DC45291"/>
    <w:rsid w:val="6DCA5B51"/>
    <w:rsid w:val="6DCD0545"/>
    <w:rsid w:val="6DCE3893"/>
    <w:rsid w:val="6DD4077E"/>
    <w:rsid w:val="6DD61F24"/>
    <w:rsid w:val="6DD62748"/>
    <w:rsid w:val="6DD671D0"/>
    <w:rsid w:val="6DD8201C"/>
    <w:rsid w:val="6DD96F04"/>
    <w:rsid w:val="6DDE33AA"/>
    <w:rsid w:val="6DDF784E"/>
    <w:rsid w:val="6DE02FB4"/>
    <w:rsid w:val="6DE05374"/>
    <w:rsid w:val="6DE23187"/>
    <w:rsid w:val="6DF04A43"/>
    <w:rsid w:val="6DF42BCE"/>
    <w:rsid w:val="6DFE57FA"/>
    <w:rsid w:val="6DFF1C9E"/>
    <w:rsid w:val="6E032E11"/>
    <w:rsid w:val="6E040C1C"/>
    <w:rsid w:val="6E0A0B02"/>
    <w:rsid w:val="6E0D7A5D"/>
    <w:rsid w:val="6E10538A"/>
    <w:rsid w:val="6E134A97"/>
    <w:rsid w:val="6E14501E"/>
    <w:rsid w:val="6E146AD4"/>
    <w:rsid w:val="6E193A72"/>
    <w:rsid w:val="6E1B45FE"/>
    <w:rsid w:val="6E1B63AC"/>
    <w:rsid w:val="6E2434B3"/>
    <w:rsid w:val="6E26547D"/>
    <w:rsid w:val="6E2B60A5"/>
    <w:rsid w:val="6E313045"/>
    <w:rsid w:val="6E350903"/>
    <w:rsid w:val="6E364F94"/>
    <w:rsid w:val="6E396833"/>
    <w:rsid w:val="6E3B6A4F"/>
    <w:rsid w:val="6E3C0915"/>
    <w:rsid w:val="6E3D732E"/>
    <w:rsid w:val="6E405E13"/>
    <w:rsid w:val="6E414065"/>
    <w:rsid w:val="6E4476B1"/>
    <w:rsid w:val="6E5033BD"/>
    <w:rsid w:val="6E514CED"/>
    <w:rsid w:val="6E5242A4"/>
    <w:rsid w:val="6E536DC3"/>
    <w:rsid w:val="6E5B57C7"/>
    <w:rsid w:val="6E5D01D4"/>
    <w:rsid w:val="6E627D5C"/>
    <w:rsid w:val="6E657628"/>
    <w:rsid w:val="6E675DDE"/>
    <w:rsid w:val="6E70494A"/>
    <w:rsid w:val="6E737F96"/>
    <w:rsid w:val="6E794BE2"/>
    <w:rsid w:val="6E7F4B8D"/>
    <w:rsid w:val="6E812DDF"/>
    <w:rsid w:val="6E847E6D"/>
    <w:rsid w:val="6E8A79E7"/>
    <w:rsid w:val="6E930639"/>
    <w:rsid w:val="6E9C37BB"/>
    <w:rsid w:val="6E9D3265"/>
    <w:rsid w:val="6E9D68A1"/>
    <w:rsid w:val="6E9F5CC8"/>
    <w:rsid w:val="6EA2087C"/>
    <w:rsid w:val="6EA51021"/>
    <w:rsid w:val="6EA55B53"/>
    <w:rsid w:val="6EA97E5C"/>
    <w:rsid w:val="6EAE2C78"/>
    <w:rsid w:val="6EB011EB"/>
    <w:rsid w:val="6EB07C51"/>
    <w:rsid w:val="6EB563D5"/>
    <w:rsid w:val="6EB760D5"/>
    <w:rsid w:val="6EB84B2A"/>
    <w:rsid w:val="6EC16F54"/>
    <w:rsid w:val="6EC24A7A"/>
    <w:rsid w:val="6ECB392F"/>
    <w:rsid w:val="6ECD2CC0"/>
    <w:rsid w:val="6ED30E58"/>
    <w:rsid w:val="6ED44ED9"/>
    <w:rsid w:val="6ED8429D"/>
    <w:rsid w:val="6ED92677"/>
    <w:rsid w:val="6EDB59B8"/>
    <w:rsid w:val="6EE3000B"/>
    <w:rsid w:val="6EEB3FD1"/>
    <w:rsid w:val="6EEC4B1B"/>
    <w:rsid w:val="6EED435F"/>
    <w:rsid w:val="6EF83C44"/>
    <w:rsid w:val="6EFC61DE"/>
    <w:rsid w:val="6EFE2DFA"/>
    <w:rsid w:val="6F011A46"/>
    <w:rsid w:val="6F0137F4"/>
    <w:rsid w:val="6F042205"/>
    <w:rsid w:val="6F045092"/>
    <w:rsid w:val="6F0B4673"/>
    <w:rsid w:val="6F147FEC"/>
    <w:rsid w:val="6F1A6664"/>
    <w:rsid w:val="6F1B6B22"/>
    <w:rsid w:val="6F1E6154"/>
    <w:rsid w:val="6F1F2DF1"/>
    <w:rsid w:val="6F225983"/>
    <w:rsid w:val="6F265009"/>
    <w:rsid w:val="6F2B6AC3"/>
    <w:rsid w:val="6F2C7A72"/>
    <w:rsid w:val="6F2D1032"/>
    <w:rsid w:val="6F2F7846"/>
    <w:rsid w:val="6F321C00"/>
    <w:rsid w:val="6F327E52"/>
    <w:rsid w:val="6F40683E"/>
    <w:rsid w:val="6F445933"/>
    <w:rsid w:val="6F4E60E8"/>
    <w:rsid w:val="6F5112B1"/>
    <w:rsid w:val="6F524050"/>
    <w:rsid w:val="6F570744"/>
    <w:rsid w:val="6F5B73A8"/>
    <w:rsid w:val="6F5D1B11"/>
    <w:rsid w:val="6F5D1B9D"/>
    <w:rsid w:val="6F5D3D19"/>
    <w:rsid w:val="6F616DF1"/>
    <w:rsid w:val="6F667AFB"/>
    <w:rsid w:val="6F6B4515"/>
    <w:rsid w:val="6F6D7514"/>
    <w:rsid w:val="6F723E97"/>
    <w:rsid w:val="6F745D74"/>
    <w:rsid w:val="6F7B4147"/>
    <w:rsid w:val="6F7B65A5"/>
    <w:rsid w:val="6F854425"/>
    <w:rsid w:val="6F8700E6"/>
    <w:rsid w:val="6F941206"/>
    <w:rsid w:val="6F9F0ABE"/>
    <w:rsid w:val="6FA26D85"/>
    <w:rsid w:val="6FA50565"/>
    <w:rsid w:val="6FA819D5"/>
    <w:rsid w:val="6FAC19B2"/>
    <w:rsid w:val="6FAF14A2"/>
    <w:rsid w:val="6FAF4FFE"/>
    <w:rsid w:val="6FB17D13"/>
    <w:rsid w:val="6FB72105"/>
    <w:rsid w:val="6FBD3BBF"/>
    <w:rsid w:val="6FC01963"/>
    <w:rsid w:val="6FC62348"/>
    <w:rsid w:val="6FCA1E38"/>
    <w:rsid w:val="6FCA62DC"/>
    <w:rsid w:val="6FD15114"/>
    <w:rsid w:val="6FD26359"/>
    <w:rsid w:val="6FD74CF9"/>
    <w:rsid w:val="6FD9651F"/>
    <w:rsid w:val="6FDD0EAC"/>
    <w:rsid w:val="6FE0340A"/>
    <w:rsid w:val="6FEA4288"/>
    <w:rsid w:val="6FEC7DD1"/>
    <w:rsid w:val="6FEF6EA6"/>
    <w:rsid w:val="6FF033C7"/>
    <w:rsid w:val="6FF135A7"/>
    <w:rsid w:val="6FF535A2"/>
    <w:rsid w:val="6FF60E7F"/>
    <w:rsid w:val="6FF670D1"/>
    <w:rsid w:val="6FFC4540"/>
    <w:rsid w:val="6FFC5590"/>
    <w:rsid w:val="70001E65"/>
    <w:rsid w:val="7004359C"/>
    <w:rsid w:val="700510C2"/>
    <w:rsid w:val="70052FBB"/>
    <w:rsid w:val="700C2451"/>
    <w:rsid w:val="700E61C9"/>
    <w:rsid w:val="7016666F"/>
    <w:rsid w:val="701745A0"/>
    <w:rsid w:val="701A2DBF"/>
    <w:rsid w:val="701A42C0"/>
    <w:rsid w:val="7024431E"/>
    <w:rsid w:val="7024575A"/>
    <w:rsid w:val="702B14E6"/>
    <w:rsid w:val="70327D62"/>
    <w:rsid w:val="70333E81"/>
    <w:rsid w:val="7047080D"/>
    <w:rsid w:val="70473A56"/>
    <w:rsid w:val="704A2F79"/>
    <w:rsid w:val="704A4B4A"/>
    <w:rsid w:val="704B29AE"/>
    <w:rsid w:val="704E4817"/>
    <w:rsid w:val="705D2420"/>
    <w:rsid w:val="70604239"/>
    <w:rsid w:val="70611A79"/>
    <w:rsid w:val="70622B6A"/>
    <w:rsid w:val="7064403B"/>
    <w:rsid w:val="706B26F6"/>
    <w:rsid w:val="706B471C"/>
    <w:rsid w:val="706D1DD0"/>
    <w:rsid w:val="707161D5"/>
    <w:rsid w:val="707634ED"/>
    <w:rsid w:val="707A1ADB"/>
    <w:rsid w:val="707B75D6"/>
    <w:rsid w:val="708259FC"/>
    <w:rsid w:val="7084750E"/>
    <w:rsid w:val="70856B87"/>
    <w:rsid w:val="7086485C"/>
    <w:rsid w:val="70871AD7"/>
    <w:rsid w:val="7088272A"/>
    <w:rsid w:val="708855C3"/>
    <w:rsid w:val="708C37BF"/>
    <w:rsid w:val="709064CB"/>
    <w:rsid w:val="709443EB"/>
    <w:rsid w:val="70952446"/>
    <w:rsid w:val="7095411B"/>
    <w:rsid w:val="709D1624"/>
    <w:rsid w:val="70A258B7"/>
    <w:rsid w:val="70AE130D"/>
    <w:rsid w:val="70AE2C6B"/>
    <w:rsid w:val="70B14535"/>
    <w:rsid w:val="70B758D6"/>
    <w:rsid w:val="70BC3F26"/>
    <w:rsid w:val="70BC5C25"/>
    <w:rsid w:val="70BC660F"/>
    <w:rsid w:val="70BF4F56"/>
    <w:rsid w:val="70C07FE0"/>
    <w:rsid w:val="70C8281B"/>
    <w:rsid w:val="70C920F0"/>
    <w:rsid w:val="70C956B0"/>
    <w:rsid w:val="70CB38B7"/>
    <w:rsid w:val="70CD6C36"/>
    <w:rsid w:val="70CF0326"/>
    <w:rsid w:val="70D016D0"/>
    <w:rsid w:val="70D34F79"/>
    <w:rsid w:val="70D527EE"/>
    <w:rsid w:val="70D6602F"/>
    <w:rsid w:val="70D70CB1"/>
    <w:rsid w:val="70E17439"/>
    <w:rsid w:val="70EC07BF"/>
    <w:rsid w:val="70EF250C"/>
    <w:rsid w:val="70F116B0"/>
    <w:rsid w:val="70F70BFC"/>
    <w:rsid w:val="70FD580E"/>
    <w:rsid w:val="70FE165F"/>
    <w:rsid w:val="7100498F"/>
    <w:rsid w:val="71020599"/>
    <w:rsid w:val="71025602"/>
    <w:rsid w:val="710540F1"/>
    <w:rsid w:val="71107D1F"/>
    <w:rsid w:val="71147849"/>
    <w:rsid w:val="71186BD3"/>
    <w:rsid w:val="711F4406"/>
    <w:rsid w:val="71237A52"/>
    <w:rsid w:val="71242AF6"/>
    <w:rsid w:val="712612F0"/>
    <w:rsid w:val="71295B87"/>
    <w:rsid w:val="712D0A98"/>
    <w:rsid w:val="71357E6F"/>
    <w:rsid w:val="7140061E"/>
    <w:rsid w:val="714A1482"/>
    <w:rsid w:val="714A76D4"/>
    <w:rsid w:val="714B6AB1"/>
    <w:rsid w:val="714F1A78"/>
    <w:rsid w:val="71507188"/>
    <w:rsid w:val="71523E71"/>
    <w:rsid w:val="715440AF"/>
    <w:rsid w:val="715B5300"/>
    <w:rsid w:val="715C7408"/>
    <w:rsid w:val="71711ECE"/>
    <w:rsid w:val="717E737E"/>
    <w:rsid w:val="71860688"/>
    <w:rsid w:val="718D7451"/>
    <w:rsid w:val="7199712F"/>
    <w:rsid w:val="719A3A8C"/>
    <w:rsid w:val="719A4F45"/>
    <w:rsid w:val="71A10C5A"/>
    <w:rsid w:val="71A62431"/>
    <w:rsid w:val="71A87F57"/>
    <w:rsid w:val="71AD37BF"/>
    <w:rsid w:val="71AE309E"/>
    <w:rsid w:val="71B03679"/>
    <w:rsid w:val="71B21B83"/>
    <w:rsid w:val="71B3226A"/>
    <w:rsid w:val="71B7463E"/>
    <w:rsid w:val="71BB3875"/>
    <w:rsid w:val="71C00396"/>
    <w:rsid w:val="71C01745"/>
    <w:rsid w:val="71C22860"/>
    <w:rsid w:val="71D222BD"/>
    <w:rsid w:val="71D27F8A"/>
    <w:rsid w:val="71D77D60"/>
    <w:rsid w:val="71D95ABC"/>
    <w:rsid w:val="71D97213"/>
    <w:rsid w:val="71DD7AC1"/>
    <w:rsid w:val="71E53AF6"/>
    <w:rsid w:val="71E54A92"/>
    <w:rsid w:val="71E7296F"/>
    <w:rsid w:val="71EA4432"/>
    <w:rsid w:val="71EF132F"/>
    <w:rsid w:val="71F118FE"/>
    <w:rsid w:val="71F30E81"/>
    <w:rsid w:val="71F32978"/>
    <w:rsid w:val="71F633B8"/>
    <w:rsid w:val="71F92EA9"/>
    <w:rsid w:val="7206680A"/>
    <w:rsid w:val="7207153E"/>
    <w:rsid w:val="72075BBE"/>
    <w:rsid w:val="720C2BDC"/>
    <w:rsid w:val="720D425E"/>
    <w:rsid w:val="720F7FD6"/>
    <w:rsid w:val="7227551A"/>
    <w:rsid w:val="72285514"/>
    <w:rsid w:val="722C34ED"/>
    <w:rsid w:val="722D66AE"/>
    <w:rsid w:val="722D72D6"/>
    <w:rsid w:val="722F1A94"/>
    <w:rsid w:val="72307D49"/>
    <w:rsid w:val="72343EE1"/>
    <w:rsid w:val="7235622E"/>
    <w:rsid w:val="723C018B"/>
    <w:rsid w:val="723E07D8"/>
    <w:rsid w:val="723E08BB"/>
    <w:rsid w:val="724539F8"/>
    <w:rsid w:val="724578BC"/>
    <w:rsid w:val="724E6D50"/>
    <w:rsid w:val="724F0F55"/>
    <w:rsid w:val="72553024"/>
    <w:rsid w:val="725560EA"/>
    <w:rsid w:val="725A07B6"/>
    <w:rsid w:val="725D0E4E"/>
    <w:rsid w:val="725E2516"/>
    <w:rsid w:val="72620A4E"/>
    <w:rsid w:val="726A7902"/>
    <w:rsid w:val="726C71D7"/>
    <w:rsid w:val="726E73F3"/>
    <w:rsid w:val="7270316B"/>
    <w:rsid w:val="727350C6"/>
    <w:rsid w:val="727506AD"/>
    <w:rsid w:val="72797301"/>
    <w:rsid w:val="727B2178"/>
    <w:rsid w:val="727C14DD"/>
    <w:rsid w:val="727C3800"/>
    <w:rsid w:val="727E6F0A"/>
    <w:rsid w:val="72810D31"/>
    <w:rsid w:val="728468F7"/>
    <w:rsid w:val="72897D89"/>
    <w:rsid w:val="728A58AF"/>
    <w:rsid w:val="728B1D53"/>
    <w:rsid w:val="728C5898"/>
    <w:rsid w:val="728D0BCE"/>
    <w:rsid w:val="728F1117"/>
    <w:rsid w:val="7298446F"/>
    <w:rsid w:val="72987FCC"/>
    <w:rsid w:val="7299722C"/>
    <w:rsid w:val="729B64BC"/>
    <w:rsid w:val="72A10155"/>
    <w:rsid w:val="72A11576"/>
    <w:rsid w:val="72A20E4A"/>
    <w:rsid w:val="72A252EE"/>
    <w:rsid w:val="72A66B8C"/>
    <w:rsid w:val="72AA50AE"/>
    <w:rsid w:val="72AE0E98"/>
    <w:rsid w:val="72B1108D"/>
    <w:rsid w:val="72B172DF"/>
    <w:rsid w:val="72BA30C7"/>
    <w:rsid w:val="72BD38CB"/>
    <w:rsid w:val="72C7744F"/>
    <w:rsid w:val="72C9287B"/>
    <w:rsid w:val="72CB0EC5"/>
    <w:rsid w:val="72CC4119"/>
    <w:rsid w:val="72D27981"/>
    <w:rsid w:val="72D31915"/>
    <w:rsid w:val="72D609D7"/>
    <w:rsid w:val="72D74F98"/>
    <w:rsid w:val="72EF4A6F"/>
    <w:rsid w:val="73021314"/>
    <w:rsid w:val="73045661"/>
    <w:rsid w:val="73063468"/>
    <w:rsid w:val="73093C85"/>
    <w:rsid w:val="730E59D8"/>
    <w:rsid w:val="73122968"/>
    <w:rsid w:val="731B43AB"/>
    <w:rsid w:val="731F5D5E"/>
    <w:rsid w:val="7320405D"/>
    <w:rsid w:val="73214465"/>
    <w:rsid w:val="73216977"/>
    <w:rsid w:val="73251266"/>
    <w:rsid w:val="73263829"/>
    <w:rsid w:val="73292630"/>
    <w:rsid w:val="732B7092"/>
    <w:rsid w:val="73337CF4"/>
    <w:rsid w:val="73361E3A"/>
    <w:rsid w:val="733777E5"/>
    <w:rsid w:val="733C4E98"/>
    <w:rsid w:val="733E5017"/>
    <w:rsid w:val="734105D0"/>
    <w:rsid w:val="7342107F"/>
    <w:rsid w:val="7343581A"/>
    <w:rsid w:val="73463ECB"/>
    <w:rsid w:val="7349294A"/>
    <w:rsid w:val="73494758"/>
    <w:rsid w:val="734B14E2"/>
    <w:rsid w:val="734D5DB1"/>
    <w:rsid w:val="73551CF6"/>
    <w:rsid w:val="7357396F"/>
    <w:rsid w:val="735E01CF"/>
    <w:rsid w:val="7360798C"/>
    <w:rsid w:val="73683E42"/>
    <w:rsid w:val="736B39EE"/>
    <w:rsid w:val="736E51D0"/>
    <w:rsid w:val="736F3422"/>
    <w:rsid w:val="7370719A"/>
    <w:rsid w:val="73722F12"/>
    <w:rsid w:val="73724CC1"/>
    <w:rsid w:val="737B1503"/>
    <w:rsid w:val="73880040"/>
    <w:rsid w:val="738E5E29"/>
    <w:rsid w:val="73903399"/>
    <w:rsid w:val="73903C8D"/>
    <w:rsid w:val="7393089D"/>
    <w:rsid w:val="73942E89"/>
    <w:rsid w:val="73983C24"/>
    <w:rsid w:val="73A65E31"/>
    <w:rsid w:val="73A94CE3"/>
    <w:rsid w:val="73B06CF5"/>
    <w:rsid w:val="73BC1BA6"/>
    <w:rsid w:val="73C3376E"/>
    <w:rsid w:val="73C51AD5"/>
    <w:rsid w:val="73C5522F"/>
    <w:rsid w:val="73C7469B"/>
    <w:rsid w:val="73C8056E"/>
    <w:rsid w:val="73C80B76"/>
    <w:rsid w:val="73CF5C6F"/>
    <w:rsid w:val="73D24856"/>
    <w:rsid w:val="73D61646"/>
    <w:rsid w:val="73E120A3"/>
    <w:rsid w:val="73E81FA9"/>
    <w:rsid w:val="73E9464B"/>
    <w:rsid w:val="73EB4C4F"/>
    <w:rsid w:val="73ED2A0E"/>
    <w:rsid w:val="73EE0034"/>
    <w:rsid w:val="73EF3D7E"/>
    <w:rsid w:val="73F213AB"/>
    <w:rsid w:val="73F6488E"/>
    <w:rsid w:val="73FB4CB6"/>
    <w:rsid w:val="7407365B"/>
    <w:rsid w:val="740873D3"/>
    <w:rsid w:val="7416389E"/>
    <w:rsid w:val="741B0F63"/>
    <w:rsid w:val="741E2752"/>
    <w:rsid w:val="741E793C"/>
    <w:rsid w:val="74222528"/>
    <w:rsid w:val="742F670E"/>
    <w:rsid w:val="743326A2"/>
    <w:rsid w:val="743C0E2B"/>
    <w:rsid w:val="743C5F09"/>
    <w:rsid w:val="743D6C43"/>
    <w:rsid w:val="74412611"/>
    <w:rsid w:val="74420371"/>
    <w:rsid w:val="74463A57"/>
    <w:rsid w:val="74542E8B"/>
    <w:rsid w:val="745439F0"/>
    <w:rsid w:val="74560447"/>
    <w:rsid w:val="745A07ED"/>
    <w:rsid w:val="745C1741"/>
    <w:rsid w:val="745D14CD"/>
    <w:rsid w:val="745E3944"/>
    <w:rsid w:val="745F1D57"/>
    <w:rsid w:val="745F5355"/>
    <w:rsid w:val="74640AAD"/>
    <w:rsid w:val="746B5893"/>
    <w:rsid w:val="746E3096"/>
    <w:rsid w:val="74793E2D"/>
    <w:rsid w:val="747B7BA5"/>
    <w:rsid w:val="747D6759"/>
    <w:rsid w:val="7487479C"/>
    <w:rsid w:val="748C1DB2"/>
    <w:rsid w:val="748C3B60"/>
    <w:rsid w:val="748F0CA1"/>
    <w:rsid w:val="74922CC2"/>
    <w:rsid w:val="749C3ABE"/>
    <w:rsid w:val="749D16C4"/>
    <w:rsid w:val="74A74054"/>
    <w:rsid w:val="74AE7F7A"/>
    <w:rsid w:val="74B26CA0"/>
    <w:rsid w:val="74B3476A"/>
    <w:rsid w:val="74B60BDD"/>
    <w:rsid w:val="74B82BA7"/>
    <w:rsid w:val="74B86703"/>
    <w:rsid w:val="74B937A2"/>
    <w:rsid w:val="74BB61F3"/>
    <w:rsid w:val="74BD01BD"/>
    <w:rsid w:val="74C002E8"/>
    <w:rsid w:val="74C0720A"/>
    <w:rsid w:val="74C65252"/>
    <w:rsid w:val="74D06055"/>
    <w:rsid w:val="74D65E5E"/>
    <w:rsid w:val="74DB7B36"/>
    <w:rsid w:val="74E0311C"/>
    <w:rsid w:val="74E05C5A"/>
    <w:rsid w:val="74E2144F"/>
    <w:rsid w:val="74E602A5"/>
    <w:rsid w:val="74E73AF3"/>
    <w:rsid w:val="74E85F78"/>
    <w:rsid w:val="74FE790A"/>
    <w:rsid w:val="75023E22"/>
    <w:rsid w:val="75093403"/>
    <w:rsid w:val="75114065"/>
    <w:rsid w:val="75155F2F"/>
    <w:rsid w:val="75173422"/>
    <w:rsid w:val="75187F68"/>
    <w:rsid w:val="75261896"/>
    <w:rsid w:val="75271ADB"/>
    <w:rsid w:val="752E2E69"/>
    <w:rsid w:val="752F7239"/>
    <w:rsid w:val="753C7334"/>
    <w:rsid w:val="753F0363"/>
    <w:rsid w:val="75432889"/>
    <w:rsid w:val="7547624C"/>
    <w:rsid w:val="7553467E"/>
    <w:rsid w:val="75556648"/>
    <w:rsid w:val="75563DE9"/>
    <w:rsid w:val="7557416E"/>
    <w:rsid w:val="755C3532"/>
    <w:rsid w:val="755D56CA"/>
    <w:rsid w:val="7561323F"/>
    <w:rsid w:val="75616D9B"/>
    <w:rsid w:val="75630BE3"/>
    <w:rsid w:val="75630D65"/>
    <w:rsid w:val="756845CD"/>
    <w:rsid w:val="756939EE"/>
    <w:rsid w:val="756B7C19"/>
    <w:rsid w:val="757765BE"/>
    <w:rsid w:val="75792336"/>
    <w:rsid w:val="7579698A"/>
    <w:rsid w:val="757A1C0A"/>
    <w:rsid w:val="757F0471"/>
    <w:rsid w:val="75823A34"/>
    <w:rsid w:val="758525CD"/>
    <w:rsid w:val="75991DD3"/>
    <w:rsid w:val="759E3B7B"/>
    <w:rsid w:val="75A4312B"/>
    <w:rsid w:val="75A768DA"/>
    <w:rsid w:val="75AB270C"/>
    <w:rsid w:val="75B02F5C"/>
    <w:rsid w:val="75B0387E"/>
    <w:rsid w:val="75B23A9A"/>
    <w:rsid w:val="75BA1B6E"/>
    <w:rsid w:val="75BC2223"/>
    <w:rsid w:val="75BC7564"/>
    <w:rsid w:val="75BE243F"/>
    <w:rsid w:val="75BE5F9B"/>
    <w:rsid w:val="75C06DDC"/>
    <w:rsid w:val="75C14B91"/>
    <w:rsid w:val="75C314B9"/>
    <w:rsid w:val="75C75614"/>
    <w:rsid w:val="75C94940"/>
    <w:rsid w:val="75D77BEA"/>
    <w:rsid w:val="75D91027"/>
    <w:rsid w:val="75DB08AC"/>
    <w:rsid w:val="75DB165A"/>
    <w:rsid w:val="75E15FAD"/>
    <w:rsid w:val="75E5499B"/>
    <w:rsid w:val="75E7638A"/>
    <w:rsid w:val="75E7791A"/>
    <w:rsid w:val="75EC7227"/>
    <w:rsid w:val="75EF084A"/>
    <w:rsid w:val="75F145C2"/>
    <w:rsid w:val="75F63F3A"/>
    <w:rsid w:val="75FB2AD6"/>
    <w:rsid w:val="75FB71EF"/>
    <w:rsid w:val="75FC4D15"/>
    <w:rsid w:val="75FD4D73"/>
    <w:rsid w:val="76004806"/>
    <w:rsid w:val="76045C08"/>
    <w:rsid w:val="76053BCA"/>
    <w:rsid w:val="760836BA"/>
    <w:rsid w:val="76096858"/>
    <w:rsid w:val="760D05B1"/>
    <w:rsid w:val="760F59F0"/>
    <w:rsid w:val="76196862"/>
    <w:rsid w:val="761B5E70"/>
    <w:rsid w:val="761C14AF"/>
    <w:rsid w:val="761F3F13"/>
    <w:rsid w:val="76226F35"/>
    <w:rsid w:val="76227814"/>
    <w:rsid w:val="7635099D"/>
    <w:rsid w:val="76372875"/>
    <w:rsid w:val="76391AC6"/>
    <w:rsid w:val="763D7808"/>
    <w:rsid w:val="763E0E8A"/>
    <w:rsid w:val="7641561A"/>
    <w:rsid w:val="764B552E"/>
    <w:rsid w:val="764E6AD3"/>
    <w:rsid w:val="764F753B"/>
    <w:rsid w:val="76500C84"/>
    <w:rsid w:val="76503571"/>
    <w:rsid w:val="76516E0F"/>
    <w:rsid w:val="76532D99"/>
    <w:rsid w:val="76555F5A"/>
    <w:rsid w:val="765863F0"/>
    <w:rsid w:val="76595CC4"/>
    <w:rsid w:val="765B1A3C"/>
    <w:rsid w:val="765E4736"/>
    <w:rsid w:val="76654669"/>
    <w:rsid w:val="76666712"/>
    <w:rsid w:val="766D6E76"/>
    <w:rsid w:val="76726D86"/>
    <w:rsid w:val="767717AF"/>
    <w:rsid w:val="767825EE"/>
    <w:rsid w:val="767D7C04"/>
    <w:rsid w:val="76854EC0"/>
    <w:rsid w:val="76880357"/>
    <w:rsid w:val="768B609B"/>
    <w:rsid w:val="769211D6"/>
    <w:rsid w:val="76936B2F"/>
    <w:rsid w:val="769907B6"/>
    <w:rsid w:val="769A5E93"/>
    <w:rsid w:val="76A62091"/>
    <w:rsid w:val="76A90E52"/>
    <w:rsid w:val="76AC04E9"/>
    <w:rsid w:val="76AC62C1"/>
    <w:rsid w:val="76B01037"/>
    <w:rsid w:val="76BC72B4"/>
    <w:rsid w:val="76BF646F"/>
    <w:rsid w:val="76C570F0"/>
    <w:rsid w:val="76C67745"/>
    <w:rsid w:val="76C802F8"/>
    <w:rsid w:val="76CD24B2"/>
    <w:rsid w:val="76CF41D8"/>
    <w:rsid w:val="76D0242A"/>
    <w:rsid w:val="76D37824"/>
    <w:rsid w:val="76D57A40"/>
    <w:rsid w:val="76DF7DC1"/>
    <w:rsid w:val="76E74CCF"/>
    <w:rsid w:val="76E85717"/>
    <w:rsid w:val="76E97048"/>
    <w:rsid w:val="76F00FF8"/>
    <w:rsid w:val="76F55000"/>
    <w:rsid w:val="76F824BC"/>
    <w:rsid w:val="76F854DD"/>
    <w:rsid w:val="76F9750B"/>
    <w:rsid w:val="76FA1DA2"/>
    <w:rsid w:val="76FC1C39"/>
    <w:rsid w:val="77006DD1"/>
    <w:rsid w:val="77072987"/>
    <w:rsid w:val="77073C31"/>
    <w:rsid w:val="77091498"/>
    <w:rsid w:val="770E2F52"/>
    <w:rsid w:val="771F2A69"/>
    <w:rsid w:val="77250B48"/>
    <w:rsid w:val="77271598"/>
    <w:rsid w:val="772B58B2"/>
    <w:rsid w:val="77305033"/>
    <w:rsid w:val="77334C37"/>
    <w:rsid w:val="773804C7"/>
    <w:rsid w:val="773F4EBA"/>
    <w:rsid w:val="77414717"/>
    <w:rsid w:val="774150D6"/>
    <w:rsid w:val="77422BFC"/>
    <w:rsid w:val="77493394"/>
    <w:rsid w:val="774E2C56"/>
    <w:rsid w:val="774F52A3"/>
    <w:rsid w:val="77514BED"/>
    <w:rsid w:val="77517FDB"/>
    <w:rsid w:val="775546DD"/>
    <w:rsid w:val="775D7DE6"/>
    <w:rsid w:val="77664B3C"/>
    <w:rsid w:val="77731007"/>
    <w:rsid w:val="77732816"/>
    <w:rsid w:val="77756B2D"/>
    <w:rsid w:val="77762421"/>
    <w:rsid w:val="77784870"/>
    <w:rsid w:val="778063F1"/>
    <w:rsid w:val="7782124A"/>
    <w:rsid w:val="77847601"/>
    <w:rsid w:val="778F3FED"/>
    <w:rsid w:val="778F7D5F"/>
    <w:rsid w:val="779807BE"/>
    <w:rsid w:val="779F1915"/>
    <w:rsid w:val="779F1DFC"/>
    <w:rsid w:val="77A0511A"/>
    <w:rsid w:val="77A0522A"/>
    <w:rsid w:val="77B04009"/>
    <w:rsid w:val="77B56B1F"/>
    <w:rsid w:val="77BF5FFA"/>
    <w:rsid w:val="77C1415C"/>
    <w:rsid w:val="77C57C02"/>
    <w:rsid w:val="77C61018"/>
    <w:rsid w:val="77CB2BF1"/>
    <w:rsid w:val="77CD4BBB"/>
    <w:rsid w:val="77CD7CE9"/>
    <w:rsid w:val="77D41B61"/>
    <w:rsid w:val="77D53A70"/>
    <w:rsid w:val="77DC4BB9"/>
    <w:rsid w:val="77DE2A7C"/>
    <w:rsid w:val="77DE6580"/>
    <w:rsid w:val="77F4039A"/>
    <w:rsid w:val="77F43800"/>
    <w:rsid w:val="780103C1"/>
    <w:rsid w:val="78054355"/>
    <w:rsid w:val="780B56E4"/>
    <w:rsid w:val="780C6C3C"/>
    <w:rsid w:val="780F09F4"/>
    <w:rsid w:val="780F62B6"/>
    <w:rsid w:val="781118D9"/>
    <w:rsid w:val="781547E3"/>
    <w:rsid w:val="78174144"/>
    <w:rsid w:val="781817D7"/>
    <w:rsid w:val="78202F3D"/>
    <w:rsid w:val="78212811"/>
    <w:rsid w:val="7822288A"/>
    <w:rsid w:val="782335FF"/>
    <w:rsid w:val="78270D8E"/>
    <w:rsid w:val="78280044"/>
    <w:rsid w:val="782F3180"/>
    <w:rsid w:val="78343ACE"/>
    <w:rsid w:val="783469E8"/>
    <w:rsid w:val="783E7867"/>
    <w:rsid w:val="784A66BD"/>
    <w:rsid w:val="784F3822"/>
    <w:rsid w:val="784F55D0"/>
    <w:rsid w:val="78520C1D"/>
    <w:rsid w:val="78540E39"/>
    <w:rsid w:val="78564BB1"/>
    <w:rsid w:val="785B21C7"/>
    <w:rsid w:val="785B5D23"/>
    <w:rsid w:val="785D3378"/>
    <w:rsid w:val="7860158C"/>
    <w:rsid w:val="786719A8"/>
    <w:rsid w:val="78680440"/>
    <w:rsid w:val="78736DE3"/>
    <w:rsid w:val="787768D5"/>
    <w:rsid w:val="78780C5B"/>
    <w:rsid w:val="7879089F"/>
    <w:rsid w:val="78834720"/>
    <w:rsid w:val="78857244"/>
    <w:rsid w:val="788A2AAC"/>
    <w:rsid w:val="78917997"/>
    <w:rsid w:val="78956095"/>
    <w:rsid w:val="789C1FE2"/>
    <w:rsid w:val="78A13AE1"/>
    <w:rsid w:val="78A46A79"/>
    <w:rsid w:val="78A51694"/>
    <w:rsid w:val="78A70F68"/>
    <w:rsid w:val="78A90480"/>
    <w:rsid w:val="78AA2807"/>
    <w:rsid w:val="78AA52E1"/>
    <w:rsid w:val="78B11DBB"/>
    <w:rsid w:val="78B13B17"/>
    <w:rsid w:val="78B24758"/>
    <w:rsid w:val="78B2790D"/>
    <w:rsid w:val="78B33DB1"/>
    <w:rsid w:val="78B6564F"/>
    <w:rsid w:val="78BC253A"/>
    <w:rsid w:val="78BF076D"/>
    <w:rsid w:val="78BF1C53"/>
    <w:rsid w:val="78C45911"/>
    <w:rsid w:val="78C6353E"/>
    <w:rsid w:val="78CC6C21"/>
    <w:rsid w:val="78CD4747"/>
    <w:rsid w:val="78CF4B42"/>
    <w:rsid w:val="78D238C9"/>
    <w:rsid w:val="78E0091E"/>
    <w:rsid w:val="78E201F2"/>
    <w:rsid w:val="78E30DC9"/>
    <w:rsid w:val="78E7188D"/>
    <w:rsid w:val="78E73A5B"/>
    <w:rsid w:val="78F16688"/>
    <w:rsid w:val="78F37B6E"/>
    <w:rsid w:val="78F817C4"/>
    <w:rsid w:val="78FB7506"/>
    <w:rsid w:val="78FD3C99"/>
    <w:rsid w:val="79013CB3"/>
    <w:rsid w:val="79032BF7"/>
    <w:rsid w:val="79035E58"/>
    <w:rsid w:val="790408DA"/>
    <w:rsid w:val="79053EE1"/>
    <w:rsid w:val="7908577F"/>
    <w:rsid w:val="790F4586"/>
    <w:rsid w:val="79102FB2"/>
    <w:rsid w:val="7916110B"/>
    <w:rsid w:val="791709EF"/>
    <w:rsid w:val="79175AE9"/>
    <w:rsid w:val="7924651E"/>
    <w:rsid w:val="792516D5"/>
    <w:rsid w:val="79254583"/>
    <w:rsid w:val="79292468"/>
    <w:rsid w:val="79312F28"/>
    <w:rsid w:val="79314097"/>
    <w:rsid w:val="79330A4E"/>
    <w:rsid w:val="7935614D"/>
    <w:rsid w:val="79366790"/>
    <w:rsid w:val="79377700"/>
    <w:rsid w:val="793A1DDD"/>
    <w:rsid w:val="793D367B"/>
    <w:rsid w:val="7941371E"/>
    <w:rsid w:val="7947052B"/>
    <w:rsid w:val="794A141B"/>
    <w:rsid w:val="794C13E9"/>
    <w:rsid w:val="794C5FB4"/>
    <w:rsid w:val="79501641"/>
    <w:rsid w:val="79502E50"/>
    <w:rsid w:val="79507852"/>
    <w:rsid w:val="795310F0"/>
    <w:rsid w:val="79537342"/>
    <w:rsid w:val="796706F8"/>
    <w:rsid w:val="7967694A"/>
    <w:rsid w:val="79690914"/>
    <w:rsid w:val="796C21B2"/>
    <w:rsid w:val="796D486C"/>
    <w:rsid w:val="79725F8B"/>
    <w:rsid w:val="7980657F"/>
    <w:rsid w:val="79892D64"/>
    <w:rsid w:val="798E3ED6"/>
    <w:rsid w:val="79954CA1"/>
    <w:rsid w:val="79974F22"/>
    <w:rsid w:val="7997722F"/>
    <w:rsid w:val="799A287B"/>
    <w:rsid w:val="799F3C44"/>
    <w:rsid w:val="79A12DC0"/>
    <w:rsid w:val="79A22246"/>
    <w:rsid w:val="79A90F38"/>
    <w:rsid w:val="79AB2CDA"/>
    <w:rsid w:val="79AD1EA7"/>
    <w:rsid w:val="79B31B8F"/>
    <w:rsid w:val="79B86715"/>
    <w:rsid w:val="79BC4EE7"/>
    <w:rsid w:val="79BC6C95"/>
    <w:rsid w:val="79BD2A0E"/>
    <w:rsid w:val="79BE7E2E"/>
    <w:rsid w:val="79C542E2"/>
    <w:rsid w:val="79C773E8"/>
    <w:rsid w:val="79CB2FD9"/>
    <w:rsid w:val="79D614B5"/>
    <w:rsid w:val="79D73ACF"/>
    <w:rsid w:val="79DE4AF9"/>
    <w:rsid w:val="79DF2984"/>
    <w:rsid w:val="79E32474"/>
    <w:rsid w:val="79E35352"/>
    <w:rsid w:val="79E61318"/>
    <w:rsid w:val="79EB1329"/>
    <w:rsid w:val="79EE471E"/>
    <w:rsid w:val="79F01792"/>
    <w:rsid w:val="79F77C3D"/>
    <w:rsid w:val="79F9126F"/>
    <w:rsid w:val="79F91C98"/>
    <w:rsid w:val="79FA4A90"/>
    <w:rsid w:val="79FA77BE"/>
    <w:rsid w:val="79FC3536"/>
    <w:rsid w:val="79FF0771"/>
    <w:rsid w:val="79FF6B82"/>
    <w:rsid w:val="79FF71A2"/>
    <w:rsid w:val="7A0A7A6A"/>
    <w:rsid w:val="7A0C2CC5"/>
    <w:rsid w:val="7A1169E4"/>
    <w:rsid w:val="7A123E69"/>
    <w:rsid w:val="7A124B07"/>
    <w:rsid w:val="7A141EC2"/>
    <w:rsid w:val="7A1C773B"/>
    <w:rsid w:val="7A28432B"/>
    <w:rsid w:val="7A324B89"/>
    <w:rsid w:val="7A3507F6"/>
    <w:rsid w:val="7A356A48"/>
    <w:rsid w:val="7A364017"/>
    <w:rsid w:val="7A37543D"/>
    <w:rsid w:val="7A3905A1"/>
    <w:rsid w:val="7A3E3B4E"/>
    <w:rsid w:val="7A3E50D3"/>
    <w:rsid w:val="7A41363F"/>
    <w:rsid w:val="7A415B80"/>
    <w:rsid w:val="7A450BEA"/>
    <w:rsid w:val="7A4B1DC7"/>
    <w:rsid w:val="7A4F3F08"/>
    <w:rsid w:val="7A523156"/>
    <w:rsid w:val="7A590988"/>
    <w:rsid w:val="7A5A200A"/>
    <w:rsid w:val="7A6645E3"/>
    <w:rsid w:val="7A6A40CD"/>
    <w:rsid w:val="7A73373A"/>
    <w:rsid w:val="7A772BBC"/>
    <w:rsid w:val="7A777060"/>
    <w:rsid w:val="7A7C01D3"/>
    <w:rsid w:val="7A7E4E00"/>
    <w:rsid w:val="7A7E7E6C"/>
    <w:rsid w:val="7A8265E1"/>
    <w:rsid w:val="7A903C7E"/>
    <w:rsid w:val="7A9B68AB"/>
    <w:rsid w:val="7AA317C2"/>
    <w:rsid w:val="7AA717C2"/>
    <w:rsid w:val="7AAC160F"/>
    <w:rsid w:val="7AAC4F5C"/>
    <w:rsid w:val="7AAD2A82"/>
    <w:rsid w:val="7AAF67FA"/>
    <w:rsid w:val="7AB27FAA"/>
    <w:rsid w:val="7AB40EEF"/>
    <w:rsid w:val="7AB51971"/>
    <w:rsid w:val="7AB67B89"/>
    <w:rsid w:val="7ABD0F17"/>
    <w:rsid w:val="7AC06311"/>
    <w:rsid w:val="7AC2483D"/>
    <w:rsid w:val="7AC81DE4"/>
    <w:rsid w:val="7ACC13AD"/>
    <w:rsid w:val="7ACF29F8"/>
    <w:rsid w:val="7ACF6BB6"/>
    <w:rsid w:val="7AD4203F"/>
    <w:rsid w:val="7AD95625"/>
    <w:rsid w:val="7ADB139D"/>
    <w:rsid w:val="7ADD5115"/>
    <w:rsid w:val="7AE71284"/>
    <w:rsid w:val="7AE849D9"/>
    <w:rsid w:val="7AE909AA"/>
    <w:rsid w:val="7AE973D5"/>
    <w:rsid w:val="7AEA338E"/>
    <w:rsid w:val="7AEA5977"/>
    <w:rsid w:val="7AEA5A84"/>
    <w:rsid w:val="7AED2E7F"/>
    <w:rsid w:val="7AF46CD4"/>
    <w:rsid w:val="7AF67F85"/>
    <w:rsid w:val="7AF7341E"/>
    <w:rsid w:val="7AFD63C8"/>
    <w:rsid w:val="7B055DF4"/>
    <w:rsid w:val="7B087367"/>
    <w:rsid w:val="7B09420D"/>
    <w:rsid w:val="7B1B798E"/>
    <w:rsid w:val="7B2C7682"/>
    <w:rsid w:val="7B337B8D"/>
    <w:rsid w:val="7B406C9B"/>
    <w:rsid w:val="7B446F42"/>
    <w:rsid w:val="7B4C229B"/>
    <w:rsid w:val="7B4C4049"/>
    <w:rsid w:val="7B4C5DF7"/>
    <w:rsid w:val="7B5B24DE"/>
    <w:rsid w:val="7B5F7149"/>
    <w:rsid w:val="7B615D46"/>
    <w:rsid w:val="7B686D42"/>
    <w:rsid w:val="7B782467"/>
    <w:rsid w:val="7B7A081D"/>
    <w:rsid w:val="7B7A2964"/>
    <w:rsid w:val="7B841746"/>
    <w:rsid w:val="7B8869E6"/>
    <w:rsid w:val="7B8A5F60"/>
    <w:rsid w:val="7B9E726C"/>
    <w:rsid w:val="7BA07EF1"/>
    <w:rsid w:val="7BA1502A"/>
    <w:rsid w:val="7BA30F4E"/>
    <w:rsid w:val="7BA31081"/>
    <w:rsid w:val="7BA37D65"/>
    <w:rsid w:val="7BA44CC3"/>
    <w:rsid w:val="7BA80414"/>
    <w:rsid w:val="7BAA07FA"/>
    <w:rsid w:val="7BB24622"/>
    <w:rsid w:val="7BBA00F8"/>
    <w:rsid w:val="7BBA7205"/>
    <w:rsid w:val="7BBE352C"/>
    <w:rsid w:val="7BBF1AC8"/>
    <w:rsid w:val="7BC41E31"/>
    <w:rsid w:val="7BC63DFB"/>
    <w:rsid w:val="7BCF0129"/>
    <w:rsid w:val="7BD0720C"/>
    <w:rsid w:val="7BD30100"/>
    <w:rsid w:val="7BD32074"/>
    <w:rsid w:val="7BDB1C4D"/>
    <w:rsid w:val="7BDD2EF3"/>
    <w:rsid w:val="7BDF6C6B"/>
    <w:rsid w:val="7BDF7FCA"/>
    <w:rsid w:val="7BE326F8"/>
    <w:rsid w:val="7BE349AD"/>
    <w:rsid w:val="7BE55CEF"/>
    <w:rsid w:val="7BE75540"/>
    <w:rsid w:val="7BEB5610"/>
    <w:rsid w:val="7BEF48E5"/>
    <w:rsid w:val="7BF5274F"/>
    <w:rsid w:val="7BF70CB5"/>
    <w:rsid w:val="7BF8465F"/>
    <w:rsid w:val="7BFE17E7"/>
    <w:rsid w:val="7C012278"/>
    <w:rsid w:val="7C013085"/>
    <w:rsid w:val="7C047936"/>
    <w:rsid w:val="7C073B61"/>
    <w:rsid w:val="7C0C4936"/>
    <w:rsid w:val="7C0E0B16"/>
    <w:rsid w:val="7C1A5BAA"/>
    <w:rsid w:val="7C1B6D71"/>
    <w:rsid w:val="7C2157BA"/>
    <w:rsid w:val="7C2428D0"/>
    <w:rsid w:val="7C260E9D"/>
    <w:rsid w:val="7C2C66D7"/>
    <w:rsid w:val="7C2E0B52"/>
    <w:rsid w:val="7C2E460D"/>
    <w:rsid w:val="7C3175AE"/>
    <w:rsid w:val="7C330D65"/>
    <w:rsid w:val="7C372603"/>
    <w:rsid w:val="7C3821BC"/>
    <w:rsid w:val="7C396E77"/>
    <w:rsid w:val="7C3D3207"/>
    <w:rsid w:val="7C3F6017"/>
    <w:rsid w:val="7C4371FA"/>
    <w:rsid w:val="7C464B65"/>
    <w:rsid w:val="7C47503C"/>
    <w:rsid w:val="7C5A2796"/>
    <w:rsid w:val="7C5C4760"/>
    <w:rsid w:val="7C5E2286"/>
    <w:rsid w:val="7C60214C"/>
    <w:rsid w:val="7C607043"/>
    <w:rsid w:val="7C640BA7"/>
    <w:rsid w:val="7C6813C3"/>
    <w:rsid w:val="7C6A0C2B"/>
    <w:rsid w:val="7C6C5AC7"/>
    <w:rsid w:val="7C783B35"/>
    <w:rsid w:val="7C7970C0"/>
    <w:rsid w:val="7C7D22D7"/>
    <w:rsid w:val="7C815F74"/>
    <w:rsid w:val="7C863B69"/>
    <w:rsid w:val="7C8D66C7"/>
    <w:rsid w:val="7C8E6168"/>
    <w:rsid w:val="7C9537CE"/>
    <w:rsid w:val="7C9D5C0E"/>
    <w:rsid w:val="7C9E2682"/>
    <w:rsid w:val="7C9E6B26"/>
    <w:rsid w:val="7CA24237"/>
    <w:rsid w:val="7CA2788D"/>
    <w:rsid w:val="7CA659DB"/>
    <w:rsid w:val="7CA852AF"/>
    <w:rsid w:val="7CB079A3"/>
    <w:rsid w:val="7CB55689"/>
    <w:rsid w:val="7CB75F27"/>
    <w:rsid w:val="7CB93960"/>
    <w:rsid w:val="7CBD19F6"/>
    <w:rsid w:val="7CC16371"/>
    <w:rsid w:val="7CC3033B"/>
    <w:rsid w:val="7CC6544B"/>
    <w:rsid w:val="7CD87B19"/>
    <w:rsid w:val="7CD97B5E"/>
    <w:rsid w:val="7CDC31A1"/>
    <w:rsid w:val="7CDC31AB"/>
    <w:rsid w:val="7CE147EB"/>
    <w:rsid w:val="7CE2717A"/>
    <w:rsid w:val="7CE32B26"/>
    <w:rsid w:val="7CEA1D6C"/>
    <w:rsid w:val="7CED0323"/>
    <w:rsid w:val="7CF23C24"/>
    <w:rsid w:val="7CF76237"/>
    <w:rsid w:val="7CF77FE5"/>
    <w:rsid w:val="7CF82511"/>
    <w:rsid w:val="7CF91FAF"/>
    <w:rsid w:val="7CF95B0B"/>
    <w:rsid w:val="7CFB5AA5"/>
    <w:rsid w:val="7D00333D"/>
    <w:rsid w:val="7D012C11"/>
    <w:rsid w:val="7D0163F4"/>
    <w:rsid w:val="7D0239FF"/>
    <w:rsid w:val="7D0B14FB"/>
    <w:rsid w:val="7D0C7EE6"/>
    <w:rsid w:val="7D0F63A0"/>
    <w:rsid w:val="7D1110A6"/>
    <w:rsid w:val="7D114E3B"/>
    <w:rsid w:val="7D11554A"/>
    <w:rsid w:val="7D133070"/>
    <w:rsid w:val="7D157FB6"/>
    <w:rsid w:val="7D18560A"/>
    <w:rsid w:val="7D1D3EEF"/>
    <w:rsid w:val="7D21425A"/>
    <w:rsid w:val="7D215236"/>
    <w:rsid w:val="7D252DA4"/>
    <w:rsid w:val="7D253473"/>
    <w:rsid w:val="7D2B2488"/>
    <w:rsid w:val="7D325284"/>
    <w:rsid w:val="7D3354C1"/>
    <w:rsid w:val="7D342A41"/>
    <w:rsid w:val="7D3D0E71"/>
    <w:rsid w:val="7D3E3E65"/>
    <w:rsid w:val="7D40198C"/>
    <w:rsid w:val="7D455C6D"/>
    <w:rsid w:val="7D457FAA"/>
    <w:rsid w:val="7D47589E"/>
    <w:rsid w:val="7D477EDA"/>
    <w:rsid w:val="7D502AF4"/>
    <w:rsid w:val="7D513B99"/>
    <w:rsid w:val="7D587A0A"/>
    <w:rsid w:val="7D5B0573"/>
    <w:rsid w:val="7D5B394E"/>
    <w:rsid w:val="7D5E40CD"/>
    <w:rsid w:val="7D625DA6"/>
    <w:rsid w:val="7D6A4EF9"/>
    <w:rsid w:val="7D742DD1"/>
    <w:rsid w:val="7D7635FF"/>
    <w:rsid w:val="7D7713AE"/>
    <w:rsid w:val="7D791035"/>
    <w:rsid w:val="7D7C5D4D"/>
    <w:rsid w:val="7D847ACA"/>
    <w:rsid w:val="7D8E26F7"/>
    <w:rsid w:val="7D8E57CF"/>
    <w:rsid w:val="7D91703D"/>
    <w:rsid w:val="7DB36601"/>
    <w:rsid w:val="7DB67EA0"/>
    <w:rsid w:val="7DBC6FF3"/>
    <w:rsid w:val="7DBE1B3B"/>
    <w:rsid w:val="7DC73E5B"/>
    <w:rsid w:val="7DC8310F"/>
    <w:rsid w:val="7DCA74A7"/>
    <w:rsid w:val="7DCC3AD8"/>
    <w:rsid w:val="7DCD56F2"/>
    <w:rsid w:val="7DD138CC"/>
    <w:rsid w:val="7DD36A7D"/>
    <w:rsid w:val="7DE16EE5"/>
    <w:rsid w:val="7DE451F8"/>
    <w:rsid w:val="7DE85257"/>
    <w:rsid w:val="7DEC20D2"/>
    <w:rsid w:val="7DEC709C"/>
    <w:rsid w:val="7DF033B2"/>
    <w:rsid w:val="7DF10ED8"/>
    <w:rsid w:val="7DF63F66"/>
    <w:rsid w:val="7DFA4415"/>
    <w:rsid w:val="7DFD5ACF"/>
    <w:rsid w:val="7E01111B"/>
    <w:rsid w:val="7E0D1B9F"/>
    <w:rsid w:val="7E0D3F64"/>
    <w:rsid w:val="7E17093E"/>
    <w:rsid w:val="7E2B43EA"/>
    <w:rsid w:val="7E2E3EDA"/>
    <w:rsid w:val="7E372D8F"/>
    <w:rsid w:val="7E3824B7"/>
    <w:rsid w:val="7E3E0F87"/>
    <w:rsid w:val="7E417769"/>
    <w:rsid w:val="7E447259"/>
    <w:rsid w:val="7E470AF8"/>
    <w:rsid w:val="7E4920F0"/>
    <w:rsid w:val="7E4E1E86"/>
    <w:rsid w:val="7E5036DA"/>
    <w:rsid w:val="7E543906"/>
    <w:rsid w:val="7E54763A"/>
    <w:rsid w:val="7E5B4207"/>
    <w:rsid w:val="7E657E8A"/>
    <w:rsid w:val="7E6B71E3"/>
    <w:rsid w:val="7E6D4A02"/>
    <w:rsid w:val="7E71280E"/>
    <w:rsid w:val="7E727045"/>
    <w:rsid w:val="7E730245"/>
    <w:rsid w:val="7E775881"/>
    <w:rsid w:val="7E7A5BE3"/>
    <w:rsid w:val="7E7A711F"/>
    <w:rsid w:val="7E7E09BD"/>
    <w:rsid w:val="7E7E4059"/>
    <w:rsid w:val="7E7F4735"/>
    <w:rsid w:val="7E800E52"/>
    <w:rsid w:val="7E856B85"/>
    <w:rsid w:val="7E861620"/>
    <w:rsid w:val="7E8B4E88"/>
    <w:rsid w:val="7E994615"/>
    <w:rsid w:val="7E9C52E7"/>
    <w:rsid w:val="7EA36676"/>
    <w:rsid w:val="7EAC2C32"/>
    <w:rsid w:val="7EB1094C"/>
    <w:rsid w:val="7EBE1F99"/>
    <w:rsid w:val="7EBE688F"/>
    <w:rsid w:val="7EC05876"/>
    <w:rsid w:val="7ECA271F"/>
    <w:rsid w:val="7ECC585B"/>
    <w:rsid w:val="7ED93E46"/>
    <w:rsid w:val="7EE03426"/>
    <w:rsid w:val="7EE051D4"/>
    <w:rsid w:val="7EE66A56"/>
    <w:rsid w:val="7EE9101C"/>
    <w:rsid w:val="7EEF3951"/>
    <w:rsid w:val="7EEF4D6E"/>
    <w:rsid w:val="7EEF71C5"/>
    <w:rsid w:val="7EF35A49"/>
    <w:rsid w:val="7EF51DF4"/>
    <w:rsid w:val="7EF5291F"/>
    <w:rsid w:val="7EFC5D86"/>
    <w:rsid w:val="7F001CE7"/>
    <w:rsid w:val="7F026BC0"/>
    <w:rsid w:val="7F0F1615"/>
    <w:rsid w:val="7F10538E"/>
    <w:rsid w:val="7F137755"/>
    <w:rsid w:val="7F1B4EB8"/>
    <w:rsid w:val="7F1F7D58"/>
    <w:rsid w:val="7F210E94"/>
    <w:rsid w:val="7F233313"/>
    <w:rsid w:val="7F233E95"/>
    <w:rsid w:val="7F250E39"/>
    <w:rsid w:val="7F2552DD"/>
    <w:rsid w:val="7F2F7F0A"/>
    <w:rsid w:val="7F313C82"/>
    <w:rsid w:val="7F316AC2"/>
    <w:rsid w:val="7F355E5B"/>
    <w:rsid w:val="7F36260E"/>
    <w:rsid w:val="7F3D4789"/>
    <w:rsid w:val="7F414D3C"/>
    <w:rsid w:val="7F416D20"/>
    <w:rsid w:val="7F42716B"/>
    <w:rsid w:val="7F4339B5"/>
    <w:rsid w:val="7F443DFC"/>
    <w:rsid w:val="7F527438"/>
    <w:rsid w:val="7F533FA1"/>
    <w:rsid w:val="7F5977EB"/>
    <w:rsid w:val="7F606315"/>
    <w:rsid w:val="7F6317BF"/>
    <w:rsid w:val="7F661BEE"/>
    <w:rsid w:val="7F676E48"/>
    <w:rsid w:val="7F7A1ED6"/>
    <w:rsid w:val="7F7B4EFD"/>
    <w:rsid w:val="7F80048F"/>
    <w:rsid w:val="7F811A2C"/>
    <w:rsid w:val="7F824B73"/>
    <w:rsid w:val="7F960830"/>
    <w:rsid w:val="7F9E12D9"/>
    <w:rsid w:val="7FA04963"/>
    <w:rsid w:val="7FA309A1"/>
    <w:rsid w:val="7FA33A73"/>
    <w:rsid w:val="7FA50238"/>
    <w:rsid w:val="7FB13432"/>
    <w:rsid w:val="7FB3182A"/>
    <w:rsid w:val="7FBD3767"/>
    <w:rsid w:val="7FC20D7E"/>
    <w:rsid w:val="7FCB1B74"/>
    <w:rsid w:val="7FCE5462"/>
    <w:rsid w:val="7FD1668B"/>
    <w:rsid w:val="7FD745AF"/>
    <w:rsid w:val="7FD92360"/>
    <w:rsid w:val="7FDA60C7"/>
    <w:rsid w:val="7FDB21E3"/>
    <w:rsid w:val="7FDD1166"/>
    <w:rsid w:val="7FE47E50"/>
    <w:rsid w:val="7FF54CAF"/>
    <w:rsid w:val="7FF8479F"/>
    <w:rsid w:val="7FFD1DB6"/>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3">
    <w:name w:val="heading 2"/>
    <w:basedOn w:val="1"/>
    <w:next w:val="1"/>
    <w:link w:val="42"/>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4">
    <w:name w:val="heading 3"/>
    <w:basedOn w:val="1"/>
    <w:next w:val="1"/>
    <w:link w:val="50"/>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5">
    <w:name w:val="heading 4"/>
    <w:basedOn w:val="1"/>
    <w:next w:val="1"/>
    <w:link w:val="52"/>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6">
    <w:name w:val="heading 5"/>
    <w:basedOn w:val="1"/>
    <w:next w:val="1"/>
    <w:link w:val="63"/>
    <w:qFormat/>
    <w:locked/>
    <w:uiPriority w:val="0"/>
    <w:pPr>
      <w:keepNext/>
      <w:keepLines/>
      <w:numPr>
        <w:ilvl w:val="4"/>
        <w:numId w:val="2"/>
      </w:numPr>
      <w:spacing w:before="280" w:after="290" w:line="376" w:lineRule="auto"/>
      <w:ind w:left="1366"/>
      <w:outlineLvl w:val="4"/>
    </w:pPr>
    <w:rPr>
      <w:b/>
      <w:bCs/>
      <w:sz w:val="28"/>
      <w:szCs w:val="28"/>
    </w:rPr>
  </w:style>
  <w:style w:type="paragraph" w:styleId="7">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9">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39"/>
    <w:pPr>
      <w:ind w:left="2520" w:leftChars="1200"/>
    </w:pPr>
  </w:style>
  <w:style w:type="paragraph" w:styleId="12">
    <w:name w:val="Note Heading"/>
    <w:basedOn w:val="1"/>
    <w:next w:val="1"/>
    <w:qFormat/>
    <w:uiPriority w:val="0"/>
    <w:pPr>
      <w:jc w:val="center"/>
    </w:pPr>
  </w:style>
  <w:style w:type="paragraph" w:styleId="13">
    <w:name w:val="Normal Indent"/>
    <w:basedOn w:val="1"/>
    <w:link w:val="137"/>
    <w:qFormat/>
    <w:uiPriority w:val="0"/>
    <w:pPr>
      <w:spacing w:before="50" w:beforeLines="50" w:line="360" w:lineRule="auto"/>
      <w:ind w:firstLine="560" w:firstLineChars="200"/>
    </w:pPr>
    <w:rPr>
      <w:rFonts w:ascii="Calibri" w:hAnsi="Calibri"/>
      <w:sz w:val="28"/>
    </w:rPr>
  </w:style>
  <w:style w:type="paragraph" w:styleId="14">
    <w:name w:val="annotation text"/>
    <w:basedOn w:val="1"/>
    <w:qFormat/>
    <w:uiPriority w:val="0"/>
    <w:pPr>
      <w:jc w:val="left"/>
    </w:pPr>
  </w:style>
  <w:style w:type="paragraph" w:styleId="15">
    <w:name w:val="Salutation"/>
    <w:basedOn w:val="1"/>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next w:val="15"/>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7">
    <w:name w:val="Body Text Indent"/>
    <w:basedOn w:val="1"/>
    <w:next w:val="18"/>
    <w:qFormat/>
    <w:uiPriority w:val="0"/>
    <w:pPr>
      <w:ind w:firstLine="560" w:firstLineChars="200"/>
    </w:pPr>
    <w:rPr>
      <w:sz w:val="28"/>
    </w:rPr>
  </w:style>
  <w:style w:type="paragraph" w:styleId="18">
    <w:name w:val="Balloon Text"/>
    <w:basedOn w:val="1"/>
    <w:next w:val="16"/>
    <w:semiHidden/>
    <w:qFormat/>
    <w:uiPriority w:val="0"/>
    <w:rPr>
      <w:kern w:val="0"/>
      <w:sz w:val="18"/>
      <w:szCs w:val="20"/>
    </w:rPr>
  </w:style>
  <w:style w:type="paragraph" w:styleId="19">
    <w:name w:val="toc 5"/>
    <w:basedOn w:val="1"/>
    <w:next w:val="1"/>
    <w:qFormat/>
    <w:locked/>
    <w:uiPriority w:val="0"/>
    <w:pPr>
      <w:ind w:left="1680" w:leftChars="800"/>
    </w:pPr>
  </w:style>
  <w:style w:type="paragraph" w:styleId="20">
    <w:name w:val="toc 3"/>
    <w:basedOn w:val="1"/>
    <w:next w:val="1"/>
    <w:qFormat/>
    <w:locked/>
    <w:uiPriority w:val="0"/>
    <w:pPr>
      <w:ind w:left="840" w:leftChars="400"/>
    </w:pPr>
  </w:style>
  <w:style w:type="paragraph" w:styleId="21">
    <w:name w:val="Plain Text"/>
    <w:basedOn w:val="1"/>
    <w:next w:val="1"/>
    <w:qFormat/>
    <w:uiPriority w:val="0"/>
    <w:rPr>
      <w:rFonts w:ascii="宋体" w:hAnsi="Courier New"/>
      <w:szCs w:val="20"/>
    </w:rPr>
  </w:style>
  <w:style w:type="paragraph" w:styleId="22">
    <w:name w:val="Body Text Indent 2"/>
    <w:basedOn w:val="1"/>
    <w:next w:val="1"/>
    <w:qFormat/>
    <w:locked/>
    <w:uiPriority w:val="0"/>
    <w:pPr>
      <w:spacing w:after="120" w:afterLines="0" w:line="480" w:lineRule="auto"/>
      <w:ind w:left="420" w:leftChars="200"/>
    </w:pPr>
  </w:style>
  <w:style w:type="paragraph" w:styleId="23">
    <w:name w:val="footer"/>
    <w:basedOn w:val="1"/>
    <w:qFormat/>
    <w:uiPriority w:val="0"/>
    <w:pPr>
      <w:tabs>
        <w:tab w:val="center" w:pos="4153"/>
        <w:tab w:val="right" w:pos="8306"/>
      </w:tabs>
      <w:snapToGrid w:val="0"/>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5">
    <w:name w:val="toc 1"/>
    <w:basedOn w:val="1"/>
    <w:next w:val="1"/>
    <w:qFormat/>
    <w:uiPriority w:val="0"/>
    <w:pPr>
      <w:spacing w:line="312" w:lineRule="auto"/>
    </w:pPr>
    <w:rPr>
      <w:rFonts w:ascii="Times New Roman" w:hAnsi="Times New Roman" w:eastAsia="宋体"/>
      <w:sz w:val="24"/>
    </w:rPr>
  </w:style>
  <w:style w:type="paragraph" w:styleId="26">
    <w:name w:val="toc 4"/>
    <w:basedOn w:val="1"/>
    <w:next w:val="1"/>
    <w:qFormat/>
    <w:locked/>
    <w:uiPriority w:val="0"/>
    <w:pPr>
      <w:ind w:left="1260" w:leftChars="600"/>
    </w:pPr>
  </w:style>
  <w:style w:type="paragraph" w:styleId="27">
    <w:name w:val="List"/>
    <w:basedOn w:val="1"/>
    <w:unhideWhenUsed/>
    <w:qFormat/>
    <w:uiPriority w:val="99"/>
    <w:pPr>
      <w:ind w:left="200" w:hanging="200" w:hangingChars="200"/>
      <w:contextualSpacing/>
    </w:pPr>
  </w:style>
  <w:style w:type="paragraph" w:styleId="28">
    <w:name w:val="toc 2"/>
    <w:basedOn w:val="1"/>
    <w:next w:val="1"/>
    <w:qFormat/>
    <w:locked/>
    <w:uiPriority w:val="0"/>
    <w:pPr>
      <w:ind w:left="420" w:leftChars="200"/>
    </w:pPr>
  </w:style>
  <w:style w:type="paragraph" w:styleId="29">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1">
    <w:name w:val="Title"/>
    <w:basedOn w:val="1"/>
    <w:next w:val="1"/>
    <w:link w:val="64"/>
    <w:qFormat/>
    <w:locked/>
    <w:uiPriority w:val="0"/>
    <w:pPr>
      <w:spacing w:before="240" w:after="60"/>
      <w:jc w:val="center"/>
      <w:outlineLvl w:val="0"/>
    </w:pPr>
    <w:rPr>
      <w:rFonts w:ascii="Cambria" w:hAnsi="Cambria"/>
      <w:b/>
      <w:bCs/>
      <w:sz w:val="32"/>
      <w:szCs w:val="32"/>
    </w:rPr>
  </w:style>
  <w:style w:type="paragraph" w:styleId="32">
    <w:name w:val="Body Text First Indent"/>
    <w:basedOn w:val="16"/>
    <w:next w:val="1"/>
    <w:qFormat/>
    <w:uiPriority w:val="0"/>
    <w:pPr>
      <w:ind w:firstLine="420" w:firstLineChars="100"/>
    </w:pPr>
  </w:style>
  <w:style w:type="paragraph" w:styleId="33">
    <w:name w:val="Body Text First Indent 2"/>
    <w:basedOn w:val="17"/>
    <w:next w:val="32"/>
    <w:unhideWhenUsed/>
    <w:qFormat/>
    <w:uiPriority w:val="0"/>
    <w:pPr>
      <w:spacing w:after="120"/>
      <w:ind w:left="420" w:leftChars="200" w:firstLine="420"/>
    </w:pPr>
    <w:rPr>
      <w:sz w:val="21"/>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locked/>
    <w:uiPriority w:val="0"/>
    <w:rPr>
      <w:b/>
    </w:rPr>
  </w:style>
  <w:style w:type="character" w:styleId="38">
    <w:name w:val="FollowedHyperlink"/>
    <w:basedOn w:val="36"/>
    <w:qFormat/>
    <w:uiPriority w:val="0"/>
    <w:rPr>
      <w:color w:val="800080"/>
      <w:u w:val="none"/>
    </w:rPr>
  </w:style>
  <w:style w:type="character" w:styleId="39">
    <w:name w:val="Emphasis"/>
    <w:basedOn w:val="36"/>
    <w:qFormat/>
    <w:uiPriority w:val="0"/>
  </w:style>
  <w:style w:type="character" w:styleId="40">
    <w:name w:val="Hyperlink"/>
    <w:basedOn w:val="36"/>
    <w:qFormat/>
    <w:uiPriority w:val="0"/>
    <w:rPr>
      <w:color w:val="0000FF"/>
      <w:u w:val="none"/>
    </w:rPr>
  </w:style>
  <w:style w:type="character" w:styleId="41">
    <w:name w:val="HTML Code"/>
    <w:basedOn w:val="36"/>
    <w:qFormat/>
    <w:locked/>
    <w:uiPriority w:val="0"/>
    <w:rPr>
      <w:rFonts w:ascii="Courier New" w:hAnsi="Courier New"/>
      <w:sz w:val="20"/>
    </w:rPr>
  </w:style>
  <w:style w:type="character" w:customStyle="1" w:styleId="42">
    <w:name w:val="标题 2 Char"/>
    <w:link w:val="3"/>
    <w:qFormat/>
    <w:uiPriority w:val="9"/>
    <w:rPr>
      <w:rFonts w:ascii="Times New Roman" w:hAnsi="Times New Roman" w:eastAsia="宋体" w:cs="Times New Roman"/>
      <w:b/>
      <w:bCs/>
      <w:kern w:val="2"/>
      <w:sz w:val="28"/>
      <w:szCs w:val="32"/>
    </w:rPr>
  </w:style>
  <w:style w:type="character" w:customStyle="1" w:styleId="43">
    <w:name w:val="标题 1 Char"/>
    <w:link w:val="2"/>
    <w:qFormat/>
    <w:uiPriority w:val="99"/>
    <w:rPr>
      <w:rFonts w:ascii="Times New Roman" w:hAnsi="Times New Roman" w:eastAsia="宋体"/>
      <w:b/>
      <w:bCs/>
      <w:color w:val="000000"/>
      <w:kern w:val="44"/>
      <w:sz w:val="30"/>
      <w:szCs w:val="30"/>
    </w:rPr>
  </w:style>
  <w:style w:type="paragraph" w:customStyle="1" w:styleId="44">
    <w:name w:val="表格标题"/>
    <w:basedOn w:val="45"/>
    <w:next w:val="1"/>
    <w:qFormat/>
    <w:uiPriority w:val="0"/>
    <w:pPr>
      <w:numPr>
        <w:ilvl w:val="7"/>
        <w:numId w:val="1"/>
      </w:numPr>
      <w:tabs>
        <w:tab w:val="left" w:pos="420"/>
        <w:tab w:val="clear" w:pos="0"/>
      </w:tabs>
      <w:spacing w:line="240" w:lineRule="auto"/>
      <w:ind w:left="0" w:firstLine="0" w:firstLineChars="0"/>
      <w:jc w:val="center"/>
    </w:pPr>
    <w:rPr>
      <w:rFonts w:ascii="Times New Roman" w:hAnsi="Times New Roman" w:eastAsia="宋体"/>
      <w:b/>
      <w:bCs/>
      <w:color w:val="auto"/>
      <w:szCs w:val="21"/>
    </w:rPr>
  </w:style>
  <w:style w:type="paragraph" w:customStyle="1" w:styleId="45">
    <w:name w:val="正文内容"/>
    <w:basedOn w:val="1"/>
    <w:qFormat/>
    <w:uiPriority w:val="0"/>
    <w:pPr>
      <w:adjustRightInd w:val="0"/>
      <w:spacing w:line="360" w:lineRule="auto"/>
    </w:pPr>
    <w:rPr>
      <w:color w:val="000000"/>
      <w:sz w:val="24"/>
    </w:rPr>
  </w:style>
  <w:style w:type="paragraph" w:customStyle="1" w:styleId="46">
    <w:name w:val="闽创报告正文"/>
    <w:basedOn w:val="47"/>
    <w:link w:val="100"/>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000000" w:themeColor="text1"/>
      <w:kern w:val="0"/>
      <w:szCs w:val="20"/>
      <w:lang w:val="zh-CN"/>
      <w14:textFill>
        <w14:solidFill>
          <w14:schemeClr w14:val="tx1"/>
        </w14:solidFill>
      </w14:textFill>
    </w:rPr>
  </w:style>
  <w:style w:type="paragraph" w:customStyle="1" w:styleId="47">
    <w:name w:val="0正文"/>
    <w:basedOn w:val="17"/>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8">
    <w:name w:val="表格内容"/>
    <w:basedOn w:val="27"/>
    <w:next w:val="1"/>
    <w:link w:val="58"/>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49">
    <w:name w:val="图文标题"/>
    <w:basedOn w:val="1"/>
    <w:next w:val="1"/>
    <w:link w:val="66"/>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50">
    <w:name w:val="标题 3 Char"/>
    <w:link w:val="4"/>
    <w:semiHidden/>
    <w:qFormat/>
    <w:uiPriority w:val="0"/>
    <w:rPr>
      <w:rFonts w:ascii="Times New Roman" w:hAnsi="Times New Roman" w:eastAsia="宋体"/>
      <w:b/>
      <w:bCs/>
      <w:kern w:val="2"/>
      <w:sz w:val="24"/>
      <w:szCs w:val="32"/>
    </w:rPr>
  </w:style>
  <w:style w:type="paragraph" w:customStyle="1" w:styleId="51">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2">
    <w:name w:val="标题 4 Char"/>
    <w:link w:val="5"/>
    <w:semiHidden/>
    <w:qFormat/>
    <w:uiPriority w:val="0"/>
    <w:rPr>
      <w:rFonts w:ascii="Times New Roman" w:hAnsi="Times New Roman" w:eastAsia="宋体" w:cs="Times New Roman"/>
      <w:b/>
      <w:bCs/>
      <w:kern w:val="2"/>
      <w:sz w:val="24"/>
      <w:szCs w:val="28"/>
    </w:rPr>
  </w:style>
  <w:style w:type="paragraph" w:customStyle="1" w:styleId="53">
    <w:name w:val="Default"/>
    <w:basedOn w:val="54"/>
    <w:next w:val="55"/>
    <w:qFormat/>
    <w:uiPriority w:val="0"/>
    <w:pPr>
      <w:widowControl w:val="0"/>
      <w:autoSpaceDE w:val="0"/>
      <w:autoSpaceDN w:val="0"/>
      <w:adjustRightInd w:val="0"/>
    </w:pPr>
    <w:rPr>
      <w:color w:val="000000"/>
      <w:sz w:val="24"/>
      <w:szCs w:val="24"/>
      <w:lang w:val="en-US" w:eastAsia="zh-CN" w:bidi="ar-SA"/>
    </w:rPr>
  </w:style>
  <w:style w:type="paragraph" w:customStyle="1" w:styleId="54">
    <w:name w:val="纯文本1"/>
    <w:basedOn w:val="1"/>
    <w:next w:val="21"/>
    <w:qFormat/>
    <w:uiPriority w:val="0"/>
    <w:pPr>
      <w:textAlignment w:val="baseline"/>
    </w:pPr>
    <w:rPr>
      <w:rFonts w:ascii="宋体" w:hAnsi="Courier New"/>
    </w:rPr>
  </w:style>
  <w:style w:type="paragraph" w:customStyle="1" w:styleId="55">
    <w:name w:val="样式35"/>
    <w:next w:val="56"/>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6">
    <w:name w:val="font6"/>
    <w:basedOn w:val="1"/>
    <w:next w:val="28"/>
    <w:qFormat/>
    <w:uiPriority w:val="99"/>
    <w:pPr>
      <w:widowControl/>
      <w:spacing w:beforeAutospacing="1" w:afterAutospacing="1" w:line="360" w:lineRule="auto"/>
      <w:ind w:firstLine="720" w:firstLineChars="200"/>
      <w:jc w:val="left"/>
    </w:pPr>
    <w:rPr>
      <w:rFonts w:ascii="宋体" w:hAnsi="宋体" w:eastAsia="宋体"/>
      <w:sz w:val="20"/>
      <w:szCs w:val="20"/>
    </w:rPr>
  </w:style>
  <w:style w:type="paragraph" w:customStyle="1" w:styleId="57">
    <w:name w:val="xl27"/>
    <w:basedOn w:val="1"/>
    <w:next w:val="22"/>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58">
    <w:name w:val="表格内容 Char1"/>
    <w:link w:val="48"/>
    <w:qFormat/>
    <w:uiPriority w:val="0"/>
    <w:rPr>
      <w:rFonts w:ascii="Times New Roman" w:hAnsi="Times New Roman" w:eastAsia="宋体" w:cs="Times New Roman"/>
      <w:sz w:val="21"/>
    </w:rPr>
  </w:style>
  <w:style w:type="paragraph" w:customStyle="1" w:styleId="59">
    <w:name w:val="表格标题无编号"/>
    <w:basedOn w:val="44"/>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kern w:val="0"/>
      <w:sz w:val="24"/>
      <w:szCs w:val="22"/>
      <w:lang w:val="zh-CN" w:eastAsia="zh-CN" w:bidi="ar-SA"/>
    </w:rPr>
  </w:style>
  <w:style w:type="table" w:customStyle="1" w:styleId="60">
    <w:name w:val="网格型1"/>
    <w:basedOn w:val="3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6表格（锐）"/>
    <w:basedOn w:val="35"/>
    <w:qFormat/>
    <w:locked/>
    <w:uiPriority w:val="99"/>
    <w:pPr>
      <w:jc w:val="center"/>
    </w:pPr>
    <w:rPr>
      <w:sz w:val="21"/>
    </w:rPr>
    <w:tblPr>
      <w:tblBorders>
        <w:top w:val="single" w:color="auto" w:sz="12" w:space="0"/>
        <w:bottom w:val="single" w:color="auto" w:sz="12" w:space="0"/>
      </w:tblBorders>
      <w:tblCellMar>
        <w:top w:w="0" w:type="dxa"/>
        <w:left w:w="108" w:type="dxa"/>
        <w:bottom w:w="0" w:type="dxa"/>
        <w:right w:w="108" w:type="dxa"/>
      </w:tblCellMar>
    </w:tblPr>
    <w:trPr>
      <w:tblHeader/>
    </w:trPr>
    <w:tcPr>
      <w:vAlign w:val="center"/>
    </w:tcPr>
  </w:style>
  <w:style w:type="paragraph" w:customStyle="1" w:styleId="62">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63">
    <w:name w:val="标题 5 Char"/>
    <w:link w:val="6"/>
    <w:semiHidden/>
    <w:qFormat/>
    <w:uiPriority w:val="0"/>
    <w:rPr>
      <w:b/>
      <w:bCs/>
      <w:kern w:val="2"/>
      <w:sz w:val="28"/>
      <w:szCs w:val="28"/>
    </w:rPr>
  </w:style>
  <w:style w:type="character" w:customStyle="1" w:styleId="64">
    <w:name w:val="标题 Char"/>
    <w:link w:val="31"/>
    <w:qFormat/>
    <w:uiPriority w:val="0"/>
    <w:rPr>
      <w:rFonts w:ascii="Cambria" w:hAnsi="Cambria" w:cs="Times New Roman"/>
      <w:b/>
      <w:bCs/>
      <w:kern w:val="2"/>
      <w:sz w:val="32"/>
      <w:szCs w:val="32"/>
    </w:rPr>
  </w:style>
  <w:style w:type="character" w:customStyle="1" w:styleId="65">
    <w:name w:val="闽创报告正文 Char"/>
    <w:link w:val="46"/>
    <w:qFormat/>
    <w:uiPriority w:val="0"/>
    <w:rPr>
      <w:rFonts w:ascii="Times New Roman" w:hAnsi="Times New Roman" w:eastAsia="宋体" w:cs="宋体"/>
      <w:color w:val="FF0000"/>
      <w:kern w:val="0"/>
      <w:sz w:val="24"/>
      <w:szCs w:val="20"/>
      <w:lang w:val="zh-CN" w:eastAsia="zh-CN" w:bidi="ar-SA"/>
    </w:rPr>
  </w:style>
  <w:style w:type="character" w:customStyle="1" w:styleId="66">
    <w:name w:val="图文标题 Char1"/>
    <w:link w:val="49"/>
    <w:qFormat/>
    <w:uiPriority w:val="0"/>
    <w:rPr>
      <w:rFonts w:ascii="Times New Roman" w:hAnsi="Times New Roman" w:eastAsia="宋体"/>
      <w:b/>
      <w:bCs/>
      <w:color w:val="auto"/>
      <w:sz w:val="24"/>
      <w:szCs w:val="21"/>
    </w:rPr>
  </w:style>
  <w:style w:type="paragraph" w:customStyle="1" w:styleId="67">
    <w:name w:val="表字体"/>
    <w:next w:val="1"/>
    <w:unhideWhenUsed/>
    <w:qFormat/>
    <w:uiPriority w:val="0"/>
    <w:pPr>
      <w:jc w:val="center"/>
    </w:pPr>
    <w:rPr>
      <w:rFonts w:hint="eastAsia" w:ascii="Times New Roman" w:hAnsi="Times New Roman" w:eastAsia="宋体" w:cs="Times New Roman"/>
      <w:sz w:val="21"/>
      <w:lang w:val="en-US" w:eastAsia="zh-CN" w:bidi="ar-SA"/>
    </w:rPr>
  </w:style>
  <w:style w:type="character" w:customStyle="1" w:styleId="68">
    <w:name w:val="font21"/>
    <w:basedOn w:val="36"/>
    <w:qFormat/>
    <w:uiPriority w:val="0"/>
    <w:rPr>
      <w:rFonts w:hint="eastAsia" w:ascii="宋体" w:hAnsi="宋体" w:eastAsia="宋体" w:cs="宋体"/>
      <w:color w:val="000000"/>
      <w:sz w:val="21"/>
      <w:szCs w:val="21"/>
      <w:u w:val="none"/>
    </w:rPr>
  </w:style>
  <w:style w:type="character" w:customStyle="1" w:styleId="69">
    <w:name w:val="font11"/>
    <w:basedOn w:val="36"/>
    <w:qFormat/>
    <w:uiPriority w:val="0"/>
    <w:rPr>
      <w:rFonts w:hint="default" w:ascii="Times New Roman" w:hAnsi="Times New Roman" w:cs="Times New Roman"/>
      <w:color w:val="000000"/>
      <w:sz w:val="21"/>
      <w:szCs w:val="21"/>
      <w:u w:val="none"/>
    </w:rPr>
  </w:style>
  <w:style w:type="character" w:customStyle="1" w:styleId="70">
    <w:name w:val="font31"/>
    <w:basedOn w:val="36"/>
    <w:qFormat/>
    <w:uiPriority w:val="0"/>
    <w:rPr>
      <w:rFonts w:hint="default" w:ascii="Times New Roman" w:hAnsi="Times New Roman" w:cs="Times New Roman"/>
      <w:color w:val="000000"/>
      <w:sz w:val="21"/>
      <w:szCs w:val="21"/>
      <w:u w:val="none"/>
      <w:vertAlign w:val="superscript"/>
    </w:rPr>
  </w:style>
  <w:style w:type="character" w:customStyle="1" w:styleId="71">
    <w:name w:val="font41"/>
    <w:basedOn w:val="36"/>
    <w:qFormat/>
    <w:uiPriority w:val="0"/>
    <w:rPr>
      <w:rFonts w:hint="default" w:ascii="Times New Roman" w:hAnsi="Times New Roman" w:cs="Times New Roman"/>
      <w:color w:val="000000"/>
      <w:sz w:val="21"/>
      <w:szCs w:val="21"/>
      <w:u w:val="none"/>
    </w:rPr>
  </w:style>
  <w:style w:type="paragraph" w:customStyle="1" w:styleId="72">
    <w:name w:val=" Char Char Char Char Char Char Char Char Char Char Char"/>
    <w:basedOn w:val="1"/>
    <w:qFormat/>
    <w:uiPriority w:val="0"/>
    <w:rPr>
      <w:sz w:val="24"/>
    </w:rPr>
  </w:style>
  <w:style w:type="paragraph" w:customStyle="1" w:styleId="73">
    <w:name w:val="6表文（锐）"/>
    <w:basedOn w:val="74"/>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4">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5">
    <w:name w:val="表标题"/>
    <w:qFormat/>
    <w:uiPriority w:val="0"/>
    <w:pPr>
      <w:jc w:val="center"/>
    </w:pPr>
    <w:rPr>
      <w:rFonts w:ascii="Times New Roman" w:hAnsi="Times New Roman" w:eastAsia="宋体" w:cs="Times New Roman"/>
      <w:b/>
      <w:sz w:val="21"/>
      <w:lang w:val="en-US" w:eastAsia="zh-CN" w:bidi="ar-SA"/>
    </w:rPr>
  </w:style>
  <w:style w:type="paragraph" w:customStyle="1" w:styleId="76">
    <w:name w:val="表头1"/>
    <w:basedOn w:val="1"/>
    <w:next w:val="1"/>
    <w:qFormat/>
    <w:uiPriority w:val="0"/>
    <w:pPr>
      <w:numPr>
        <w:ilvl w:val="4"/>
        <w:numId w:val="5"/>
      </w:numPr>
      <w:tabs>
        <w:tab w:val="left" w:pos="0"/>
        <w:tab w:val="clear" w:pos="420"/>
      </w:tabs>
      <w:adjustRightInd/>
      <w:snapToGrid/>
      <w:spacing w:line="360" w:lineRule="auto"/>
      <w:ind w:left="0" w:firstLine="0" w:firstLineChars="0"/>
      <w:jc w:val="center"/>
      <w:outlineLvl w:val="7"/>
    </w:pPr>
    <w:rPr>
      <w:rFonts w:ascii="Times New Roman" w:hAnsi="Times New Roman" w:eastAsia="宋体"/>
      <w:b/>
    </w:rPr>
  </w:style>
  <w:style w:type="character" w:customStyle="1" w:styleId="77">
    <w:name w:val="font71"/>
    <w:basedOn w:val="36"/>
    <w:qFormat/>
    <w:uiPriority w:val="0"/>
    <w:rPr>
      <w:rFonts w:hint="default" w:ascii="Times New Roman" w:hAnsi="Times New Roman" w:cs="Times New Roman"/>
      <w:color w:val="FF0000"/>
      <w:sz w:val="21"/>
      <w:szCs w:val="21"/>
      <w:u w:val="none"/>
    </w:rPr>
  </w:style>
  <w:style w:type="character" w:customStyle="1" w:styleId="78">
    <w:name w:val="font101"/>
    <w:basedOn w:val="36"/>
    <w:qFormat/>
    <w:uiPriority w:val="0"/>
    <w:rPr>
      <w:rFonts w:hint="default" w:ascii="Times New Roman" w:hAnsi="Times New Roman" w:cs="Times New Roman"/>
      <w:color w:val="FF0000"/>
      <w:sz w:val="21"/>
      <w:szCs w:val="21"/>
      <w:u w:val="none"/>
      <w:vertAlign w:val="superscript"/>
    </w:rPr>
  </w:style>
  <w:style w:type="character" w:customStyle="1" w:styleId="79">
    <w:name w:val="font51"/>
    <w:basedOn w:val="36"/>
    <w:qFormat/>
    <w:uiPriority w:val="0"/>
    <w:rPr>
      <w:rFonts w:hint="default" w:ascii="Times New Roman" w:hAnsi="Times New Roman" w:cs="Times New Roman"/>
      <w:color w:val="0000FF"/>
      <w:sz w:val="21"/>
      <w:szCs w:val="21"/>
      <w:u w:val="none"/>
    </w:rPr>
  </w:style>
  <w:style w:type="character" w:customStyle="1" w:styleId="80">
    <w:name w:val="font112"/>
    <w:basedOn w:val="36"/>
    <w:qFormat/>
    <w:uiPriority w:val="0"/>
    <w:rPr>
      <w:rFonts w:hint="default" w:ascii="Times New Roman" w:hAnsi="Times New Roman" w:cs="Times New Roman"/>
      <w:color w:val="0000FF"/>
      <w:sz w:val="21"/>
      <w:szCs w:val="21"/>
      <w:u w:val="none"/>
      <w:vertAlign w:val="superscript"/>
    </w:rPr>
  </w:style>
  <w:style w:type="character" w:customStyle="1" w:styleId="81">
    <w:name w:val="font91"/>
    <w:basedOn w:val="36"/>
    <w:qFormat/>
    <w:uiPriority w:val="0"/>
    <w:rPr>
      <w:rFonts w:hint="default" w:ascii="Times New Roman" w:hAnsi="Times New Roman" w:cs="Times New Roman"/>
      <w:color w:val="7030A0"/>
      <w:sz w:val="21"/>
      <w:szCs w:val="21"/>
      <w:u w:val="none"/>
    </w:rPr>
  </w:style>
  <w:style w:type="character" w:customStyle="1" w:styleId="82">
    <w:name w:val="font121"/>
    <w:basedOn w:val="36"/>
    <w:qFormat/>
    <w:uiPriority w:val="0"/>
    <w:rPr>
      <w:rFonts w:hint="default" w:ascii="Times New Roman" w:hAnsi="Times New Roman" w:cs="Times New Roman"/>
      <w:color w:val="7030A0"/>
      <w:sz w:val="21"/>
      <w:szCs w:val="21"/>
      <w:u w:val="none"/>
      <w:vertAlign w:val="superscript"/>
    </w:rPr>
  </w:style>
  <w:style w:type="character" w:customStyle="1" w:styleId="83">
    <w:name w:val="font61"/>
    <w:basedOn w:val="36"/>
    <w:qFormat/>
    <w:uiPriority w:val="0"/>
    <w:rPr>
      <w:rFonts w:hint="eastAsia" w:ascii="宋体" w:hAnsi="宋体" w:eastAsia="宋体" w:cs="宋体"/>
      <w:color w:val="FF0000"/>
      <w:sz w:val="20"/>
      <w:szCs w:val="20"/>
      <w:u w:val="none"/>
    </w:rPr>
  </w:style>
  <w:style w:type="character" w:customStyle="1" w:styleId="84">
    <w:name w:val="font01"/>
    <w:basedOn w:val="36"/>
    <w:qFormat/>
    <w:uiPriority w:val="0"/>
    <w:rPr>
      <w:rFonts w:hint="default" w:ascii="Times New Roman" w:hAnsi="Times New Roman" w:cs="Times New Roman"/>
      <w:color w:val="FF0000"/>
      <w:sz w:val="20"/>
      <w:szCs w:val="20"/>
      <w:u w:val="none"/>
    </w:rPr>
  </w:style>
  <w:style w:type="character" w:customStyle="1" w:styleId="85">
    <w:name w:val="font81"/>
    <w:basedOn w:val="36"/>
    <w:qFormat/>
    <w:uiPriority w:val="0"/>
    <w:rPr>
      <w:rFonts w:hint="default" w:ascii="Times New Roman" w:hAnsi="Times New Roman" w:cs="Times New Roman"/>
      <w:color w:val="FF0000"/>
      <w:sz w:val="20"/>
      <w:szCs w:val="20"/>
      <w:u w:val="none"/>
      <w:vertAlign w:val="superscript"/>
    </w:rPr>
  </w:style>
  <w:style w:type="table" w:customStyle="1" w:styleId="86">
    <w:name w:val="Table Normal"/>
    <w:unhideWhenUsed/>
    <w:qFormat/>
    <w:uiPriority w:val="0"/>
    <w:tblPr>
      <w:tblCellMar>
        <w:top w:w="0" w:type="dxa"/>
        <w:left w:w="0" w:type="dxa"/>
        <w:bottom w:w="0" w:type="dxa"/>
        <w:right w:w="0" w:type="dxa"/>
      </w:tblCellMar>
    </w:tblPr>
  </w:style>
  <w:style w:type="paragraph" w:customStyle="1" w:styleId="87">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88">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89">
    <w:name w:val="正文(首行缩进)"/>
    <w:basedOn w:val="1"/>
    <w:qFormat/>
    <w:uiPriority w:val="0"/>
    <w:pPr>
      <w:ind w:firstLine="420"/>
    </w:pPr>
    <w:rPr>
      <w:kern w:val="24"/>
    </w:rPr>
  </w:style>
  <w:style w:type="paragraph" w:customStyle="1" w:styleId="90">
    <w:name w:val="表正文"/>
    <w:basedOn w:val="1"/>
    <w:qFormat/>
    <w:uiPriority w:val="0"/>
    <w:pPr>
      <w:spacing w:line="360" w:lineRule="auto"/>
      <w:ind w:firstLine="200" w:firstLineChars="200"/>
    </w:pPr>
    <w:rPr>
      <w:sz w:val="24"/>
    </w:rPr>
  </w:style>
  <w:style w:type="paragraph" w:customStyle="1" w:styleId="91">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sz w:val="24"/>
      <w:szCs w:val="21"/>
      <w:lang w:val="en-US" w:eastAsia="zh-CN" w:bidi="ar-SA"/>
    </w:rPr>
  </w:style>
  <w:style w:type="paragraph" w:customStyle="1" w:styleId="92">
    <w:name w:val="z表格内文字"/>
    <w:basedOn w:val="1"/>
    <w:qFormat/>
    <w:uiPriority w:val="0"/>
    <w:pPr>
      <w:jc w:val="center"/>
    </w:pPr>
    <w:rPr>
      <w:color w:val="000000"/>
      <w:szCs w:val="21"/>
    </w:rPr>
  </w:style>
  <w:style w:type="paragraph" w:customStyle="1" w:styleId="93">
    <w:name w:val="书表文字"/>
    <w:qFormat/>
    <w:uiPriority w:val="0"/>
    <w:pPr>
      <w:widowControl w:val="0"/>
    </w:pPr>
    <w:rPr>
      <w:rFonts w:ascii="Times New Roman" w:hAnsi="Times New Roman" w:eastAsia="宋体" w:cs="Courier New"/>
      <w:kern w:val="2"/>
      <w:sz w:val="21"/>
      <w:szCs w:val="21"/>
      <w:lang w:val="en-US" w:eastAsia="zh-CN" w:bidi="ar-SA"/>
    </w:rPr>
  </w:style>
  <w:style w:type="character" w:customStyle="1" w:styleId="94">
    <w:name w:val="fontstyle01"/>
    <w:basedOn w:val="36"/>
    <w:qFormat/>
    <w:uiPriority w:val="0"/>
    <w:rPr>
      <w:rFonts w:ascii="宋体" w:hAnsi="宋体" w:eastAsia="宋体" w:cs="宋体"/>
      <w:color w:val="000000"/>
      <w:sz w:val="22"/>
      <w:szCs w:val="22"/>
    </w:rPr>
  </w:style>
  <w:style w:type="paragraph" w:customStyle="1" w:styleId="95">
    <w:name w:val="表格内文字"/>
    <w:basedOn w:val="96"/>
    <w:qFormat/>
    <w:uiPriority w:val="0"/>
    <w:pPr>
      <w:widowControl w:val="0"/>
      <w:tabs>
        <w:tab w:val="left" w:pos="3825"/>
        <w:tab w:val="left" w:pos="4680"/>
      </w:tabs>
      <w:adjustRightInd w:val="0"/>
      <w:snapToGrid w:val="0"/>
      <w:spacing w:line="240" w:lineRule="auto"/>
      <w:ind w:firstLine="480" w:firstLineChars="200"/>
    </w:pPr>
    <w:rPr>
      <w:rFonts w:ascii="Calibri" w:hAnsi="Calibri" w:cs="宋体"/>
      <w:b w:val="0"/>
      <w:sz w:val="21"/>
      <w:szCs w:val="24"/>
    </w:rPr>
  </w:style>
  <w:style w:type="paragraph" w:customStyle="1" w:styleId="96">
    <w:name w:val="表格名称"/>
    <w:next w:val="95"/>
    <w:qFormat/>
    <w:uiPriority w:val="0"/>
    <w:pPr>
      <w:tabs>
        <w:tab w:val="left" w:pos="3825"/>
        <w:tab w:val="left" w:pos="4680"/>
      </w:tabs>
      <w:spacing w:line="360" w:lineRule="auto"/>
      <w:jc w:val="center"/>
    </w:pPr>
    <w:rPr>
      <w:rFonts w:ascii="Times New Roman" w:hAnsi="Times New Roman" w:eastAsia="宋体" w:cs="Times New Roman"/>
      <w:b/>
      <w:sz w:val="24"/>
      <w:szCs w:val="21"/>
      <w:lang w:val="en-US" w:eastAsia="zh-CN" w:bidi="ar-SA"/>
    </w:rPr>
  </w:style>
  <w:style w:type="paragraph" w:customStyle="1" w:styleId="97">
    <w:name w:val="Table Paragraph"/>
    <w:basedOn w:val="1"/>
    <w:qFormat/>
    <w:uiPriority w:val="1"/>
    <w:pPr>
      <w:jc w:val="center"/>
    </w:pPr>
    <w:rPr>
      <w:rFonts w:ascii="宋体" w:hAnsi="宋体" w:cs="宋体"/>
      <w:lang w:val="zh-CN" w:bidi="zh-CN"/>
    </w:rPr>
  </w:style>
  <w:style w:type="paragraph" w:customStyle="1" w:styleId="98">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99">
    <w:name w:val="表内容"/>
    <w:basedOn w:val="1"/>
    <w:qFormat/>
    <w:uiPriority w:val="0"/>
    <w:pPr>
      <w:widowControl/>
      <w:adjustRightInd w:val="0"/>
      <w:jc w:val="center"/>
    </w:pPr>
    <w:rPr>
      <w:szCs w:val="21"/>
    </w:rPr>
  </w:style>
  <w:style w:type="character" w:customStyle="1" w:styleId="100">
    <w:name w:val="报告正文 Char"/>
    <w:link w:val="46"/>
    <w:qFormat/>
    <w:uiPriority w:val="0"/>
    <w:rPr>
      <w:rFonts w:ascii="Times New Roman" w:hAnsi="Times New Roman" w:eastAsia="宋体"/>
      <w:color w:val="000000" w:themeColor="text1"/>
      <w:sz w:val="24"/>
      <w:szCs w:val="24"/>
      <w14:textFill>
        <w14:solidFill>
          <w14:schemeClr w14:val="tx1"/>
        </w14:solidFill>
      </w14:textFill>
    </w:rPr>
  </w:style>
  <w:style w:type="paragraph" w:customStyle="1" w:styleId="101">
    <w:name w:val="表 内容"/>
    <w:qFormat/>
    <w:uiPriority w:val="0"/>
    <w:pPr>
      <w:widowControl w:val="0"/>
      <w:spacing w:line="360" w:lineRule="auto"/>
      <w:jc w:val="center"/>
    </w:pPr>
    <w:rPr>
      <w:rFonts w:ascii="Calibri" w:hAnsi="宋体" w:eastAsia="宋体" w:cs="Times New Roman"/>
      <w:kern w:val="2"/>
      <w:sz w:val="24"/>
      <w:lang w:val="en-US" w:eastAsia="zh-CN" w:bidi="ar-SA"/>
    </w:rPr>
  </w:style>
  <w:style w:type="paragraph" w:customStyle="1" w:styleId="102">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103">
    <w:name w:val="0报告正文"/>
    <w:basedOn w:val="1"/>
    <w:qFormat/>
    <w:uiPriority w:val="0"/>
    <w:pPr>
      <w:autoSpaceDE w:val="0"/>
      <w:autoSpaceDN w:val="0"/>
      <w:spacing w:line="360" w:lineRule="auto"/>
      <w:ind w:firstLine="482"/>
    </w:pPr>
    <w:rPr>
      <w:rFonts w:eastAsia="Times New Roman"/>
      <w:color w:val="000000"/>
      <w:kern w:val="0"/>
      <w:sz w:val="24"/>
      <w:szCs w:val="20"/>
    </w:rPr>
  </w:style>
  <w:style w:type="paragraph" w:customStyle="1" w:styleId="104">
    <w:name w:val="表格内容b"/>
    <w:basedOn w:val="1"/>
    <w:qFormat/>
    <w:uiPriority w:val="0"/>
    <w:pPr>
      <w:jc w:val="center"/>
    </w:pPr>
  </w:style>
  <w:style w:type="paragraph" w:customStyle="1" w:styleId="105">
    <w:name w:val="文"/>
    <w:basedOn w:val="1"/>
    <w:qFormat/>
    <w:uiPriority w:val="0"/>
    <w:pPr>
      <w:widowControl/>
      <w:spacing w:line="360" w:lineRule="auto"/>
      <w:ind w:firstLine="200" w:firstLineChars="200"/>
    </w:pPr>
    <w:rPr>
      <w:bCs/>
      <w:kern w:val="0"/>
      <w:sz w:val="24"/>
      <w:szCs w:val="28"/>
    </w:rPr>
  </w:style>
  <w:style w:type="paragraph" w:customStyle="1" w:styleId="106">
    <w:name w:val="a表格内文字"/>
    <w:basedOn w:val="1"/>
    <w:qFormat/>
    <w:uiPriority w:val="0"/>
    <w:pPr>
      <w:jc w:val="center"/>
    </w:pPr>
    <w:rPr>
      <w:color w:val="000000"/>
      <w:szCs w:val="21"/>
    </w:rPr>
  </w:style>
  <w:style w:type="paragraph" w:customStyle="1" w:styleId="107">
    <w:name w:val="金皇-正文"/>
    <w:basedOn w:val="1"/>
    <w:qFormat/>
    <w:uiPriority w:val="0"/>
    <w:pPr>
      <w:spacing w:line="360" w:lineRule="auto"/>
      <w:ind w:firstLine="200" w:firstLineChars="200"/>
    </w:pPr>
    <w:rPr>
      <w:sz w:val="24"/>
    </w:rPr>
  </w:style>
  <w:style w:type="paragraph" w:customStyle="1" w:styleId="108">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09">
    <w:name w:val="北京表格内容"/>
    <w:basedOn w:val="1"/>
    <w:next w:val="1"/>
    <w:qFormat/>
    <w:uiPriority w:val="0"/>
    <w:pPr>
      <w:widowControl/>
      <w:spacing w:line="280" w:lineRule="exact"/>
      <w:jc w:val="center"/>
    </w:pPr>
    <w:rPr>
      <w:bCs/>
      <w:color w:val="000000"/>
      <w:sz w:val="18"/>
    </w:rPr>
  </w:style>
  <w:style w:type="paragraph" w:customStyle="1" w:styleId="110">
    <w:name w:val="金皇-标题3"/>
    <w:basedOn w:val="4"/>
    <w:qFormat/>
    <w:uiPriority w:val="0"/>
    <w:pPr>
      <w:keepNext w:val="0"/>
      <w:keepLines w:val="0"/>
      <w:numPr>
        <w:numId w:val="6"/>
      </w:numPr>
      <w:tabs>
        <w:tab w:val="left" w:pos="644"/>
        <w:tab w:val="clear" w:pos="420"/>
      </w:tabs>
      <w:adjustRightInd w:val="0"/>
      <w:jc w:val="left"/>
    </w:pPr>
    <w:rPr>
      <w:rFonts w:eastAsia="黑体"/>
      <w:sz w:val="28"/>
      <w:szCs w:val="30"/>
    </w:rPr>
  </w:style>
  <w:style w:type="paragraph" w:customStyle="1" w:styleId="111">
    <w:name w:val="表格内文字（两端对齐）"/>
    <w:basedOn w:val="95"/>
    <w:qFormat/>
    <w:uiPriority w:val="0"/>
    <w:pPr>
      <w:tabs>
        <w:tab w:val="left" w:pos="1980"/>
      </w:tabs>
      <w:jc w:val="both"/>
    </w:pPr>
  </w:style>
  <w:style w:type="paragraph" w:customStyle="1" w:styleId="112">
    <w:name w:val="无编号标题2"/>
    <w:basedOn w:val="3"/>
    <w:next w:val="1"/>
    <w:link w:val="147"/>
    <w:qFormat/>
    <w:uiPriority w:val="0"/>
    <w:pPr>
      <w:numPr>
        <w:ilvl w:val="0"/>
        <w:numId w:val="0"/>
      </w:numPr>
      <w:tabs>
        <w:tab w:val="left" w:pos="0"/>
        <w:tab w:val="clear" w:pos="420"/>
      </w:tabs>
    </w:pPr>
    <w:rPr>
      <w:rFonts w:ascii="Times New Roman" w:hAnsi="Times New Roman" w:eastAsia="宋体"/>
      <w:sz w:val="24"/>
    </w:rPr>
  </w:style>
  <w:style w:type="character" w:customStyle="1" w:styleId="113">
    <w:name w:val="disabled"/>
    <w:basedOn w:val="36"/>
    <w:qFormat/>
    <w:uiPriority w:val="0"/>
    <w:rPr>
      <w:vanish/>
    </w:rPr>
  </w:style>
  <w:style w:type="character" w:customStyle="1" w:styleId="114">
    <w:name w:val="znspantitle"/>
    <w:basedOn w:val="36"/>
    <w:qFormat/>
    <w:uiPriority w:val="0"/>
    <w:rPr>
      <w:b/>
      <w:bCs/>
      <w:color w:val="333333"/>
    </w:rPr>
  </w:style>
  <w:style w:type="paragraph" w:customStyle="1" w:styleId="115">
    <w:name w:val="Table Text"/>
    <w:basedOn w:val="1"/>
    <w:semiHidden/>
    <w:qFormat/>
    <w:uiPriority w:val="0"/>
    <w:rPr>
      <w:rFonts w:ascii="宋体" w:hAnsi="宋体" w:eastAsia="宋体" w:cs="宋体"/>
      <w:sz w:val="24"/>
      <w:szCs w:val="24"/>
      <w:lang w:val="en-US" w:eastAsia="en-US" w:bidi="ar-SA"/>
    </w:rPr>
  </w:style>
  <w:style w:type="paragraph" w:customStyle="1" w:styleId="116">
    <w:name w:val="文本"/>
    <w:basedOn w:val="1"/>
    <w:qFormat/>
    <w:uiPriority w:val="0"/>
    <w:pPr>
      <w:spacing w:line="360" w:lineRule="auto"/>
      <w:ind w:firstLine="200" w:firstLineChars="200"/>
    </w:pPr>
    <w:rPr>
      <w:rFonts w:ascii="Calibri" w:hAnsi="Calibri" w:cs="宋体"/>
      <w:sz w:val="24"/>
    </w:rPr>
  </w:style>
  <w:style w:type="paragraph" w:customStyle="1" w:styleId="117">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118">
    <w:name w:val="正文格式111"/>
    <w:basedOn w:val="1"/>
    <w:qFormat/>
    <w:uiPriority w:val="0"/>
    <w:pPr>
      <w:spacing w:line="420" w:lineRule="auto"/>
      <w:ind w:firstLine="480" w:firstLineChars="200"/>
    </w:pPr>
    <w:rPr>
      <w:bCs/>
      <w:kern w:val="0"/>
      <w:sz w:val="24"/>
    </w:rPr>
  </w:style>
  <w:style w:type="paragraph" w:customStyle="1" w:styleId="119">
    <w:name w:val="正文11111111111"/>
    <w:basedOn w:val="1"/>
    <w:qFormat/>
    <w:uiPriority w:val="0"/>
    <w:pPr>
      <w:spacing w:line="360" w:lineRule="auto"/>
      <w:ind w:firstLine="480" w:firstLineChars="200"/>
    </w:pPr>
    <w:rPr>
      <w:rFonts w:ascii="宋体" w:hAnsi="宋体"/>
      <w:sz w:val="24"/>
    </w:rPr>
  </w:style>
  <w:style w:type="paragraph" w:customStyle="1" w:styleId="120">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21">
    <w:name w:val="标题3"/>
    <w:basedOn w:val="1"/>
    <w:qFormat/>
    <w:uiPriority w:val="0"/>
    <w:pPr>
      <w:spacing w:line="360" w:lineRule="auto"/>
      <w:outlineLvl w:val="2"/>
    </w:pPr>
    <w:rPr>
      <w:b/>
      <w:sz w:val="24"/>
    </w:rPr>
  </w:style>
  <w:style w:type="paragraph" w:customStyle="1" w:styleId="122">
    <w:name w:val="Other|1"/>
    <w:basedOn w:val="1"/>
    <w:qFormat/>
    <w:uiPriority w:val="0"/>
    <w:pPr>
      <w:widowControl w:val="0"/>
      <w:spacing w:after="30" w:line="425" w:lineRule="auto"/>
      <w:ind w:firstLine="400"/>
      <w:jc w:val="both"/>
    </w:pPr>
    <w:rPr>
      <w:rFonts w:ascii="宋体" w:hAnsi="宋体" w:cs="宋体"/>
      <w:sz w:val="24"/>
      <w:lang w:val="zh-TW" w:eastAsia="zh-TW" w:bidi="zh-TW"/>
    </w:rPr>
  </w:style>
  <w:style w:type="paragraph" w:customStyle="1" w:styleId="123">
    <w:name w:val="表格内容（）"/>
    <w:basedOn w:val="1"/>
    <w:qFormat/>
    <w:uiPriority w:val="0"/>
    <w:pPr>
      <w:adjustRightInd w:val="0"/>
      <w:snapToGrid w:val="0"/>
      <w:jc w:val="center"/>
    </w:pPr>
    <w:rPr>
      <w:color w:val="00B0F0"/>
      <w:szCs w:val="21"/>
      <w:lang w:val="zh-CN"/>
    </w:rPr>
  </w:style>
  <w:style w:type="paragraph" w:customStyle="1" w:styleId="124">
    <w:name w:val="表表表表"/>
    <w:basedOn w:val="125"/>
    <w:qFormat/>
    <w:uiPriority w:val="0"/>
    <w:pPr>
      <w:jc w:val="center"/>
    </w:pPr>
    <w:rPr>
      <w:rFonts w:eastAsia="仿宋"/>
      <w:szCs w:val="21"/>
    </w:rPr>
  </w:style>
  <w:style w:type="paragraph" w:customStyle="1" w:styleId="125">
    <w:name w:val="表格文字"/>
    <w:basedOn w:val="1"/>
    <w:qFormat/>
    <w:uiPriority w:val="0"/>
    <w:pPr>
      <w:spacing w:line="560" w:lineRule="exact"/>
      <w:ind w:firstLine="0" w:firstLineChars="0"/>
      <w:jc w:val="center"/>
    </w:pPr>
    <w:rPr>
      <w:rFonts w:eastAsia="方正楷体简体"/>
      <w:szCs w:val="24"/>
    </w:rPr>
  </w:style>
  <w:style w:type="character" w:customStyle="1" w:styleId="126">
    <w:name w:val="fontstyle21"/>
    <w:basedOn w:val="36"/>
    <w:qFormat/>
    <w:uiPriority w:val="0"/>
    <w:rPr>
      <w:rFonts w:ascii="TimesNewRomanPSMT" w:hAnsi="TimesNewRomanPSMT" w:eastAsia="TimesNewRomanPSMT" w:cs="TimesNewRomanPSMT"/>
      <w:color w:val="000000"/>
      <w:sz w:val="24"/>
      <w:szCs w:val="24"/>
    </w:rPr>
  </w:style>
  <w:style w:type="paragraph" w:customStyle="1" w:styleId="127">
    <w:name w:val="22标题2"/>
    <w:basedOn w:val="128"/>
    <w:qFormat/>
    <w:uiPriority w:val="99"/>
    <w:pPr>
      <w:adjustRightInd w:val="0"/>
      <w:snapToGrid w:val="0"/>
    </w:pPr>
    <w:rPr>
      <w:color w:val="0000FF"/>
    </w:rPr>
  </w:style>
  <w:style w:type="paragraph" w:customStyle="1" w:styleId="128">
    <w:name w:val="标题2"/>
    <w:basedOn w:val="21"/>
    <w:qFormat/>
    <w:uiPriority w:val="99"/>
    <w:pPr>
      <w:spacing w:line="360" w:lineRule="auto"/>
      <w:outlineLvl w:val="1"/>
    </w:pPr>
    <w:rPr>
      <w:rFonts w:ascii="Times New Roman" w:hAnsi="Times New Roman" w:eastAsia="黑体"/>
      <w:sz w:val="30"/>
      <w:szCs w:val="30"/>
    </w:rPr>
  </w:style>
  <w:style w:type="paragraph" w:customStyle="1" w:styleId="129">
    <w:name w:val="三级标题（）"/>
    <w:basedOn w:val="1"/>
    <w:qFormat/>
    <w:uiPriority w:val="99"/>
    <w:pPr>
      <w:tabs>
        <w:tab w:val="left" w:pos="3840"/>
      </w:tabs>
      <w:spacing w:line="360" w:lineRule="auto"/>
      <w:outlineLvl w:val="2"/>
    </w:pPr>
    <w:rPr>
      <w:rFonts w:eastAsia="黑体"/>
      <w:color w:val="5B9BD5"/>
      <w:sz w:val="28"/>
      <w:szCs w:val="30"/>
    </w:rPr>
  </w:style>
  <w:style w:type="paragraph" w:customStyle="1" w:styleId="130">
    <w:name w:val="111表格"/>
    <w:basedOn w:val="1"/>
    <w:qFormat/>
    <w:uiPriority w:val="99"/>
    <w:pPr>
      <w:autoSpaceDE w:val="0"/>
      <w:autoSpaceDN w:val="0"/>
      <w:adjustRightInd w:val="0"/>
      <w:snapToGrid w:val="0"/>
      <w:spacing w:line="360" w:lineRule="auto"/>
      <w:ind w:firstLine="200" w:firstLineChars="200"/>
    </w:pPr>
    <w:rPr>
      <w:kern w:val="0"/>
      <w:szCs w:val="21"/>
    </w:rPr>
  </w:style>
  <w:style w:type="paragraph" w:customStyle="1" w:styleId="131">
    <w:name w:val="表头"/>
    <w:basedOn w:val="1"/>
    <w:next w:val="1"/>
    <w:qFormat/>
    <w:uiPriority w:val="0"/>
    <w:pPr>
      <w:numPr>
        <w:ilvl w:val="4"/>
        <w:numId w:val="7"/>
      </w:numPr>
      <w:tabs>
        <w:tab w:val="left" w:pos="420"/>
        <w:tab w:val="clear" w:pos="0"/>
      </w:tabs>
      <w:spacing w:line="360" w:lineRule="auto"/>
      <w:ind w:left="0" w:firstLine="0" w:firstLineChars="0"/>
      <w:jc w:val="center"/>
    </w:pPr>
    <w:rPr>
      <w:b/>
      <w:szCs w:val="22"/>
    </w:rPr>
  </w:style>
  <w:style w:type="paragraph" w:customStyle="1" w:styleId="132">
    <w:name w:val="@正文"/>
    <w:basedOn w:val="1"/>
    <w:qFormat/>
    <w:uiPriority w:val="0"/>
    <w:pPr>
      <w:tabs>
        <w:tab w:val="left" w:pos="1980"/>
        <w:tab w:val="left" w:pos="3825"/>
        <w:tab w:val="left" w:pos="4680"/>
      </w:tabs>
      <w:spacing w:line="360" w:lineRule="auto"/>
      <w:ind w:firstLine="200" w:firstLineChars="200"/>
      <w:jc w:val="left"/>
    </w:pPr>
    <w:rPr>
      <w:rFonts w:hAnsi="宋体"/>
      <w:kern w:val="0"/>
      <w:szCs w:val="21"/>
    </w:rPr>
  </w:style>
  <w:style w:type="character" w:customStyle="1" w:styleId="133">
    <w:name w:val="15"/>
    <w:qFormat/>
    <w:uiPriority w:val="0"/>
    <w:rPr>
      <w:rFonts w:hint="default" w:ascii="Times New Roman" w:hAnsi="Times New Roman" w:cs="Times New Roman"/>
    </w:rPr>
  </w:style>
  <w:style w:type="paragraph" w:customStyle="1" w:styleId="134">
    <w:name w:val="金皇-表（图）头"/>
    <w:basedOn w:val="1"/>
    <w:qFormat/>
    <w:uiPriority w:val="0"/>
    <w:pPr>
      <w:adjustRightInd w:val="0"/>
      <w:snapToGrid w:val="0"/>
      <w:jc w:val="center"/>
      <w:outlineLvl w:val="4"/>
    </w:pPr>
    <w:rPr>
      <w:rFonts w:eastAsia="黑体"/>
      <w:b/>
      <w:sz w:val="24"/>
    </w:rPr>
  </w:style>
  <w:style w:type="paragraph" w:customStyle="1" w:styleId="135">
    <w:name w:val="111正文格式111"/>
    <w:basedOn w:val="1"/>
    <w:qFormat/>
    <w:uiPriority w:val="99"/>
    <w:pPr>
      <w:adjustRightInd w:val="0"/>
      <w:snapToGrid w:val="0"/>
      <w:spacing w:line="360" w:lineRule="auto"/>
      <w:ind w:firstLine="200" w:firstLineChars="200"/>
    </w:pPr>
    <w:rPr>
      <w:kern w:val="0"/>
    </w:rPr>
  </w:style>
  <w:style w:type="paragraph" w:customStyle="1" w:styleId="136">
    <w:name w:val="（环评）表格内容"/>
    <w:basedOn w:val="1"/>
    <w:next w:val="16"/>
    <w:qFormat/>
    <w:uiPriority w:val="0"/>
    <w:pPr>
      <w:adjustRightInd w:val="0"/>
      <w:snapToGrid w:val="0"/>
      <w:spacing w:line="240" w:lineRule="auto"/>
      <w:ind w:firstLine="0" w:firstLineChars="0"/>
      <w:jc w:val="center"/>
    </w:pPr>
    <w:rPr>
      <w:rFonts w:ascii="Times New Roman" w:hAnsi="Times New Roman" w:eastAsia="宋体"/>
      <w:iCs/>
      <w:szCs w:val="21"/>
    </w:rPr>
  </w:style>
  <w:style w:type="character" w:customStyle="1" w:styleId="137">
    <w:name w:val="正文缩进 Char"/>
    <w:link w:val="13"/>
    <w:qFormat/>
    <w:uiPriority w:val="0"/>
    <w:rPr>
      <w:rFonts w:ascii="Calibri" w:hAnsi="Calibri"/>
      <w:sz w:val="28"/>
    </w:rPr>
  </w:style>
  <w:style w:type="paragraph" w:customStyle="1" w:styleId="138">
    <w:name w:val="1表格（5宋.）"/>
    <w:basedOn w:val="1"/>
    <w:qFormat/>
    <w:uiPriority w:val="0"/>
    <w:pPr>
      <w:shd w:val="clear" w:color="auto" w:fill="auto"/>
      <w:spacing w:line="240" w:lineRule="auto"/>
      <w:ind w:firstLine="0" w:firstLineChars="0"/>
      <w:jc w:val="center"/>
    </w:pPr>
    <w:rPr>
      <w:rFonts w:ascii="宋体" w:hAnsi="宋体" w:eastAsia="宋体" w:cs="宋体"/>
      <w:color w:val="000000"/>
      <w:sz w:val="21"/>
      <w:szCs w:val="22"/>
      <w:u w:val="none"/>
      <w:shd w:val="clear" w:color="auto" w:fill="auto"/>
      <w:lang w:val="zh-TW" w:eastAsia="zh-TW" w:bidi="zh-TW"/>
    </w:rPr>
  </w:style>
  <w:style w:type="paragraph" w:customStyle="1" w:styleId="139">
    <w:name w:val="11正文"/>
    <w:basedOn w:val="140"/>
    <w:qFormat/>
    <w:uiPriority w:val="99"/>
  </w:style>
  <w:style w:type="paragraph" w:customStyle="1" w:styleId="140">
    <w:name w:val="正文111"/>
    <w:basedOn w:val="141"/>
    <w:qFormat/>
    <w:uiPriority w:val="99"/>
    <w:pPr>
      <w:ind w:firstLine="480"/>
    </w:pPr>
  </w:style>
  <w:style w:type="paragraph" w:customStyle="1" w:styleId="141">
    <w:name w:val="正文的格式52"/>
    <w:basedOn w:val="1"/>
    <w:qFormat/>
    <w:uiPriority w:val="99"/>
    <w:pPr>
      <w:spacing w:line="360" w:lineRule="auto"/>
      <w:ind w:firstLine="200" w:firstLineChars="200"/>
    </w:pPr>
    <w:rPr>
      <w:kern w:val="0"/>
      <w:sz w:val="24"/>
      <w:szCs w:val="20"/>
    </w:rPr>
  </w:style>
  <w:style w:type="paragraph" w:customStyle="1" w:styleId="142">
    <w:name w:val="10、表格内容"/>
    <w:basedOn w:val="16"/>
    <w:qFormat/>
    <w:uiPriority w:val="0"/>
    <w:pPr>
      <w:widowControl w:val="0"/>
      <w:adjustRightInd w:val="0"/>
      <w:spacing w:before="0" w:after="0" w:line="280" w:lineRule="exact"/>
      <w:ind w:right="0"/>
      <w:jc w:val="center"/>
    </w:pPr>
    <w:rPr>
      <w:color w:val="000000"/>
      <w:kern w:val="2"/>
      <w:sz w:val="21"/>
      <w:szCs w:val="24"/>
    </w:rPr>
  </w:style>
  <w:style w:type="paragraph" w:customStyle="1" w:styleId="143">
    <w:name w:val="22表格"/>
    <w:basedOn w:val="124"/>
    <w:qFormat/>
    <w:uiPriority w:val="0"/>
    <w:pPr>
      <w:adjustRightInd w:val="0"/>
      <w:snapToGrid w:val="0"/>
      <w:textAlignment w:val="center"/>
    </w:pPr>
    <w:rPr>
      <w:rFonts w:eastAsia="宋体"/>
      <w:color w:val="000000"/>
    </w:rPr>
  </w:style>
  <w:style w:type="paragraph" w:customStyle="1" w:styleId="144">
    <w:name w:val="111正文"/>
    <w:basedOn w:val="1"/>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45">
    <w:name w:val="WPSOffice手动目录 1"/>
    <w:qFormat/>
    <w:uiPriority w:val="0"/>
    <w:pPr>
      <w:ind w:leftChars="0"/>
    </w:pPr>
    <w:rPr>
      <w:rFonts w:ascii="Times New Roman" w:hAnsi="Times New Roman" w:eastAsia="宋体" w:cs="Times New Roman"/>
      <w:sz w:val="20"/>
      <w:szCs w:val="20"/>
    </w:rPr>
  </w:style>
  <w:style w:type="paragraph" w:customStyle="1" w:styleId="146">
    <w:name w:val="List Paragraph"/>
    <w:basedOn w:val="1"/>
    <w:qFormat/>
    <w:uiPriority w:val="1"/>
    <w:pPr>
      <w:ind w:left="1286" w:hanging="277"/>
    </w:pPr>
    <w:rPr>
      <w:rFonts w:ascii="宋体" w:hAnsi="宋体" w:eastAsia="宋体" w:cs="宋体"/>
      <w:lang w:val="en-US" w:eastAsia="zh-CN" w:bidi="ar-SA"/>
    </w:rPr>
  </w:style>
  <w:style w:type="character" w:customStyle="1" w:styleId="147">
    <w:name w:val="无编号标题2 Char"/>
    <w:link w:val="112"/>
    <w:qFormat/>
    <w:uiPriority w:val="0"/>
    <w:rPr>
      <w:rFonts w:ascii="Times New Roman" w:hAnsi="Times New Roman" w:eastAsia="宋体"/>
      <w:sz w:val="24"/>
    </w:rPr>
  </w:style>
  <w:style w:type="paragraph" w:customStyle="1" w:styleId="148">
    <w:name w:val="7表格(治)"/>
    <w:qFormat/>
    <w:uiPriority w:val="0"/>
    <w:pPr>
      <w:jc w:val="center"/>
    </w:pPr>
    <w:rPr>
      <w:rFonts w:ascii="Times New Roman" w:hAnsi="Times New Roman" w:eastAsia="宋体" w:cs="Times New Roman"/>
      <w:sz w:val="21"/>
      <w:lang w:val="en-US" w:eastAsia="zh-CN" w:bidi="ar-SA"/>
    </w:rPr>
  </w:style>
  <w:style w:type="paragraph" w:customStyle="1" w:styleId="149">
    <w:name w:val="5段落"/>
    <w:basedOn w:val="1"/>
    <w:qFormat/>
    <w:uiPriority w:val="0"/>
    <w:pPr>
      <w:spacing w:line="360" w:lineRule="auto"/>
      <w:ind w:firstLine="200" w:firstLineChars="200"/>
    </w:pPr>
    <w:rPr>
      <w:szCs w:val="28"/>
    </w:rPr>
  </w:style>
  <w:style w:type="paragraph" w:customStyle="1" w:styleId="150">
    <w:name w:val="环评 表格"/>
    <w:basedOn w:val="151"/>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51">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52">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153">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154">
    <w:name w:val="表格的字"/>
    <w:basedOn w:val="155"/>
    <w:next w:val="1"/>
    <w:qFormat/>
    <w:uiPriority w:val="0"/>
    <w:pPr>
      <w:jc w:val="center"/>
    </w:pPr>
    <w:rPr>
      <w:szCs w:val="21"/>
      <w:lang w:val="en-US" w:eastAsia="zh-CN" w:bidi="ar-SA"/>
    </w:rPr>
  </w:style>
  <w:style w:type="paragraph" w:customStyle="1" w:styleId="155">
    <w:name w:val="项目基本情况的字"/>
    <w:basedOn w:val="1"/>
    <w:qFormat/>
    <w:uiPriority w:val="0"/>
    <w:pPr>
      <w:jc w:val="center"/>
    </w:pPr>
    <w:rPr>
      <w:rFonts w:cs="宋体"/>
    </w:rPr>
  </w:style>
  <w:style w:type="paragraph" w:customStyle="1" w:styleId="156">
    <w:name w:val="个人表格"/>
    <w:basedOn w:val="1"/>
    <w:next w:val="1"/>
    <w:qFormat/>
    <w:uiPriority w:val="0"/>
    <w:pPr>
      <w:spacing w:before="120" w:beforeLines="0" w:after="120" w:afterLines="0"/>
      <w:jc w:val="center"/>
    </w:pPr>
    <w:rPr>
      <w:rFonts w:ascii="Times New Roman" w:hAnsi="Times New Roman" w:cs="Times New Roman"/>
      <w:szCs w:val="21"/>
    </w:rPr>
  </w:style>
  <w:style w:type="paragraph" w:customStyle="1" w:styleId="157">
    <w:name w:val="zhang正文"/>
    <w:basedOn w:val="17"/>
    <w:next w:val="1"/>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158">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159">
    <w:name w:val="正文1"/>
    <w:basedOn w:val="17"/>
    <w:qFormat/>
    <w:uiPriority w:val="0"/>
    <w:pPr>
      <w:ind w:firstLine="200" w:firstLineChars="200"/>
    </w:pPr>
    <w:rPr>
      <w:rFonts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4" Type="http://schemas.openxmlformats.org/officeDocument/2006/relationships/fontTable" Target="fontTable.xml"/><Relationship Id="rId43" Type="http://schemas.microsoft.com/office/2006/relationships/keyMapCustomizations" Target="customizations.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wmf"/><Relationship Id="rId31" Type="http://schemas.openxmlformats.org/officeDocument/2006/relationships/oleObject" Target="embeddings/oleObject5.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7.wmf"/><Relationship Id="rId27" Type="http://schemas.openxmlformats.org/officeDocument/2006/relationships/oleObject" Target="embeddings/oleObject3.bin"/><Relationship Id="rId26" Type="http://schemas.openxmlformats.org/officeDocument/2006/relationships/image" Target="media/image16.wmf"/><Relationship Id="rId25" Type="http://schemas.openxmlformats.org/officeDocument/2006/relationships/oleObject" Target="embeddings/oleObject2.bin"/><Relationship Id="rId24" Type="http://schemas.openxmlformats.org/officeDocument/2006/relationships/image" Target="media/image15.wmf"/><Relationship Id="rId23" Type="http://schemas.openxmlformats.org/officeDocument/2006/relationships/oleObject" Target="embeddings/oleObject1.bin"/><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福建省闽创环保科技有限公司</Company>
  <Pages>100</Pages>
  <Words>9942</Words>
  <Characters>10639</Characters>
  <Lines>1</Lines>
  <Paragraphs>1</Paragraphs>
  <TotalTime>3</TotalTime>
  <ScaleCrop>false</ScaleCrop>
  <LinksUpToDate>false</LinksUpToDate>
  <CharactersWithSpaces>10729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2021-09-17T07:05:00Z</dcterms:created>
  <dc:creator>龚锐</dc:creator>
  <cp:lastModifiedBy>admin</cp:lastModifiedBy>
  <cp:lastPrinted>2026-02-07T07:56:00Z</cp:lastPrinted>
  <dcterms:modified xsi:type="dcterms:W3CDTF">2026-02-09T02:03:08Z</dcterms:modified>
  <dc:title>年产25万平方米单双面及多层印制电路板项目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68950517187F4779A9CB820A91388EAC_13</vt:lpwstr>
  </property>
  <property fmtid="{D5CDD505-2E9C-101B-9397-08002B2CF9AE}" pid="4" name="KSOTemplateDocerSaveRecord">
    <vt:lpwstr>eyJoZGlkIjoiODIxOTQwYmRmYmY3YWI0ZmJiMDI1ZTBkNDIyN2Q3YzgiLCJ1c2VySWQiOiIxMDU0MTI4NzM3In0=</vt:lpwstr>
  </property>
</Properties>
</file>