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100FB7">
      <w:pPr>
        <w:rPr>
          <w:rFonts w:hint="eastAsia" w:eastAsia="仿宋_GB2312"/>
          <w:color w:val="auto"/>
          <w:sz w:val="36"/>
          <w:szCs w:val="36"/>
          <w:lang w:eastAsia="zh-CN"/>
        </w:rPr>
      </w:pPr>
      <w:bookmarkStart w:id="71" w:name="_GoBack"/>
      <w:bookmarkEnd w:id="71"/>
      <w:r>
        <w:drawing>
          <wp:anchor distT="0" distB="0" distL="114300" distR="114300" simplePos="0" relativeHeight="251674624" behindDoc="0" locked="0" layoutInCell="1" allowOverlap="1">
            <wp:simplePos x="0" y="0"/>
            <wp:positionH relativeFrom="column">
              <wp:posOffset>-181610</wp:posOffset>
            </wp:positionH>
            <wp:positionV relativeFrom="paragraph">
              <wp:posOffset>-31750</wp:posOffset>
            </wp:positionV>
            <wp:extent cx="5947410" cy="8394065"/>
            <wp:effectExtent l="0" t="0" r="15240" b="6985"/>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5947410" cy="8394065"/>
                    </a:xfrm>
                    <a:prstGeom prst="rect">
                      <a:avLst/>
                    </a:prstGeom>
                    <a:noFill/>
                    <a:ln>
                      <a:noFill/>
                    </a:ln>
                  </pic:spPr>
                </pic:pic>
              </a:graphicData>
            </a:graphic>
          </wp:anchor>
        </w:drawing>
      </w:r>
    </w:p>
    <w:p w14:paraId="37F3C750">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eastAsia="仿宋_GB2312"/>
          <w:color w:val="auto"/>
          <w:sz w:val="36"/>
          <w:szCs w:val="36"/>
        </w:rPr>
      </w:pPr>
    </w:p>
    <w:p w14:paraId="243E5660">
      <w:pPr>
        <w:pStyle w:val="44"/>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ascii="Times New Roman" w:hAnsi="Times New Roman" w:eastAsia="宋体" w:cs="Times New Roman"/>
          <w:b w:val="0"/>
          <w:bCs w:val="0"/>
          <w:sz w:val="56"/>
          <w:szCs w:val="56"/>
        </w:rPr>
      </w:pPr>
      <w:bookmarkStart w:id="0" w:name="_Toc5240"/>
      <w:bookmarkStart w:id="1" w:name="_Toc2348"/>
      <w:bookmarkStart w:id="2" w:name="_Toc21946"/>
      <w:bookmarkStart w:id="3" w:name="_Toc14596"/>
      <w:r>
        <w:rPr>
          <w:rFonts w:ascii="Times New Roman" w:hAnsi="Times New Roman" w:eastAsia="宋体" w:cs="Times New Roman"/>
          <w:b w:val="0"/>
          <w:bCs w:val="0"/>
          <w:sz w:val="56"/>
          <w:szCs w:val="56"/>
        </w:rPr>
        <w:t>建设项目环境影响报告表</w:t>
      </w:r>
      <w:bookmarkEnd w:id="0"/>
      <w:bookmarkEnd w:id="1"/>
      <w:bookmarkEnd w:id="2"/>
      <w:bookmarkEnd w:id="3"/>
    </w:p>
    <w:p w14:paraId="4D6B5C73">
      <w:pPr>
        <w:pStyle w:val="44"/>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ascii="Times New Roman" w:hAnsi="Times New Roman" w:eastAsia="宋体" w:cs="Times New Roman"/>
          <w:b w:val="0"/>
          <w:bCs w:val="0"/>
          <w:sz w:val="56"/>
          <w:szCs w:val="56"/>
        </w:rPr>
      </w:pPr>
      <w:r>
        <w:rPr>
          <w:rFonts w:ascii="Times New Roman" w:hAnsi="Times New Roman" w:eastAsia="宋体" w:cs="Times New Roman"/>
          <w:b w:val="0"/>
          <w:bCs w:val="0"/>
          <w:sz w:val="56"/>
          <w:szCs w:val="56"/>
        </w:rPr>
        <w:t>（污染影响类）</w:t>
      </w:r>
    </w:p>
    <w:p w14:paraId="21A751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auto"/>
        </w:rPr>
      </w:pPr>
    </w:p>
    <w:p w14:paraId="793627A9">
      <w:pPr>
        <w:pStyle w:val="39"/>
        <w:bidi w:val="0"/>
      </w:pPr>
    </w:p>
    <w:p w14:paraId="76F4E25D">
      <w:pPr>
        <w:pStyle w:val="39"/>
        <w:bidi w:val="0"/>
        <w:rPr>
          <w:rFonts w:hint="eastAsia" w:eastAsia="宋体"/>
          <w:lang w:eastAsia="zh-CN"/>
        </w:rPr>
      </w:pPr>
    </w:p>
    <w:p w14:paraId="37D1EE3A">
      <w:pPr>
        <w:keepNext w:val="0"/>
        <w:keepLines w:val="0"/>
        <w:pageBreakBefore w:val="0"/>
        <w:widowControl w:val="0"/>
        <w:kinsoku/>
        <w:wordWrap/>
        <w:overflowPunct/>
        <w:topLinePunct w:val="0"/>
        <w:autoSpaceDE/>
        <w:autoSpaceDN/>
        <w:bidi w:val="0"/>
        <w:ind w:firstLine="0" w:firstLineChars="0"/>
        <w:textAlignment w:val="auto"/>
        <w:rPr>
          <w:rFonts w:hint="eastAsia" w:eastAsia="仿宋"/>
          <w:color w:val="auto"/>
          <w:sz w:val="44"/>
          <w:szCs w:val="44"/>
          <w:lang w:eastAsia="zh-CN"/>
        </w:rPr>
      </w:pPr>
    </w:p>
    <w:p w14:paraId="465AC20B">
      <w:pPr>
        <w:keepNext w:val="0"/>
        <w:keepLines w:val="0"/>
        <w:pageBreakBefore w:val="0"/>
        <w:widowControl w:val="0"/>
        <w:kinsoku/>
        <w:wordWrap/>
        <w:overflowPunct/>
        <w:topLinePunct w:val="0"/>
        <w:autoSpaceDE/>
        <w:autoSpaceDN/>
        <w:bidi w:val="0"/>
        <w:ind w:firstLine="0" w:firstLineChars="0"/>
        <w:textAlignment w:val="auto"/>
        <w:rPr>
          <w:rFonts w:eastAsia="仿宋"/>
          <w:color w:val="auto"/>
          <w:sz w:val="44"/>
          <w:szCs w:val="44"/>
        </w:rPr>
      </w:pPr>
    </w:p>
    <w:p w14:paraId="0CACA5AF">
      <w:pPr>
        <w:keepNext w:val="0"/>
        <w:keepLines w:val="0"/>
        <w:pageBreakBefore w:val="0"/>
        <w:widowControl w:val="0"/>
        <w:kinsoku/>
        <w:wordWrap/>
        <w:overflowPunct/>
        <w:topLinePunct w:val="0"/>
        <w:autoSpaceDE/>
        <w:autoSpaceDN/>
        <w:bidi w:val="0"/>
        <w:ind w:firstLine="0" w:firstLineChars="0"/>
        <w:textAlignment w:val="auto"/>
        <w:rPr>
          <w:rFonts w:eastAsia="仿宋"/>
          <w:color w:val="auto"/>
          <w:sz w:val="44"/>
          <w:szCs w:val="44"/>
        </w:rPr>
      </w:pPr>
    </w:p>
    <w:p w14:paraId="6A2C4EBE">
      <w:pPr>
        <w:keepNext w:val="0"/>
        <w:keepLines w:val="0"/>
        <w:pageBreakBefore w:val="0"/>
        <w:widowControl w:val="0"/>
        <w:kinsoku/>
        <w:wordWrap/>
        <w:overflowPunct/>
        <w:topLinePunct w:val="0"/>
        <w:autoSpaceDE/>
        <w:autoSpaceDN/>
        <w:bidi w:val="0"/>
        <w:ind w:firstLine="0" w:firstLineChars="0"/>
        <w:textAlignment w:val="auto"/>
        <w:rPr>
          <w:rFonts w:eastAsia="仿宋"/>
          <w:color w:val="auto"/>
          <w:sz w:val="44"/>
          <w:szCs w:val="44"/>
        </w:rPr>
      </w:pPr>
    </w:p>
    <w:p w14:paraId="42C689D4">
      <w:pPr>
        <w:keepNext w:val="0"/>
        <w:keepLines w:val="0"/>
        <w:pageBreakBefore w:val="0"/>
        <w:widowControl w:val="0"/>
        <w:kinsoku/>
        <w:wordWrap/>
        <w:overflowPunct/>
        <w:topLinePunct w:val="0"/>
        <w:autoSpaceDE/>
        <w:autoSpaceDN/>
        <w:bidi w:val="0"/>
        <w:ind w:firstLine="0" w:firstLineChars="0"/>
        <w:textAlignment w:val="auto"/>
        <w:rPr>
          <w:rFonts w:eastAsia="仿宋"/>
          <w:color w:val="auto"/>
          <w:sz w:val="44"/>
          <w:szCs w:val="44"/>
        </w:rPr>
      </w:pPr>
    </w:p>
    <w:tbl>
      <w:tblPr>
        <w:tblStyle w:val="29"/>
        <w:tblW w:w="0" w:type="auto"/>
        <w:jc w:val="center"/>
        <w:tblLayout w:type="fixed"/>
        <w:tblCellMar>
          <w:top w:w="0" w:type="dxa"/>
          <w:left w:w="108" w:type="dxa"/>
          <w:bottom w:w="0" w:type="dxa"/>
          <w:right w:w="108" w:type="dxa"/>
        </w:tblCellMar>
      </w:tblPr>
      <w:tblGrid>
        <w:gridCol w:w="2364"/>
        <w:gridCol w:w="6575"/>
      </w:tblGrid>
      <w:tr w14:paraId="1BA4F879">
        <w:tblPrEx>
          <w:tblCellMar>
            <w:top w:w="0" w:type="dxa"/>
            <w:left w:w="108" w:type="dxa"/>
            <w:bottom w:w="0" w:type="dxa"/>
            <w:right w:w="108" w:type="dxa"/>
          </w:tblCellMar>
        </w:tblPrEx>
        <w:trPr>
          <w:trHeight w:val="1067" w:hRule="atLeast"/>
          <w:jc w:val="center"/>
        </w:trPr>
        <w:tc>
          <w:tcPr>
            <w:tcW w:w="2364" w:type="dxa"/>
            <w:tcBorders>
              <w:right w:val="nil"/>
            </w:tcBorders>
            <w:vAlign w:val="bottom"/>
          </w:tcPr>
          <w:p w14:paraId="3040D2BE">
            <w:pPr>
              <w:pStyle w:val="44"/>
              <w:keepNext w:val="0"/>
              <w:keepLines w:val="0"/>
              <w:suppressLineNumbers w:val="0"/>
              <w:bidi w:val="0"/>
              <w:spacing w:before="0" w:beforeAutospacing="0" w:after="0" w:afterAutospacing="0"/>
              <w:ind w:left="0" w:right="0"/>
              <w:rPr>
                <w:rFonts w:hint="default"/>
                <w:b w:val="0"/>
                <w:bCs w:val="0"/>
              </w:rPr>
            </w:pPr>
            <w:r>
              <w:rPr>
                <w:rFonts w:hint="default"/>
                <w:b w:val="0"/>
                <w:bCs w:val="0"/>
              </w:rPr>
              <w:t>项  目  名  称</w:t>
            </w:r>
          </w:p>
        </w:tc>
        <w:tc>
          <w:tcPr>
            <w:tcW w:w="6575" w:type="dxa"/>
            <w:tcBorders>
              <w:top w:val="nil"/>
              <w:left w:val="nil"/>
              <w:bottom w:val="single" w:color="auto" w:sz="4" w:space="0"/>
              <w:right w:val="nil"/>
            </w:tcBorders>
            <w:vAlign w:val="bottom"/>
          </w:tcPr>
          <w:p w14:paraId="311AEF64">
            <w:pPr>
              <w:pStyle w:val="44"/>
              <w:keepNext w:val="0"/>
              <w:keepLines w:val="0"/>
              <w:suppressLineNumbers w:val="0"/>
              <w:bidi w:val="0"/>
              <w:spacing w:before="0" w:beforeAutospacing="0" w:after="0" w:afterAutospacing="0"/>
              <w:ind w:left="0" w:right="0"/>
              <w:rPr>
                <w:rFonts w:hint="eastAsia" w:eastAsia="宋体"/>
                <w:b w:val="0"/>
                <w:bCs w:val="0"/>
                <w:lang w:eastAsia="zh-CN"/>
              </w:rPr>
            </w:pPr>
            <w:r>
              <w:rPr>
                <w:rFonts w:hint="eastAsia"/>
                <w:b w:val="0"/>
                <w:bCs w:val="0"/>
                <w:lang w:eastAsia="zh-CN"/>
              </w:rPr>
              <w:t>福清市三合电子科技有限公司年加工铝合金20万套、塑胶件30万套、钣金件10万套项目</w:t>
            </w:r>
          </w:p>
        </w:tc>
      </w:tr>
      <w:tr w14:paraId="17C523A8">
        <w:tblPrEx>
          <w:tblCellMar>
            <w:top w:w="0" w:type="dxa"/>
            <w:left w:w="108" w:type="dxa"/>
            <w:bottom w:w="0" w:type="dxa"/>
            <w:right w:w="108" w:type="dxa"/>
          </w:tblCellMar>
        </w:tblPrEx>
        <w:trPr>
          <w:trHeight w:val="737" w:hRule="atLeast"/>
          <w:jc w:val="center"/>
        </w:trPr>
        <w:tc>
          <w:tcPr>
            <w:tcW w:w="2364" w:type="dxa"/>
            <w:tcBorders>
              <w:right w:val="nil"/>
            </w:tcBorders>
            <w:vAlign w:val="bottom"/>
          </w:tcPr>
          <w:p w14:paraId="6943934C">
            <w:pPr>
              <w:pStyle w:val="44"/>
              <w:keepNext w:val="0"/>
              <w:keepLines w:val="0"/>
              <w:suppressLineNumbers w:val="0"/>
              <w:bidi w:val="0"/>
              <w:spacing w:before="0" w:beforeAutospacing="0" w:after="0" w:afterAutospacing="0"/>
              <w:ind w:left="0" w:right="0"/>
              <w:rPr>
                <w:rFonts w:hint="default"/>
                <w:b w:val="0"/>
                <w:bCs w:val="0"/>
              </w:rPr>
            </w:pPr>
            <w:r>
              <w:rPr>
                <w:rFonts w:hint="default"/>
                <w:b w:val="0"/>
                <w:bCs w:val="0"/>
              </w:rPr>
              <w:t>建设单位（盖章）</w:t>
            </w:r>
          </w:p>
        </w:tc>
        <w:tc>
          <w:tcPr>
            <w:tcW w:w="6575" w:type="dxa"/>
            <w:tcBorders>
              <w:top w:val="single" w:color="auto" w:sz="4" w:space="0"/>
              <w:left w:val="nil"/>
              <w:bottom w:val="single" w:color="auto" w:sz="4" w:space="0"/>
              <w:right w:val="nil"/>
            </w:tcBorders>
            <w:vAlign w:val="bottom"/>
          </w:tcPr>
          <w:p w14:paraId="24CA4690">
            <w:pPr>
              <w:pStyle w:val="44"/>
              <w:keepNext w:val="0"/>
              <w:keepLines w:val="0"/>
              <w:suppressLineNumbers w:val="0"/>
              <w:bidi w:val="0"/>
              <w:spacing w:before="0" w:beforeAutospacing="0" w:after="0" w:afterAutospacing="0"/>
              <w:ind w:left="0" w:right="0"/>
              <w:rPr>
                <w:rFonts w:hint="default"/>
                <w:b w:val="0"/>
                <w:bCs w:val="0"/>
              </w:rPr>
            </w:pPr>
            <w:r>
              <w:rPr>
                <w:rFonts w:hint="default"/>
                <w:b w:val="0"/>
                <w:bCs w:val="0"/>
              </w:rPr>
              <w:t>福清市三合电子科技有限公司</w:t>
            </w:r>
          </w:p>
        </w:tc>
      </w:tr>
      <w:tr w14:paraId="0A69B665">
        <w:tblPrEx>
          <w:tblCellMar>
            <w:top w:w="0" w:type="dxa"/>
            <w:left w:w="108" w:type="dxa"/>
            <w:bottom w:w="0" w:type="dxa"/>
            <w:right w:w="108" w:type="dxa"/>
          </w:tblCellMar>
        </w:tblPrEx>
        <w:trPr>
          <w:trHeight w:val="737" w:hRule="atLeast"/>
          <w:jc w:val="center"/>
        </w:trPr>
        <w:tc>
          <w:tcPr>
            <w:tcW w:w="2364" w:type="dxa"/>
            <w:tcBorders>
              <w:right w:val="nil"/>
            </w:tcBorders>
            <w:vAlign w:val="bottom"/>
          </w:tcPr>
          <w:p w14:paraId="47EFD1E0">
            <w:pPr>
              <w:pStyle w:val="44"/>
              <w:keepNext w:val="0"/>
              <w:keepLines w:val="0"/>
              <w:suppressLineNumbers w:val="0"/>
              <w:bidi w:val="0"/>
              <w:spacing w:before="0" w:beforeAutospacing="0" w:after="0" w:afterAutospacing="0"/>
              <w:ind w:left="0" w:right="0"/>
              <w:rPr>
                <w:rFonts w:hint="default"/>
                <w:b w:val="0"/>
                <w:bCs w:val="0"/>
              </w:rPr>
            </w:pPr>
            <w:r>
              <w:rPr>
                <w:rFonts w:hint="default"/>
                <w:b w:val="0"/>
                <w:bCs w:val="0"/>
              </w:rPr>
              <mc:AlternateContent>
                <mc:Choice Requires="wps">
                  <w:drawing>
                    <wp:anchor distT="0" distB="0" distL="114300" distR="114300" simplePos="0" relativeHeight="251663360" behindDoc="0" locked="0" layoutInCell="0" allowOverlap="1">
                      <wp:simplePos x="0" y="0"/>
                      <wp:positionH relativeFrom="column">
                        <wp:posOffset>2222500</wp:posOffset>
                      </wp:positionH>
                      <wp:positionV relativeFrom="paragraph">
                        <wp:posOffset>-1270</wp:posOffset>
                      </wp:positionV>
                      <wp:extent cx="635" cy="0"/>
                      <wp:effectExtent l="0" t="4445" r="0" b="5080"/>
                      <wp:wrapNone/>
                      <wp:docPr id="45" name="直接连接符 45"/>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75pt;margin-top:-0.1pt;height:0pt;width:0.05pt;z-index:251663360;mso-width-relative:page;mso-height-relative:page;" filled="f" stroked="t" coordsize="21600,21600" o:allowincell="f" o:gfxdata="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HqyOs0wAAAAcBAAAPAAAAAAAAAAEAIAAAACIAAABkcnMvZG93bnJldi54bWxQSwECFAAU&#10;AAAACACHTuJAgDI/7/YBAADwAwAADgAAAAAAAAABACAAAAAiAQAAZHJzL2Uyb0RvYy54bWxQSwUG&#10;AAAAAAYABgBZAQAAigUAAAAA&#10;">
                      <v:fill on="f" focussize="0,0"/>
                      <v:stroke color="#000000" joinstyle="round"/>
                      <v:imagedata o:title=""/>
                      <o:lock v:ext="edit" aspectratio="f"/>
                    </v:line>
                  </w:pict>
                </mc:Fallback>
              </mc:AlternateContent>
            </w:r>
            <w:r>
              <w:rPr>
                <w:rFonts w:hint="default"/>
                <w:b w:val="0"/>
                <w:bCs w:val="0"/>
              </w:rPr>
              <w:t>编制日期</w:t>
            </w:r>
          </w:p>
        </w:tc>
        <w:tc>
          <w:tcPr>
            <w:tcW w:w="6575" w:type="dxa"/>
            <w:tcBorders>
              <w:top w:val="single" w:color="auto" w:sz="4" w:space="0"/>
              <w:left w:val="nil"/>
              <w:bottom w:val="single" w:color="auto" w:sz="4" w:space="0"/>
              <w:right w:val="nil"/>
            </w:tcBorders>
            <w:vAlign w:val="bottom"/>
          </w:tcPr>
          <w:p w14:paraId="415D3AD8">
            <w:pPr>
              <w:pStyle w:val="44"/>
              <w:keepNext w:val="0"/>
              <w:keepLines w:val="0"/>
              <w:suppressLineNumbers w:val="0"/>
              <w:bidi w:val="0"/>
              <w:spacing w:before="0" w:beforeAutospacing="0" w:after="0" w:afterAutospacing="0"/>
              <w:ind w:left="0" w:right="0"/>
              <w:rPr>
                <w:rFonts w:hint="default"/>
                <w:b w:val="0"/>
                <w:bCs w:val="0"/>
              </w:rPr>
            </w:pPr>
            <w:r>
              <w:rPr>
                <w:rFonts w:hint="default"/>
                <w:b w:val="0"/>
                <w:bCs w:val="0"/>
              </w:rPr>
              <w:t>202</w:t>
            </w:r>
            <w:r>
              <w:rPr>
                <w:rFonts w:hint="eastAsia"/>
                <w:b w:val="0"/>
                <w:bCs w:val="0"/>
                <w:lang w:val="en-US" w:eastAsia="zh-CN"/>
              </w:rPr>
              <w:t>6</w:t>
            </w:r>
            <w:r>
              <w:rPr>
                <w:rFonts w:hint="default"/>
                <w:b w:val="0"/>
                <w:bCs w:val="0"/>
              </w:rPr>
              <w:t>年</w:t>
            </w:r>
            <w:r>
              <w:rPr>
                <w:rFonts w:hint="eastAsia"/>
                <w:b w:val="0"/>
                <w:bCs w:val="0"/>
                <w:lang w:val="en-US" w:eastAsia="zh-CN"/>
              </w:rPr>
              <w:t>3</w:t>
            </w:r>
            <w:r>
              <w:rPr>
                <w:rFonts w:hint="default"/>
                <w:b w:val="0"/>
                <w:bCs w:val="0"/>
              </w:rPr>
              <w:t>月</w:t>
            </w:r>
          </w:p>
        </w:tc>
      </w:tr>
    </w:tbl>
    <w:p w14:paraId="7680E128">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eastAsia="仿宋_GB2312"/>
          <w:color w:val="auto"/>
          <w:sz w:val="36"/>
          <w:szCs w:val="36"/>
          <w:u w:val="single"/>
        </w:rPr>
      </w:pPr>
      <w:bookmarkStart w:id="4" w:name="_Hlk57884087"/>
    </w:p>
    <w:p w14:paraId="57A3D27E">
      <w:pPr>
        <w:adjustRightInd w:val="0"/>
        <w:snapToGrid w:val="0"/>
        <w:spacing w:line="288" w:lineRule="auto"/>
        <w:rPr>
          <w:rFonts w:eastAsia="仿宋_GB2312"/>
          <w:color w:val="auto"/>
          <w:sz w:val="36"/>
          <w:szCs w:val="36"/>
        </w:rPr>
      </w:pPr>
    </w:p>
    <w:p w14:paraId="58CFACED">
      <w:pPr>
        <w:adjustRightInd w:val="0"/>
        <w:snapToGrid w:val="0"/>
        <w:spacing w:line="288" w:lineRule="auto"/>
        <w:rPr>
          <w:rFonts w:eastAsia="仿宋_GB2312"/>
          <w:color w:val="auto"/>
          <w:sz w:val="36"/>
          <w:szCs w:val="36"/>
        </w:rPr>
      </w:pPr>
    </w:p>
    <w:bookmarkEnd w:id="4"/>
    <w:p w14:paraId="28332A75">
      <w:pPr>
        <w:adjustRightInd w:val="0"/>
        <w:snapToGrid w:val="0"/>
        <w:spacing w:line="288" w:lineRule="auto"/>
        <w:ind w:firstLine="0" w:firstLineChars="0"/>
        <w:jc w:val="center"/>
        <w:rPr>
          <w:rFonts w:ascii="Times New Roman" w:hAnsi="Times New Roman" w:eastAsia="楷体_GB2312" w:cs="Times New Roman"/>
          <w:b w:val="0"/>
          <w:bCs w:val="0"/>
          <w:iCs w:val="0"/>
          <w:sz w:val="36"/>
          <w:szCs w:val="36"/>
        </w:rPr>
      </w:pPr>
      <w:r>
        <w:rPr>
          <w:rFonts w:ascii="Times New Roman" w:hAnsi="Times New Roman" w:eastAsia="楷体_GB2312" w:cs="Times New Roman"/>
          <w:b w:val="0"/>
          <w:bCs w:val="0"/>
          <w:iCs w:val="0"/>
          <w:sz w:val="36"/>
          <w:szCs w:val="36"/>
        </w:rPr>
        <w:t>中华人民共和国生态环境部制</w:t>
      </w:r>
    </w:p>
    <w:p w14:paraId="520DAEAD">
      <w:pPr>
        <w:rPr>
          <w:rFonts w:ascii="Times New Roman" w:hAnsi="Times New Roman" w:eastAsia="楷体_GB2312" w:cs="Times New Roman"/>
          <w:b w:val="0"/>
          <w:bCs w:val="0"/>
          <w:iCs w:val="0"/>
          <w:sz w:val="36"/>
          <w:szCs w:val="36"/>
        </w:rPr>
      </w:pPr>
      <w:r>
        <w:rPr>
          <w:rFonts w:ascii="Times New Roman" w:hAnsi="Times New Roman" w:eastAsia="楷体_GB2312" w:cs="Times New Roman"/>
          <w:b w:val="0"/>
          <w:bCs w:val="0"/>
          <w:iCs w:val="0"/>
          <w:sz w:val="36"/>
          <w:szCs w:val="36"/>
        </w:rPr>
        <w:br w:type="page"/>
      </w:r>
    </w:p>
    <w:p w14:paraId="056B4E79">
      <w:pPr>
        <w:adjustRightInd w:val="0"/>
        <w:snapToGrid w:val="0"/>
        <w:spacing w:line="288" w:lineRule="auto"/>
        <w:ind w:firstLine="0" w:firstLineChars="0"/>
        <w:jc w:val="center"/>
        <w:rPr>
          <w:rFonts w:hint="eastAsia" w:ascii="Times New Roman" w:hAnsi="Times New Roman" w:eastAsia="楷体_GB2312" w:cs="Times New Roman"/>
          <w:b w:val="0"/>
          <w:bCs w:val="0"/>
          <w:iCs w:val="0"/>
          <w:sz w:val="36"/>
          <w:szCs w:val="36"/>
          <w:lang w:eastAsia="zh-CN"/>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r>
        <w:rPr>
          <w:sz w:val="32"/>
        </w:rPr>
        <mc:AlternateContent>
          <mc:Choice Requires="wps">
            <w:drawing>
              <wp:anchor distT="0" distB="0" distL="114300" distR="114300" simplePos="0" relativeHeight="251683840" behindDoc="0" locked="0" layoutInCell="1" allowOverlap="1">
                <wp:simplePos x="0" y="0"/>
                <wp:positionH relativeFrom="column">
                  <wp:posOffset>1007110</wp:posOffset>
                </wp:positionH>
                <wp:positionV relativeFrom="paragraph">
                  <wp:posOffset>4235450</wp:posOffset>
                </wp:positionV>
                <wp:extent cx="553085" cy="275590"/>
                <wp:effectExtent l="5080" t="4445" r="13335" b="5715"/>
                <wp:wrapNone/>
                <wp:docPr id="118" name="文本框 118"/>
                <wp:cNvGraphicFramePr/>
                <a:graphic xmlns:a="http://schemas.openxmlformats.org/drawingml/2006/main">
                  <a:graphicData uri="http://schemas.microsoft.com/office/word/2010/wordprocessingShape">
                    <wps:wsp>
                      <wps:cNvSpPr txBox="1"/>
                      <wps:spPr>
                        <a:xfrm>
                          <a:off x="0" y="0"/>
                          <a:ext cx="553085" cy="2755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8B7477"/>
                        </w:txbxContent>
                      </wps:txbx>
                      <wps:bodyPr upright="1"/>
                    </wps:wsp>
                  </a:graphicData>
                </a:graphic>
              </wp:anchor>
            </w:drawing>
          </mc:Choice>
          <mc:Fallback>
            <w:pict>
              <v:shape id="_x0000_s1026" o:spid="_x0000_s1026" o:spt="202" type="#_x0000_t202" style="position:absolute;left:0pt;margin-left:79.3pt;margin-top:333.5pt;height:21.7pt;width:43.55pt;z-index:251683840;mso-width-relative:page;mso-height-relative:page;" fillcolor="#FFFFFF" filled="t" stroked="t" coordsize="21600,21600" o:gfxdata="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cxJPZAAAACwEAAA8AAAAAAAAAAQAg&#10;AAAAIgAAAGRycy9kb3ducmV2LnhtbFBLAQIUABQAAAAIAIdO4kDa/GIODQIAADkEAAAOAAAAAAAA&#10;AAEAIAAAACgBAABkcnMvZTJvRG9jLnhtbFBLBQYAAAAABgAGAFkBAACnBQAAAAA=&#10;">
                <v:fill on="t" focussize="0,0"/>
                <v:stroke color="#000000" joinstyle="miter"/>
                <v:imagedata o:title=""/>
                <o:lock v:ext="edit" aspectratio="f"/>
                <v:textbox>
                  <w:txbxContent>
                    <w:p w14:paraId="228B7477"/>
                  </w:txbxContent>
                </v:textbox>
              </v:shape>
            </w:pict>
          </mc:Fallback>
        </mc:AlternateContent>
      </w:r>
      <w:r>
        <w:rPr>
          <w:sz w:val="32"/>
        </w:rPr>
        <mc:AlternateContent>
          <mc:Choice Requires="wps">
            <w:drawing>
              <wp:anchor distT="0" distB="0" distL="114300" distR="114300" simplePos="0" relativeHeight="251682816" behindDoc="0" locked="0" layoutInCell="1" allowOverlap="1">
                <wp:simplePos x="0" y="0"/>
                <wp:positionH relativeFrom="column">
                  <wp:posOffset>1764665</wp:posOffset>
                </wp:positionH>
                <wp:positionV relativeFrom="paragraph">
                  <wp:posOffset>3945890</wp:posOffset>
                </wp:positionV>
                <wp:extent cx="469265" cy="275590"/>
                <wp:effectExtent l="5080" t="4445" r="20955" b="5715"/>
                <wp:wrapNone/>
                <wp:docPr id="117" name="文本框 117"/>
                <wp:cNvGraphicFramePr/>
                <a:graphic xmlns:a="http://schemas.openxmlformats.org/drawingml/2006/main">
                  <a:graphicData uri="http://schemas.microsoft.com/office/word/2010/wordprocessingShape">
                    <wps:wsp>
                      <wps:cNvSpPr txBox="1"/>
                      <wps:spPr>
                        <a:xfrm>
                          <a:off x="0" y="0"/>
                          <a:ext cx="469265" cy="2755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FEFEA0"/>
                        </w:txbxContent>
                      </wps:txbx>
                      <wps:bodyPr upright="1"/>
                    </wps:wsp>
                  </a:graphicData>
                </a:graphic>
              </wp:anchor>
            </w:drawing>
          </mc:Choice>
          <mc:Fallback>
            <w:pict>
              <v:shape id="_x0000_s1026" o:spid="_x0000_s1026" o:spt="202" type="#_x0000_t202" style="position:absolute;left:0pt;margin-left:138.95pt;margin-top:310.7pt;height:21.7pt;width:36.95pt;z-index:251682816;mso-width-relative:page;mso-height-relative:page;" fillcolor="#FFFFFF" filled="t" stroked="t" coordsize="21600,21600" o:gfxdata="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BLb3toAAAALAQAADwAAAAAAAAAB&#10;ACAAAAAiAAAAZHJzL2Rvd25yZXYueG1sUEsBAhQAFAAAAAgAh07iQBa2LDYOAgAAOQQAAA4AAAAA&#10;AAAAAQAgAAAAKQEAAGRycy9lMm9Eb2MueG1sUEsFBgAAAAAGAAYAWQEAAKkFAAAAAA==&#10;">
                <v:fill on="t" focussize="0,0"/>
                <v:stroke color="#000000" joinstyle="miter"/>
                <v:imagedata o:title=""/>
                <o:lock v:ext="edit" aspectratio="f"/>
                <v:textbox>
                  <w:txbxContent>
                    <w:p w14:paraId="5AFEFEA0"/>
                  </w:txbxContent>
                </v:textbox>
              </v:shape>
            </w:pict>
          </mc:Fallback>
        </mc:AlternateContent>
      </w:r>
      <w:r>
        <w:rPr>
          <w:sz w:val="32"/>
        </w:rPr>
        <mc:AlternateContent>
          <mc:Choice Requires="wps">
            <w:drawing>
              <wp:anchor distT="0" distB="0" distL="114300" distR="114300" simplePos="0" relativeHeight="251681792" behindDoc="0" locked="0" layoutInCell="1" allowOverlap="1">
                <wp:simplePos x="0" y="0"/>
                <wp:positionH relativeFrom="column">
                  <wp:posOffset>2945765</wp:posOffset>
                </wp:positionH>
                <wp:positionV relativeFrom="paragraph">
                  <wp:posOffset>3942080</wp:posOffset>
                </wp:positionV>
                <wp:extent cx="711835" cy="275590"/>
                <wp:effectExtent l="5080" t="4445" r="6985" b="5715"/>
                <wp:wrapNone/>
                <wp:docPr id="115" name="文本框 115"/>
                <wp:cNvGraphicFramePr/>
                <a:graphic xmlns:a="http://schemas.openxmlformats.org/drawingml/2006/main">
                  <a:graphicData uri="http://schemas.microsoft.com/office/word/2010/wordprocessingShape">
                    <wps:wsp>
                      <wps:cNvSpPr txBox="1"/>
                      <wps:spPr>
                        <a:xfrm>
                          <a:off x="0" y="0"/>
                          <a:ext cx="711835" cy="2755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C9378A"/>
                        </w:txbxContent>
                      </wps:txbx>
                      <wps:bodyPr upright="1"/>
                    </wps:wsp>
                  </a:graphicData>
                </a:graphic>
              </wp:anchor>
            </w:drawing>
          </mc:Choice>
          <mc:Fallback>
            <w:pict>
              <v:shape id="_x0000_s1026" o:spid="_x0000_s1026" o:spt="202" type="#_x0000_t202" style="position:absolute;left:0pt;margin-left:231.95pt;margin-top:310.4pt;height:21.7pt;width:56.05pt;z-index:251681792;mso-width-relative:page;mso-height-relative:page;" fillcolor="#FFFFFF" filled="t" stroked="t" coordsize="21600,21600" o:gfxdata="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lc/3r2QAAAAsBAAAPAAAAAAAAAAEA&#10;IAAAACIAAABkcnMvZG93bnJldi54bWxQSwECFAAUAAAACACHTuJAFtBx6Q4CAAA5BAAADgAAAAAA&#10;AAABACAAAAAoAQAAZHJzL2Uyb0RvYy54bWxQSwUGAAAAAAYABgBZAQAAqAUAAAAA&#10;">
                <v:fill on="t" focussize="0,0"/>
                <v:stroke color="#000000" joinstyle="miter"/>
                <v:imagedata o:title=""/>
                <o:lock v:ext="edit" aspectratio="f"/>
                <v:textbox>
                  <w:txbxContent>
                    <w:p w14:paraId="7DC9378A"/>
                  </w:txbxContent>
                </v:textbox>
              </v:shape>
            </w:pict>
          </mc:Fallback>
        </mc:AlternateContent>
      </w:r>
      <w:r>
        <w:rPr>
          <w:sz w:val="32"/>
        </w:rPr>
        <mc:AlternateContent>
          <mc:Choice Requires="wps">
            <w:drawing>
              <wp:anchor distT="0" distB="0" distL="114300" distR="114300" simplePos="0" relativeHeight="251680768" behindDoc="0" locked="0" layoutInCell="1" allowOverlap="1">
                <wp:simplePos x="0" y="0"/>
                <wp:positionH relativeFrom="column">
                  <wp:posOffset>1216660</wp:posOffset>
                </wp:positionH>
                <wp:positionV relativeFrom="paragraph">
                  <wp:posOffset>3482340</wp:posOffset>
                </wp:positionV>
                <wp:extent cx="711835" cy="275590"/>
                <wp:effectExtent l="5080" t="4445" r="6985" b="5715"/>
                <wp:wrapNone/>
                <wp:docPr id="114" name="文本框 114"/>
                <wp:cNvGraphicFramePr/>
                <a:graphic xmlns:a="http://schemas.openxmlformats.org/drawingml/2006/main">
                  <a:graphicData uri="http://schemas.microsoft.com/office/word/2010/wordprocessingShape">
                    <wps:wsp>
                      <wps:cNvSpPr txBox="1"/>
                      <wps:spPr>
                        <a:xfrm>
                          <a:off x="0" y="0"/>
                          <a:ext cx="711835" cy="2755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DBD961"/>
                        </w:txbxContent>
                      </wps:txbx>
                      <wps:bodyPr upright="1"/>
                    </wps:wsp>
                  </a:graphicData>
                </a:graphic>
              </wp:anchor>
            </w:drawing>
          </mc:Choice>
          <mc:Fallback>
            <w:pict>
              <v:shape id="_x0000_s1026" o:spid="_x0000_s1026" o:spt="202" type="#_x0000_t202" style="position:absolute;left:0pt;margin-left:95.8pt;margin-top:274.2pt;height:21.7pt;width:56.05pt;z-index:251680768;mso-width-relative:page;mso-height-relative:page;" fillcolor="#FFFFFF" filled="t" stroked="t" coordsize="21600,21600" o:gfxdata="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x+mNf2gAAAAsBAAAPAAAAAAAAAAEA&#10;IAAAACIAAABkcnMvZG93bnJldi54bWxQSwECFAAUAAAACACHTuJAljvvIQ0CAAA5BAAADgAAAAAA&#10;AAABACAAAAApAQAAZHJzL2Uyb0RvYy54bWxQSwUGAAAAAAYABgBZAQAAqAUAAAAA&#10;">
                <v:fill on="t" focussize="0,0"/>
                <v:stroke color="#000000" joinstyle="miter"/>
                <v:imagedata o:title=""/>
                <o:lock v:ext="edit" aspectratio="f"/>
                <v:textbox>
                  <w:txbxContent>
                    <w:p w14:paraId="30DBD961"/>
                  </w:txbxContent>
                </v:textbox>
              </v:shape>
            </w:pict>
          </mc:Fallback>
        </mc:AlternateContent>
      </w:r>
      <w:r>
        <w:rPr>
          <w:sz w:val="32"/>
        </w:rPr>
        <mc:AlternateContent>
          <mc:Choice Requires="wps">
            <w:drawing>
              <wp:anchor distT="0" distB="0" distL="114300" distR="114300" simplePos="0" relativeHeight="251679744" behindDoc="0" locked="0" layoutInCell="1" allowOverlap="1">
                <wp:simplePos x="0" y="0"/>
                <wp:positionH relativeFrom="column">
                  <wp:posOffset>937260</wp:posOffset>
                </wp:positionH>
                <wp:positionV relativeFrom="paragraph">
                  <wp:posOffset>3679190</wp:posOffset>
                </wp:positionV>
                <wp:extent cx="3261360" cy="275590"/>
                <wp:effectExtent l="5080" t="4445" r="10160" b="5715"/>
                <wp:wrapNone/>
                <wp:docPr id="113" name="文本框 113"/>
                <wp:cNvGraphicFramePr/>
                <a:graphic xmlns:a="http://schemas.openxmlformats.org/drawingml/2006/main">
                  <a:graphicData uri="http://schemas.microsoft.com/office/word/2010/wordprocessingShape">
                    <wps:wsp>
                      <wps:cNvSpPr txBox="1"/>
                      <wps:spPr>
                        <a:xfrm>
                          <a:off x="0" y="0"/>
                          <a:ext cx="3261360" cy="2755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B0A78B"/>
                        </w:txbxContent>
                      </wps:txbx>
                      <wps:bodyPr upright="1"/>
                    </wps:wsp>
                  </a:graphicData>
                </a:graphic>
              </wp:anchor>
            </w:drawing>
          </mc:Choice>
          <mc:Fallback>
            <w:pict>
              <v:shape id="_x0000_s1026" o:spid="_x0000_s1026" o:spt="202" type="#_x0000_t202" style="position:absolute;left:0pt;margin-left:73.8pt;margin-top:289.7pt;height:21.7pt;width:256.8pt;z-index:251679744;mso-width-relative:page;mso-height-relative:page;" fillcolor="#FFFFFF" filled="t" stroked="t" coordsize="21600,21600" o:gfxdata="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HI9eXaAAAACwEAAA8AAAAAAAAA&#10;AQAgAAAAIgAAAGRycy9kb3ducmV2LnhtbFBLAQIUABQAAAAIAIdO4kDkfXn5DwIAADoEAAAOAAAA&#10;AAAAAAEAIAAAACkBAABkcnMvZTJvRG9jLnhtbFBLBQYAAAAABgAGAFkBAACqBQAAAAA=&#10;">
                <v:fill on="t" focussize="0,0"/>
                <v:stroke color="#000000" joinstyle="miter"/>
                <v:imagedata o:title=""/>
                <o:lock v:ext="edit" aspectratio="f"/>
                <v:textbox>
                  <w:txbxContent>
                    <w:p w14:paraId="42B0A78B"/>
                  </w:txbxContent>
                </v:textbox>
              </v:shape>
            </w:pict>
          </mc:Fallback>
        </mc:AlternateContent>
      </w:r>
      <w:r>
        <w:rPr>
          <w:sz w:val="32"/>
        </w:rPr>
        <mc:AlternateContent>
          <mc:Choice Requires="wps">
            <w:drawing>
              <wp:anchor distT="0" distB="0" distL="114300" distR="114300" simplePos="0" relativeHeight="251678720" behindDoc="0" locked="0" layoutInCell="1" allowOverlap="1">
                <wp:simplePos x="0" y="0"/>
                <wp:positionH relativeFrom="column">
                  <wp:posOffset>831215</wp:posOffset>
                </wp:positionH>
                <wp:positionV relativeFrom="paragraph">
                  <wp:posOffset>1635760</wp:posOffset>
                </wp:positionV>
                <wp:extent cx="1452245" cy="285750"/>
                <wp:effectExtent l="4445" t="4445" r="10160" b="14605"/>
                <wp:wrapNone/>
                <wp:docPr id="151" name="文本框 151"/>
                <wp:cNvGraphicFramePr/>
                <a:graphic xmlns:a="http://schemas.openxmlformats.org/drawingml/2006/main">
                  <a:graphicData uri="http://schemas.microsoft.com/office/word/2010/wordprocessingShape">
                    <wps:wsp>
                      <wps:cNvSpPr txBox="1"/>
                      <wps:spPr>
                        <a:xfrm>
                          <a:off x="0" y="0"/>
                          <a:ext cx="145224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865478"/>
                        </w:txbxContent>
                      </wps:txbx>
                      <wps:bodyPr upright="1"/>
                    </wps:wsp>
                  </a:graphicData>
                </a:graphic>
              </wp:anchor>
            </w:drawing>
          </mc:Choice>
          <mc:Fallback>
            <w:pict>
              <v:shape id="_x0000_s1026" o:spid="_x0000_s1026" o:spt="202" type="#_x0000_t202" style="position:absolute;left:0pt;margin-left:65.45pt;margin-top:128.8pt;height:22.5pt;width:114.35pt;z-index:251678720;mso-width-relative:page;mso-height-relative:page;" fillcolor="#FFFFFF" filled="t" stroked="t" coordsize="21600,21600" o:gfxdata="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lsA/ZAAAACwEAAA8AAAAAAAAAAQAg&#10;AAAAIgAAAGRycy9kb3ducmV2LnhtbFBLAQIUABQAAAAIAIdO4kAQuhORDQIAADoEAAAOAAAAAAAA&#10;AAEAIAAAACgBAABkcnMvZTJvRG9jLnhtbFBLBQYAAAAABgAGAFkBAACnBQAAAAA=&#10;">
                <v:fill on="t" focussize="0,0"/>
                <v:stroke color="#000000" joinstyle="miter"/>
                <v:imagedata o:title=""/>
                <o:lock v:ext="edit" aspectratio="f"/>
                <v:textbox>
                  <w:txbxContent>
                    <w:p w14:paraId="0C865478"/>
                  </w:txbxContent>
                </v:textbox>
              </v:shape>
            </w:pict>
          </mc:Fallback>
        </mc:AlternateContent>
      </w:r>
      <w:r>
        <w:rPr>
          <w:sz w:val="32"/>
        </w:rPr>
        <mc:AlternateContent>
          <mc:Choice Requires="wps">
            <w:drawing>
              <wp:anchor distT="0" distB="0" distL="114300" distR="114300" simplePos="0" relativeHeight="251686912" behindDoc="0" locked="0" layoutInCell="1" allowOverlap="1">
                <wp:simplePos x="0" y="0"/>
                <wp:positionH relativeFrom="column">
                  <wp:posOffset>582930</wp:posOffset>
                </wp:positionH>
                <wp:positionV relativeFrom="paragraph">
                  <wp:posOffset>5066665</wp:posOffset>
                </wp:positionV>
                <wp:extent cx="820420" cy="1683385"/>
                <wp:effectExtent l="4445" t="4445" r="13335" b="7620"/>
                <wp:wrapNone/>
                <wp:docPr id="139" name="文本框 139"/>
                <wp:cNvGraphicFramePr/>
                <a:graphic xmlns:a="http://schemas.openxmlformats.org/drawingml/2006/main">
                  <a:graphicData uri="http://schemas.microsoft.com/office/word/2010/wordprocessingShape">
                    <wps:wsp>
                      <wps:cNvSpPr txBox="1"/>
                      <wps:spPr>
                        <a:xfrm>
                          <a:off x="0" y="0"/>
                          <a:ext cx="820420" cy="16833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DB61E1"/>
                        </w:txbxContent>
                      </wps:txbx>
                      <wps:bodyPr upright="1"/>
                    </wps:wsp>
                  </a:graphicData>
                </a:graphic>
              </wp:anchor>
            </w:drawing>
          </mc:Choice>
          <mc:Fallback>
            <w:pict>
              <v:shape id="_x0000_s1026" o:spid="_x0000_s1026" o:spt="202" type="#_x0000_t202" style="position:absolute;left:0pt;margin-left:45.9pt;margin-top:398.95pt;height:132.55pt;width:64.6pt;z-index:251686912;mso-width-relative:page;mso-height-relative:page;" fillcolor="#FFFFFF" filled="t" stroked="t" coordsize="21600,21600" o:gfxdata="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dpBC9kAAAALAQAADwAAAAAAAAABACAA&#10;AAAiAAAAZHJzL2Rvd25yZXYueG1sUEsBAhQAFAAAAAgAh07iQMjL3g8MAgAAOgQAAA4AAAAAAAAA&#10;AQAgAAAAKAEAAGRycy9lMm9Eb2MueG1sUEsFBgAAAAAGAAYAWQEAAKYFAAAAAA==&#10;">
                <v:fill on="t" focussize="0,0"/>
                <v:stroke color="#000000" joinstyle="miter"/>
                <v:imagedata o:title=""/>
                <o:lock v:ext="edit" aspectratio="f"/>
                <v:textbox>
                  <w:txbxContent>
                    <w:p w14:paraId="33DB61E1"/>
                  </w:txbxContent>
                </v:textbox>
              </v:shape>
            </w:pict>
          </mc:Fallback>
        </mc:AlternateContent>
      </w:r>
      <w:r>
        <w:rPr>
          <w:sz w:val="32"/>
        </w:rPr>
        <mc:AlternateContent>
          <mc:Choice Requires="wps">
            <w:drawing>
              <wp:anchor distT="0" distB="0" distL="114300" distR="114300" simplePos="0" relativeHeight="251685888" behindDoc="0" locked="0" layoutInCell="1" allowOverlap="1">
                <wp:simplePos x="0" y="0"/>
                <wp:positionH relativeFrom="column">
                  <wp:posOffset>3150235</wp:posOffset>
                </wp:positionH>
                <wp:positionV relativeFrom="paragraph">
                  <wp:posOffset>5157470</wp:posOffset>
                </wp:positionV>
                <wp:extent cx="1645285" cy="1683385"/>
                <wp:effectExtent l="4445" t="4445" r="7620" b="7620"/>
                <wp:wrapNone/>
                <wp:docPr id="138" name="文本框 138"/>
                <wp:cNvGraphicFramePr/>
                <a:graphic xmlns:a="http://schemas.openxmlformats.org/drawingml/2006/main">
                  <a:graphicData uri="http://schemas.microsoft.com/office/word/2010/wordprocessingShape">
                    <wps:wsp>
                      <wps:cNvSpPr txBox="1"/>
                      <wps:spPr>
                        <a:xfrm>
                          <a:off x="0" y="0"/>
                          <a:ext cx="1645285" cy="16833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EA1F45"/>
                        </w:txbxContent>
                      </wps:txbx>
                      <wps:bodyPr upright="1"/>
                    </wps:wsp>
                  </a:graphicData>
                </a:graphic>
              </wp:anchor>
            </w:drawing>
          </mc:Choice>
          <mc:Fallback>
            <w:pict>
              <v:shape id="_x0000_s1026" o:spid="_x0000_s1026" o:spt="202" type="#_x0000_t202" style="position:absolute;left:0pt;margin-left:248.05pt;margin-top:406.1pt;height:132.55pt;width:129.55pt;z-index:251685888;mso-width-relative:page;mso-height-relative:page;" fillcolor="#FFFFFF" filled="t" stroked="t" coordsize="21600,21600" o:gfxdata="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l3en7bAAAADAEAAA8AAAAAAAAAAQAg&#10;AAAAIgAAAGRycy9kb3ducmV2LnhtbFBLAQIUABQAAAAIAIdO4kDOup0wCwIAADsEAAAOAAAAAAAA&#10;AAEAIAAAACoBAABkcnMvZTJvRG9jLnhtbFBLBQYAAAAABgAGAFkBAACnBQAAAAA=&#10;">
                <v:fill on="t" focussize="0,0"/>
                <v:stroke color="#000000" joinstyle="miter"/>
                <v:imagedata o:title=""/>
                <o:lock v:ext="edit" aspectratio="f"/>
                <v:textbox>
                  <w:txbxContent>
                    <w:p w14:paraId="37EA1F45"/>
                  </w:txbxContent>
                </v:textbox>
              </v:shape>
            </w:pict>
          </mc:Fallback>
        </mc:AlternateContent>
      </w:r>
      <w:r>
        <w:rPr>
          <w:sz w:val="32"/>
        </w:rPr>
        <mc:AlternateContent>
          <mc:Choice Requires="wps">
            <w:drawing>
              <wp:anchor distT="0" distB="0" distL="114300" distR="114300" simplePos="0" relativeHeight="251684864" behindDoc="0" locked="0" layoutInCell="1" allowOverlap="1">
                <wp:simplePos x="0" y="0"/>
                <wp:positionH relativeFrom="column">
                  <wp:posOffset>2161540</wp:posOffset>
                </wp:positionH>
                <wp:positionV relativeFrom="paragraph">
                  <wp:posOffset>2581275</wp:posOffset>
                </wp:positionV>
                <wp:extent cx="1518285" cy="1228725"/>
                <wp:effectExtent l="4445" t="4445" r="20320" b="5080"/>
                <wp:wrapNone/>
                <wp:docPr id="131" name="文本框 131"/>
                <wp:cNvGraphicFramePr/>
                <a:graphic xmlns:a="http://schemas.openxmlformats.org/drawingml/2006/main">
                  <a:graphicData uri="http://schemas.microsoft.com/office/word/2010/wordprocessingShape">
                    <wps:wsp>
                      <wps:cNvSpPr txBox="1"/>
                      <wps:spPr>
                        <a:xfrm>
                          <a:off x="0" y="0"/>
                          <a:ext cx="1518285" cy="1228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B0BBAB"/>
                        </w:txbxContent>
                      </wps:txbx>
                      <wps:bodyPr upright="1"/>
                    </wps:wsp>
                  </a:graphicData>
                </a:graphic>
              </wp:anchor>
            </w:drawing>
          </mc:Choice>
          <mc:Fallback>
            <w:pict>
              <v:shape id="_x0000_s1026" o:spid="_x0000_s1026" o:spt="202" type="#_x0000_t202" style="position:absolute;left:0pt;margin-left:170.2pt;margin-top:203.25pt;height:96.75pt;width:119.55pt;z-index:251684864;mso-width-relative:page;mso-height-relative:page;" fillcolor="#FFFFFF" filled="t" stroked="t" coordsize="21600,21600" o:gfxdata="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ihzATaAAAACwEAAA8AAAAAAAAAAQAg&#10;AAAAIgAAAGRycy9kb3ducmV2LnhtbFBLAQIUABQAAAAIAIdO4kBA17txDAIAADsEAAAOAAAAAAAA&#10;AAEAIAAAACkBAABkcnMvZTJvRG9jLnhtbFBLBQYAAAAABgAGAFkBAACnBQAAAAA=&#10;">
                <v:fill on="t" focussize="0,0"/>
                <v:stroke color="#000000" joinstyle="miter"/>
                <v:imagedata o:title=""/>
                <o:lock v:ext="edit" aspectratio="f"/>
                <v:textbox>
                  <w:txbxContent>
                    <w:p w14:paraId="35B0BBAB"/>
                  </w:txbxContent>
                </v:textbox>
              </v:shape>
            </w:pict>
          </mc:Fallback>
        </mc:AlternateContent>
      </w:r>
      <w:r>
        <w:rPr>
          <w:sz w:val="32"/>
        </w:rPr>
        <mc:AlternateContent>
          <mc:Choice Requires="wps">
            <w:drawing>
              <wp:anchor distT="0" distB="0" distL="114300" distR="114300" simplePos="0" relativeHeight="251689984" behindDoc="0" locked="0" layoutInCell="1" allowOverlap="1">
                <wp:simplePos x="0" y="0"/>
                <wp:positionH relativeFrom="column">
                  <wp:posOffset>1233170</wp:posOffset>
                </wp:positionH>
                <wp:positionV relativeFrom="paragraph">
                  <wp:posOffset>3164840</wp:posOffset>
                </wp:positionV>
                <wp:extent cx="1635760" cy="508635"/>
                <wp:effectExtent l="4445" t="4445" r="17145" b="20320"/>
                <wp:wrapNone/>
                <wp:docPr id="142" name="文本框 142"/>
                <wp:cNvGraphicFramePr/>
                <a:graphic xmlns:a="http://schemas.openxmlformats.org/drawingml/2006/main">
                  <a:graphicData uri="http://schemas.microsoft.com/office/word/2010/wordprocessingShape">
                    <wps:wsp>
                      <wps:cNvSpPr txBox="1"/>
                      <wps:spPr>
                        <a:xfrm>
                          <a:off x="0" y="0"/>
                          <a:ext cx="1635760" cy="5086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A772B6"/>
                        </w:txbxContent>
                      </wps:txbx>
                      <wps:bodyPr upright="1"/>
                    </wps:wsp>
                  </a:graphicData>
                </a:graphic>
              </wp:anchor>
            </w:drawing>
          </mc:Choice>
          <mc:Fallback>
            <w:pict>
              <v:shape id="_x0000_s1026" o:spid="_x0000_s1026" o:spt="202" type="#_x0000_t202" style="position:absolute;left:0pt;margin-left:97.1pt;margin-top:249.2pt;height:40.05pt;width:128.8pt;z-index:251689984;mso-width-relative:page;mso-height-relative:page;" fillcolor="#FFFFFF" filled="t" stroked="t" coordsize="21600,21600" o:gfxdata="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beT5D2gAAAAsBAAAPAAAAAAAAAAEAIAAA&#10;ACIAAABkcnMvZG93bnJldi54bWxQSwECFAAUAAAACACHTuJARCyaXQoCAAA6BAAADgAAAAAAAAAB&#10;ACAAAAApAQAAZHJzL2Uyb0RvYy54bWxQSwUGAAAAAAYABgBZAQAApQUAAAAA&#10;">
                <v:fill on="t" focussize="0,0"/>
                <v:stroke color="#000000" joinstyle="miter"/>
                <v:imagedata o:title=""/>
                <o:lock v:ext="edit" aspectratio="f"/>
                <v:textbox>
                  <w:txbxContent>
                    <w:p w14:paraId="43A772B6"/>
                  </w:txbxContent>
                </v:textbox>
              </v:shape>
            </w:pict>
          </mc:Fallback>
        </mc:AlternateContent>
      </w:r>
      <w:r>
        <w:rPr>
          <w:sz w:val="32"/>
        </w:rPr>
        <mc:AlternateContent>
          <mc:Choice Requires="wps">
            <w:drawing>
              <wp:anchor distT="0" distB="0" distL="114300" distR="114300" simplePos="0" relativeHeight="251688960" behindDoc="0" locked="0" layoutInCell="1" allowOverlap="1">
                <wp:simplePos x="0" y="0"/>
                <wp:positionH relativeFrom="column">
                  <wp:posOffset>1344930</wp:posOffset>
                </wp:positionH>
                <wp:positionV relativeFrom="paragraph">
                  <wp:posOffset>1181735</wp:posOffset>
                </wp:positionV>
                <wp:extent cx="1328420" cy="1683385"/>
                <wp:effectExtent l="4445" t="4445" r="19685" b="7620"/>
                <wp:wrapNone/>
                <wp:docPr id="141" name="文本框 141"/>
                <wp:cNvGraphicFramePr/>
                <a:graphic xmlns:a="http://schemas.openxmlformats.org/drawingml/2006/main">
                  <a:graphicData uri="http://schemas.microsoft.com/office/word/2010/wordprocessingShape">
                    <wps:wsp>
                      <wps:cNvSpPr txBox="1"/>
                      <wps:spPr>
                        <a:xfrm>
                          <a:off x="0" y="0"/>
                          <a:ext cx="1328420" cy="16833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34CD4D"/>
                        </w:txbxContent>
                      </wps:txbx>
                      <wps:bodyPr upright="1"/>
                    </wps:wsp>
                  </a:graphicData>
                </a:graphic>
              </wp:anchor>
            </w:drawing>
          </mc:Choice>
          <mc:Fallback>
            <w:pict>
              <v:shape id="_x0000_s1026" o:spid="_x0000_s1026" o:spt="202" type="#_x0000_t202" style="position:absolute;left:0pt;margin-left:105.9pt;margin-top:93.05pt;height:132.55pt;width:104.6pt;z-index:251688960;mso-width-relative:page;mso-height-relative:page;" fillcolor="#FFFFFF" filled="t" stroked="t" coordsize="21600,21600" o:gfxdata="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Yo1ldkAAAALAQAADwAAAAAAAAABACAA&#10;AAAiAAAAZHJzL2Rvd25yZXYueG1sUEsBAhQAFAAAAAgAh07iQK5E3ZgMAgAAOwQAAA4AAAAAAAAA&#10;AQAgAAAAKAEAAGRycy9lMm9Eb2MueG1sUEsFBgAAAAAGAAYAWQEAAKYFAAAAAA==&#10;">
                <v:fill on="t" focussize="0,0"/>
                <v:stroke color="#000000" joinstyle="miter"/>
                <v:imagedata o:title=""/>
                <o:lock v:ext="edit" aspectratio="f"/>
                <v:textbox>
                  <w:txbxContent>
                    <w:p w14:paraId="7E34CD4D"/>
                  </w:txbxContent>
                </v:textbox>
              </v:shape>
            </w:pict>
          </mc:Fallback>
        </mc:AlternateContent>
      </w:r>
      <w:r>
        <w:rPr>
          <w:sz w:val="32"/>
        </w:rPr>
        <mc:AlternateContent>
          <mc:Choice Requires="wps">
            <w:drawing>
              <wp:anchor distT="0" distB="0" distL="114300" distR="114300" simplePos="0" relativeHeight="251687936" behindDoc="0" locked="0" layoutInCell="1" allowOverlap="1">
                <wp:simplePos x="0" y="0"/>
                <wp:positionH relativeFrom="column">
                  <wp:posOffset>3510280</wp:posOffset>
                </wp:positionH>
                <wp:positionV relativeFrom="paragraph">
                  <wp:posOffset>1209675</wp:posOffset>
                </wp:positionV>
                <wp:extent cx="1645285" cy="1683385"/>
                <wp:effectExtent l="4445" t="4445" r="7620" b="7620"/>
                <wp:wrapNone/>
                <wp:docPr id="140" name="文本框 140"/>
                <wp:cNvGraphicFramePr/>
                <a:graphic xmlns:a="http://schemas.openxmlformats.org/drawingml/2006/main">
                  <a:graphicData uri="http://schemas.microsoft.com/office/word/2010/wordprocessingShape">
                    <wps:wsp>
                      <wps:cNvSpPr txBox="1"/>
                      <wps:spPr>
                        <a:xfrm>
                          <a:off x="0" y="0"/>
                          <a:ext cx="1645285" cy="16833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D4573F"/>
                        </w:txbxContent>
                      </wps:txbx>
                      <wps:bodyPr upright="1"/>
                    </wps:wsp>
                  </a:graphicData>
                </a:graphic>
              </wp:anchor>
            </w:drawing>
          </mc:Choice>
          <mc:Fallback>
            <w:pict>
              <v:shape id="_x0000_s1026" o:spid="_x0000_s1026" o:spt="202" type="#_x0000_t202" style="position:absolute;left:0pt;margin-left:276.4pt;margin-top:95.25pt;height:132.55pt;width:129.55pt;z-index:251687936;mso-width-relative:page;mso-height-relative:page;" fillcolor="#FFFFFF" filled="t" stroked="t" coordsize="21600,21600" o:gfxdata="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uH2toAAAALAQAADwAAAAAAAAABACAA&#10;AAAiAAAAZHJzL2Rvd25yZXYueG1sUEsBAhQAFAAAAAgAh07iQGNIDHgLAgAAOwQAAA4AAAAAAAAA&#10;AQAgAAAAKQEAAGRycy9lMm9Eb2MueG1sUEsFBgAAAAAGAAYAWQEAAKYFAAAAAA==&#10;">
                <v:fill on="t" focussize="0,0"/>
                <v:stroke color="#000000" joinstyle="miter"/>
                <v:imagedata o:title=""/>
                <o:lock v:ext="edit" aspectratio="f"/>
                <v:textbox>
                  <w:txbxContent>
                    <w:p w14:paraId="7FD4573F"/>
                  </w:txbxContent>
                </v:textbox>
              </v:shape>
            </w:pict>
          </mc:Fallback>
        </mc:AlternateContent>
      </w:r>
      <w:r>
        <w:rPr>
          <w:sz w:val="32"/>
        </w:rPr>
        <mc:AlternateContent>
          <mc:Choice Requires="wps">
            <w:drawing>
              <wp:anchor distT="0" distB="0" distL="114300" distR="114300" simplePos="0" relativeHeight="251691008" behindDoc="0" locked="0" layoutInCell="1" allowOverlap="1">
                <wp:simplePos x="0" y="0"/>
                <wp:positionH relativeFrom="column">
                  <wp:posOffset>1344930</wp:posOffset>
                </wp:positionH>
                <wp:positionV relativeFrom="paragraph">
                  <wp:posOffset>1403350</wp:posOffset>
                </wp:positionV>
                <wp:extent cx="1539875" cy="328930"/>
                <wp:effectExtent l="4445" t="4445" r="17780" b="9525"/>
                <wp:wrapNone/>
                <wp:docPr id="143" name="文本框 143"/>
                <wp:cNvGraphicFramePr/>
                <a:graphic xmlns:a="http://schemas.openxmlformats.org/drawingml/2006/main">
                  <a:graphicData uri="http://schemas.microsoft.com/office/word/2010/wordprocessingShape">
                    <wps:wsp>
                      <wps:cNvSpPr txBox="1"/>
                      <wps:spPr>
                        <a:xfrm>
                          <a:off x="0" y="0"/>
                          <a:ext cx="1539875" cy="3289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071E55"/>
                        </w:txbxContent>
                      </wps:txbx>
                      <wps:bodyPr upright="1"/>
                    </wps:wsp>
                  </a:graphicData>
                </a:graphic>
              </wp:anchor>
            </w:drawing>
          </mc:Choice>
          <mc:Fallback>
            <w:pict>
              <v:shape id="_x0000_s1026" o:spid="_x0000_s1026" o:spt="202" type="#_x0000_t202" style="position:absolute;left:0pt;margin-left:105.9pt;margin-top:110.5pt;height:25.9pt;width:121.25pt;z-index:251691008;mso-width-relative:page;mso-height-relative:page;" fillcolor="#FFFFFF" filled="t" stroked="t" coordsize="21600,21600" o:gfxdata="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iPRq2gAAAAsBAAAPAAAAAAAAAAEA&#10;IAAAACIAAABkcnMvZG93bnJldi54bWxQSwECFAAUAAAACACHTuJAVlwVWQ0CAAA6BAAADgAAAAAA&#10;AAABACAAAAApAQAAZHJzL2Uyb0RvYy54bWxQSwUGAAAAAAYABgBZAQAAqAUAAAAA&#10;">
                <v:fill on="t" focussize="0,0"/>
                <v:stroke color="#000000" joinstyle="miter"/>
                <v:imagedata o:title=""/>
                <o:lock v:ext="edit" aspectratio="f"/>
                <v:textbox>
                  <w:txbxContent>
                    <w:p w14:paraId="4A071E55"/>
                  </w:txbxContent>
                </v:textbox>
              </v:shape>
            </w:pict>
          </mc:Fallback>
        </mc:AlternateContent>
      </w:r>
      <w:r>
        <w:rPr>
          <w:sz w:val="32"/>
        </w:rPr>
        <mc:AlternateContent>
          <mc:Choice Requires="wps">
            <w:drawing>
              <wp:anchor distT="0" distB="0" distL="114300" distR="114300" simplePos="0" relativeHeight="251695104" behindDoc="0" locked="0" layoutInCell="1" allowOverlap="1">
                <wp:simplePos x="0" y="0"/>
                <wp:positionH relativeFrom="column">
                  <wp:posOffset>4025900</wp:posOffset>
                </wp:positionH>
                <wp:positionV relativeFrom="paragraph">
                  <wp:posOffset>5429885</wp:posOffset>
                </wp:positionV>
                <wp:extent cx="737870" cy="509270"/>
                <wp:effectExtent l="4445" t="4445" r="19685" b="19685"/>
                <wp:wrapNone/>
                <wp:docPr id="152" name="文本框 152"/>
                <wp:cNvGraphicFramePr/>
                <a:graphic xmlns:a="http://schemas.openxmlformats.org/drawingml/2006/main">
                  <a:graphicData uri="http://schemas.microsoft.com/office/word/2010/wordprocessingShape">
                    <wps:wsp>
                      <wps:cNvSpPr txBox="1"/>
                      <wps:spPr>
                        <a:xfrm>
                          <a:off x="0" y="0"/>
                          <a:ext cx="737870" cy="509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032346"/>
                        </w:txbxContent>
                      </wps:txbx>
                      <wps:bodyPr upright="1"/>
                    </wps:wsp>
                  </a:graphicData>
                </a:graphic>
              </wp:anchor>
            </w:drawing>
          </mc:Choice>
          <mc:Fallback>
            <w:pict>
              <v:shape id="_x0000_s1026" o:spid="_x0000_s1026" o:spt="202" type="#_x0000_t202" style="position:absolute;left:0pt;margin-left:317pt;margin-top:427.55pt;height:40.1pt;width:58.1pt;z-index:251695104;mso-width-relative:page;mso-height-relative:page;" fillcolor="#FFFFFF" filled="t" stroked="t" coordsize="21600,21600" o:gfxdata="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5+oZTbAAAACwEAAA8AAAAAAAAAAQAg&#10;AAAAIgAAAGRycy9kb3ducmV2LnhtbFBLAQIUABQAAAAIAIdO4kC5uSzQCwIAADkEAAAOAAAAAAAA&#10;AAEAIAAAACoBAABkcnMvZTJvRG9jLnhtbFBLBQYAAAAABgAGAFkBAACnBQAAAAA=&#10;">
                <v:fill on="t" focussize="0,0"/>
                <v:stroke color="#000000" joinstyle="miter"/>
                <v:imagedata o:title=""/>
                <o:lock v:ext="edit" aspectratio="f"/>
                <v:textbox>
                  <w:txbxContent>
                    <w:p w14:paraId="58032346"/>
                  </w:txbxContent>
                </v:textbox>
              </v:shape>
            </w:pict>
          </mc:Fallback>
        </mc:AlternateContent>
      </w:r>
      <w:r>
        <w:rPr>
          <w:sz w:val="32"/>
        </w:rPr>
        <mc:AlternateContent>
          <mc:Choice Requires="wps">
            <w:drawing>
              <wp:anchor distT="0" distB="0" distL="114300" distR="114300" simplePos="0" relativeHeight="251694080" behindDoc="0" locked="0" layoutInCell="1" allowOverlap="1">
                <wp:simplePos x="0" y="0"/>
                <wp:positionH relativeFrom="column">
                  <wp:posOffset>2406650</wp:posOffset>
                </wp:positionH>
                <wp:positionV relativeFrom="paragraph">
                  <wp:posOffset>1809750</wp:posOffset>
                </wp:positionV>
                <wp:extent cx="1362075" cy="235585"/>
                <wp:effectExtent l="4445" t="4445" r="5080" b="7620"/>
                <wp:wrapNone/>
                <wp:docPr id="150" name="文本框 150"/>
                <wp:cNvGraphicFramePr/>
                <a:graphic xmlns:a="http://schemas.openxmlformats.org/drawingml/2006/main">
                  <a:graphicData uri="http://schemas.microsoft.com/office/word/2010/wordprocessingShape">
                    <wps:wsp>
                      <wps:cNvSpPr txBox="1"/>
                      <wps:spPr>
                        <a:xfrm>
                          <a:off x="0" y="0"/>
                          <a:ext cx="1362075" cy="2355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AB8FC3"/>
                        </w:txbxContent>
                      </wps:txbx>
                      <wps:bodyPr upright="1"/>
                    </wps:wsp>
                  </a:graphicData>
                </a:graphic>
              </wp:anchor>
            </w:drawing>
          </mc:Choice>
          <mc:Fallback>
            <w:pict>
              <v:shape id="_x0000_s1026" o:spid="_x0000_s1026" o:spt="202" type="#_x0000_t202" style="position:absolute;left:0pt;margin-left:189.5pt;margin-top:142.5pt;height:18.55pt;width:107.25pt;z-index:251694080;mso-width-relative:page;mso-height-relative:page;" fillcolor="#FFFFFF" filled="t" stroked="t" coordsize="21600,21600" o:gfxdata="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PR1dtoAAAALAQAADwAAAAAAAAABACAA&#10;AAAiAAAAZHJzL2Rvd25yZXYueG1sUEsBAhQAFAAAAAgAh07iQDDa7j0LAgAAOgQAAA4AAAAAAAAA&#10;AQAgAAAAKQEAAGRycy9lMm9Eb2MueG1sUEsFBgAAAAAGAAYAWQEAAKYFAAAAAA==&#10;">
                <v:fill on="t" focussize="0,0"/>
                <v:stroke color="#000000" joinstyle="miter"/>
                <v:imagedata o:title=""/>
                <o:lock v:ext="edit" aspectratio="f"/>
                <v:textbox>
                  <w:txbxContent>
                    <w:p w14:paraId="41AB8FC3"/>
                  </w:txbxContent>
                </v:textbox>
              </v:shape>
            </w:pict>
          </mc:Fallback>
        </mc:AlternateContent>
      </w:r>
      <w:r>
        <w:rPr>
          <w:sz w:val="32"/>
        </w:rPr>
        <mc:AlternateContent>
          <mc:Choice Requires="wps">
            <w:drawing>
              <wp:anchor distT="0" distB="0" distL="114300" distR="114300" simplePos="0" relativeHeight="251693056" behindDoc="0" locked="0" layoutInCell="1" allowOverlap="1">
                <wp:simplePos x="0" y="0"/>
                <wp:positionH relativeFrom="column">
                  <wp:posOffset>3084195</wp:posOffset>
                </wp:positionH>
                <wp:positionV relativeFrom="paragraph">
                  <wp:posOffset>1344930</wp:posOffset>
                </wp:positionV>
                <wp:extent cx="1351280" cy="223520"/>
                <wp:effectExtent l="4445" t="4445" r="15875" b="19685"/>
                <wp:wrapNone/>
                <wp:docPr id="149" name="文本框 149"/>
                <wp:cNvGraphicFramePr/>
                <a:graphic xmlns:a="http://schemas.openxmlformats.org/drawingml/2006/main">
                  <a:graphicData uri="http://schemas.microsoft.com/office/word/2010/wordprocessingShape">
                    <wps:wsp>
                      <wps:cNvSpPr txBox="1"/>
                      <wps:spPr>
                        <a:xfrm>
                          <a:off x="0" y="0"/>
                          <a:ext cx="1351280" cy="2235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D9A221"/>
                        </w:txbxContent>
                      </wps:txbx>
                      <wps:bodyPr upright="1"/>
                    </wps:wsp>
                  </a:graphicData>
                </a:graphic>
              </wp:anchor>
            </w:drawing>
          </mc:Choice>
          <mc:Fallback>
            <w:pict>
              <v:shape id="_x0000_s1026" o:spid="_x0000_s1026" o:spt="202" type="#_x0000_t202" style="position:absolute;left:0pt;margin-left:242.85pt;margin-top:105.9pt;height:17.6pt;width:106.4pt;z-index:251693056;mso-width-relative:page;mso-height-relative:page;" fillcolor="#FFFFFF" filled="t" stroked="t" coordsize="21600,21600" o:gfxdata="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LBgxjaAAAACwEAAA8AAAAAAAAA&#10;AQAgAAAAIgAAAGRycy9kb3ducmV2LnhtbFBLAQIUABQAAAAIAIdO4kBW+OALDwIAADoEAAAOAAAA&#10;AAAAAAEAIAAAACkBAABkcnMvZTJvRG9jLnhtbFBLBQYAAAAABgAGAFkBAACqBQAAAAA=&#10;">
                <v:fill on="t" focussize="0,0"/>
                <v:stroke color="#000000" joinstyle="miter"/>
                <v:imagedata o:title=""/>
                <o:lock v:ext="edit" aspectratio="f"/>
                <v:textbox>
                  <w:txbxContent>
                    <w:p w14:paraId="1BD9A221"/>
                  </w:txbxContent>
                </v:textbox>
              </v:shape>
            </w:pict>
          </mc:Fallback>
        </mc:AlternateContent>
      </w:r>
      <w:r>
        <w:rPr>
          <w:sz w:val="32"/>
        </w:rPr>
        <mc:AlternateContent>
          <mc:Choice Requires="wps">
            <w:drawing>
              <wp:anchor distT="0" distB="0" distL="114300" distR="114300" simplePos="0" relativeHeight="251692032" behindDoc="0" locked="0" layoutInCell="1" allowOverlap="1">
                <wp:simplePos x="0" y="0"/>
                <wp:positionH relativeFrom="column">
                  <wp:posOffset>1630045</wp:posOffset>
                </wp:positionH>
                <wp:positionV relativeFrom="paragraph">
                  <wp:posOffset>1181735</wp:posOffset>
                </wp:positionV>
                <wp:extent cx="441960" cy="382270"/>
                <wp:effectExtent l="4445" t="5080" r="10795" b="12700"/>
                <wp:wrapNone/>
                <wp:docPr id="145" name="文本框 145"/>
                <wp:cNvGraphicFramePr/>
                <a:graphic xmlns:a="http://schemas.openxmlformats.org/drawingml/2006/main">
                  <a:graphicData uri="http://schemas.microsoft.com/office/word/2010/wordprocessingShape">
                    <wps:wsp>
                      <wps:cNvSpPr txBox="1"/>
                      <wps:spPr>
                        <a:xfrm>
                          <a:off x="0" y="0"/>
                          <a:ext cx="441960" cy="382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29DD2D"/>
                        </w:txbxContent>
                      </wps:txbx>
                      <wps:bodyPr upright="1"/>
                    </wps:wsp>
                  </a:graphicData>
                </a:graphic>
              </wp:anchor>
            </w:drawing>
          </mc:Choice>
          <mc:Fallback>
            <w:pict>
              <v:shape id="_x0000_s1026" o:spid="_x0000_s1026" o:spt="202" type="#_x0000_t202" style="position:absolute;left:0pt;margin-left:128.35pt;margin-top:93.05pt;height:30.1pt;width:34.8pt;z-index:251692032;mso-width-relative:page;mso-height-relative:page;" fillcolor="#FFFFFF" filled="t" stroked="t" coordsize="21600,21600" o:gfxdata="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JcM1J2QAAAAsBAAAPAAAAAAAAAAEA&#10;IAAAACIAAABkcnMvZG93bnJldi54bWxQSwECFAAUAAAACACHTuJAgzIiPQ4CAAA5BAAADgAAAAAA&#10;AAABACAAAAAoAQAAZHJzL2Uyb0RvYy54bWxQSwUGAAAAAAYABgBZAQAAqAUAAAAA&#10;">
                <v:fill on="t" focussize="0,0"/>
                <v:stroke color="#000000" joinstyle="miter"/>
                <v:imagedata o:title=""/>
                <o:lock v:ext="edit" aspectratio="f"/>
                <v:textbox>
                  <w:txbxContent>
                    <w:p w14:paraId="1129DD2D"/>
                  </w:txbxContent>
                </v:textbox>
              </v:shape>
            </w:pict>
          </mc:Fallback>
        </mc:AlternateContent>
      </w:r>
      <w:r>
        <w:rPr>
          <w:sz w:val="32"/>
        </w:rPr>
        <mc:AlternateContent>
          <mc:Choice Requires="wps">
            <w:drawing>
              <wp:anchor distT="0" distB="0" distL="114300" distR="114300" simplePos="0" relativeHeight="251699200" behindDoc="0" locked="0" layoutInCell="1" allowOverlap="1">
                <wp:simplePos x="0" y="0"/>
                <wp:positionH relativeFrom="column">
                  <wp:posOffset>4043045</wp:posOffset>
                </wp:positionH>
                <wp:positionV relativeFrom="paragraph">
                  <wp:posOffset>5458460</wp:posOffset>
                </wp:positionV>
                <wp:extent cx="717550" cy="455295"/>
                <wp:effectExtent l="4445" t="5080" r="20955" b="15875"/>
                <wp:wrapNone/>
                <wp:docPr id="157" name="文本框 157"/>
                <wp:cNvGraphicFramePr/>
                <a:graphic xmlns:a="http://schemas.openxmlformats.org/drawingml/2006/main">
                  <a:graphicData uri="http://schemas.microsoft.com/office/word/2010/wordprocessingShape">
                    <wps:wsp>
                      <wps:cNvSpPr txBox="1"/>
                      <wps:spPr>
                        <a:xfrm>
                          <a:off x="0" y="0"/>
                          <a:ext cx="717550" cy="4552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F1D104"/>
                        </w:txbxContent>
                      </wps:txbx>
                      <wps:bodyPr upright="1"/>
                    </wps:wsp>
                  </a:graphicData>
                </a:graphic>
              </wp:anchor>
            </w:drawing>
          </mc:Choice>
          <mc:Fallback>
            <w:pict>
              <v:shape id="_x0000_s1026" o:spid="_x0000_s1026" o:spt="202" type="#_x0000_t202" style="position:absolute;left:0pt;margin-left:318.35pt;margin-top:429.8pt;height:35.85pt;width:56.5pt;z-index:251699200;mso-width-relative:page;mso-height-relative:page;" fillcolor="#FFFFFF" filled="t" stroked="t" coordsize="21600,21600" o:gfxdata="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N+JgtoAAAALAQAADwAAAAAAAAABACAA&#10;AAAiAAAAZHJzL2Rvd25yZXYueG1sUEsBAhQAFAAAAAgAh07iQMFZbMQLAgAAOQQAAA4AAAAAAAAA&#10;AQAgAAAAKQEAAGRycy9lMm9Eb2MueG1sUEsFBgAAAAAGAAYAWQEAAKYFAAAAAA==&#10;">
                <v:fill on="t" focussize="0,0"/>
                <v:stroke color="#000000" joinstyle="miter"/>
                <v:imagedata o:title=""/>
                <o:lock v:ext="edit" aspectratio="f"/>
                <v:textbox>
                  <w:txbxContent>
                    <w:p w14:paraId="70F1D104"/>
                  </w:txbxContent>
                </v:textbox>
              </v:shape>
            </w:pict>
          </mc:Fallback>
        </mc:AlternateContent>
      </w:r>
      <w:r>
        <w:rPr>
          <w:sz w:val="32"/>
        </w:rPr>
        <mc:AlternateContent>
          <mc:Choice Requires="wps">
            <w:drawing>
              <wp:anchor distT="0" distB="0" distL="114300" distR="114300" simplePos="0" relativeHeight="251698176" behindDoc="0" locked="0" layoutInCell="1" allowOverlap="1">
                <wp:simplePos x="0" y="0"/>
                <wp:positionH relativeFrom="column">
                  <wp:posOffset>1894840</wp:posOffset>
                </wp:positionH>
                <wp:positionV relativeFrom="paragraph">
                  <wp:posOffset>1868805</wp:posOffset>
                </wp:positionV>
                <wp:extent cx="1478280" cy="245110"/>
                <wp:effectExtent l="4445" t="4445" r="22225" b="17145"/>
                <wp:wrapNone/>
                <wp:docPr id="155" name="文本框 155"/>
                <wp:cNvGraphicFramePr/>
                <a:graphic xmlns:a="http://schemas.openxmlformats.org/drawingml/2006/main">
                  <a:graphicData uri="http://schemas.microsoft.com/office/word/2010/wordprocessingShape">
                    <wps:wsp>
                      <wps:cNvSpPr txBox="1"/>
                      <wps:spPr>
                        <a:xfrm>
                          <a:off x="0" y="0"/>
                          <a:ext cx="1478280" cy="2451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FDA1F8"/>
                        </w:txbxContent>
                      </wps:txbx>
                      <wps:bodyPr upright="1"/>
                    </wps:wsp>
                  </a:graphicData>
                </a:graphic>
              </wp:anchor>
            </w:drawing>
          </mc:Choice>
          <mc:Fallback>
            <w:pict>
              <v:shape id="_x0000_s1026" o:spid="_x0000_s1026" o:spt="202" type="#_x0000_t202" style="position:absolute;left:0pt;margin-left:149.2pt;margin-top:147.15pt;height:19.3pt;width:116.4pt;z-index:251698176;mso-width-relative:page;mso-height-relative:page;" fillcolor="#FFFFFF" filled="t" stroked="t" coordsize="21600,21600" o:gfxdata="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4fPOC2gAAAAsBAAAPAAAAAAAAAAEA&#10;IAAAACIAAABkcnMvZG93bnJldi54bWxQSwECFAAUAAAACACHTuJA7fR1BA0CAAA6BAAADgAAAAAA&#10;AAABACAAAAApAQAAZHJzL2Uyb0RvYy54bWxQSwUGAAAAAAYABgBZAQAAqAUAAAAA&#10;">
                <v:fill on="t" focussize="0,0"/>
                <v:stroke color="#000000" joinstyle="miter"/>
                <v:imagedata o:title=""/>
                <o:lock v:ext="edit" aspectratio="f"/>
                <v:textbox>
                  <w:txbxContent>
                    <w:p w14:paraId="6AFDA1F8"/>
                  </w:txbxContent>
                </v:textbox>
              </v:shape>
            </w:pict>
          </mc:Fallback>
        </mc:AlternateContent>
      </w:r>
      <w:r>
        <w:rPr>
          <w:sz w:val="32"/>
        </w:rPr>
        <mc:AlternateContent>
          <mc:Choice Requires="wps">
            <w:drawing>
              <wp:anchor distT="0" distB="0" distL="114300" distR="114300" simplePos="0" relativeHeight="251697152" behindDoc="0" locked="0" layoutInCell="1" allowOverlap="1">
                <wp:simplePos x="0" y="0"/>
                <wp:positionH relativeFrom="column">
                  <wp:posOffset>2847340</wp:posOffset>
                </wp:positionH>
                <wp:positionV relativeFrom="paragraph">
                  <wp:posOffset>1234440</wp:posOffset>
                </wp:positionV>
                <wp:extent cx="1414780" cy="382270"/>
                <wp:effectExtent l="5080" t="4445" r="8890" b="13335"/>
                <wp:wrapNone/>
                <wp:docPr id="154" name="文本框 154"/>
                <wp:cNvGraphicFramePr/>
                <a:graphic xmlns:a="http://schemas.openxmlformats.org/drawingml/2006/main">
                  <a:graphicData uri="http://schemas.microsoft.com/office/word/2010/wordprocessingShape">
                    <wps:wsp>
                      <wps:cNvSpPr txBox="1"/>
                      <wps:spPr>
                        <a:xfrm>
                          <a:off x="0" y="0"/>
                          <a:ext cx="1414780" cy="382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1892C5"/>
                        </w:txbxContent>
                      </wps:txbx>
                      <wps:bodyPr upright="1"/>
                    </wps:wsp>
                  </a:graphicData>
                </a:graphic>
              </wp:anchor>
            </w:drawing>
          </mc:Choice>
          <mc:Fallback>
            <w:pict>
              <v:shape id="_x0000_s1026" o:spid="_x0000_s1026" o:spt="202" type="#_x0000_t202" style="position:absolute;left:0pt;margin-left:224.2pt;margin-top:97.2pt;height:30.1pt;width:111.4pt;z-index:251697152;mso-width-relative:page;mso-height-relative:page;" fillcolor="#FFFFFF" filled="t" stroked="t" coordsize="21600,21600" o:gfxdata="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KvFMNoAAAALAQAADwAAAAAAAAAB&#10;ACAAAAAiAAAAZHJzL2Rvd25yZXYueG1sUEsBAhQAFAAAAAgAh07iQJHKWcQOAgAAOgQAAA4AAAAA&#10;AAAAAQAgAAAAKQEAAGRycy9lMm9Eb2MueG1sUEsFBgAAAAAGAAYAWQEAAKkFAAAAAA==&#10;">
                <v:fill on="t" focussize="0,0"/>
                <v:stroke color="#000000" joinstyle="miter"/>
                <v:imagedata o:title=""/>
                <o:lock v:ext="edit" aspectratio="f"/>
                <v:textbox>
                  <w:txbxContent>
                    <w:p w14:paraId="241892C5"/>
                  </w:txbxContent>
                </v:textbox>
              </v:shape>
            </w:pict>
          </mc:Fallback>
        </mc:AlternateContent>
      </w:r>
      <w:r>
        <w:rPr>
          <w:sz w:val="32"/>
        </w:rPr>
        <mc:AlternateContent>
          <mc:Choice Requires="wps">
            <w:drawing>
              <wp:anchor distT="0" distB="0" distL="114300" distR="114300" simplePos="0" relativeHeight="251696128" behindDoc="0" locked="0" layoutInCell="1" allowOverlap="1">
                <wp:simplePos x="0" y="0"/>
                <wp:positionH relativeFrom="column">
                  <wp:posOffset>1545590</wp:posOffset>
                </wp:positionH>
                <wp:positionV relativeFrom="paragraph">
                  <wp:posOffset>1181735</wp:posOffset>
                </wp:positionV>
                <wp:extent cx="441960" cy="382270"/>
                <wp:effectExtent l="4445" t="5080" r="10795" b="12700"/>
                <wp:wrapNone/>
                <wp:docPr id="153" name="文本框 153"/>
                <wp:cNvGraphicFramePr/>
                <a:graphic xmlns:a="http://schemas.openxmlformats.org/drawingml/2006/main">
                  <a:graphicData uri="http://schemas.microsoft.com/office/word/2010/wordprocessingShape">
                    <wps:wsp>
                      <wps:cNvSpPr txBox="1"/>
                      <wps:spPr>
                        <a:xfrm>
                          <a:off x="0" y="0"/>
                          <a:ext cx="441960" cy="382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7E6D8D"/>
                        </w:txbxContent>
                      </wps:txbx>
                      <wps:bodyPr upright="1"/>
                    </wps:wsp>
                  </a:graphicData>
                </a:graphic>
              </wp:anchor>
            </w:drawing>
          </mc:Choice>
          <mc:Fallback>
            <w:pict>
              <v:shape id="_x0000_s1026" o:spid="_x0000_s1026" o:spt="202" type="#_x0000_t202" style="position:absolute;left:0pt;margin-left:121.7pt;margin-top:93.05pt;height:30.1pt;width:34.8pt;z-index:251696128;mso-width-relative:page;mso-height-relative:page;" fillcolor="#FFFFFF" filled="t" stroked="t" coordsize="21600,21600" o:gfxdata="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aidyR2AAAAAsBAAAPAAAAAAAAAAEA&#10;IAAAACIAAABkcnMvZG93bnJldi54bWxQSwECFAAUAAAACACHTuJAi1yHDg8CAAA5BAAADgAAAAAA&#10;AAABACAAAAAnAQAAZHJzL2Uyb0RvYy54bWxQSwUGAAAAAAYABgBZAQAAqAUAAAAA&#10;">
                <v:fill on="t" focussize="0,0"/>
                <v:stroke color="#000000" joinstyle="miter"/>
                <v:imagedata o:title=""/>
                <o:lock v:ext="edit" aspectratio="f"/>
                <v:textbox>
                  <w:txbxContent>
                    <w:p w14:paraId="697E6D8D"/>
                  </w:txbxContent>
                </v:textbox>
              </v:shape>
            </w:pict>
          </mc:Fallback>
        </mc:AlternateContent>
      </w:r>
      <w:r>
        <w:rPr>
          <w:sz w:val="32"/>
        </w:rPr>
        <mc:AlternateContent>
          <mc:Choice Requires="wps">
            <w:drawing>
              <wp:anchor distT="0" distB="0" distL="114300" distR="114300" simplePos="0" relativeHeight="251700224" behindDoc="0" locked="0" layoutInCell="1" allowOverlap="1">
                <wp:simplePos x="0" y="0"/>
                <wp:positionH relativeFrom="column">
                  <wp:posOffset>1376045</wp:posOffset>
                </wp:positionH>
                <wp:positionV relativeFrom="paragraph">
                  <wp:posOffset>271145</wp:posOffset>
                </wp:positionV>
                <wp:extent cx="3489325" cy="7493635"/>
                <wp:effectExtent l="4445" t="5080" r="11430" b="6985"/>
                <wp:wrapNone/>
                <wp:docPr id="158" name="文本框 158"/>
                <wp:cNvGraphicFramePr/>
                <a:graphic xmlns:a="http://schemas.openxmlformats.org/drawingml/2006/main">
                  <a:graphicData uri="http://schemas.microsoft.com/office/word/2010/wordprocessingShape">
                    <wps:wsp>
                      <wps:cNvSpPr txBox="1"/>
                      <wps:spPr>
                        <a:xfrm>
                          <a:off x="0" y="0"/>
                          <a:ext cx="3489325" cy="74936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7B4D1D"/>
                        </w:txbxContent>
                      </wps:txbx>
                      <wps:bodyPr upright="1"/>
                    </wps:wsp>
                  </a:graphicData>
                </a:graphic>
              </wp:anchor>
            </w:drawing>
          </mc:Choice>
          <mc:Fallback>
            <w:pict>
              <v:shape id="_x0000_s1026" o:spid="_x0000_s1026" o:spt="202" type="#_x0000_t202" style="position:absolute;left:0pt;margin-left:108.35pt;margin-top:21.35pt;height:590.05pt;width:274.75pt;z-index:251700224;mso-width-relative:page;mso-height-relative:page;" fillcolor="#FFFFFF" filled="t" stroked="t" coordsize="21600,21600" o:gfxdata="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a4+qzZAAAACwEAAA8AAAAAAAAAAQAg&#10;AAAAIgAAAGRycy9kb3ducmV2LnhtbFBLAQIUABQAAAAIAIdO4kDwEXPDDQIAADsEAAAOAAAAAAAA&#10;AAEAIAAAACgBAABkcnMvZTJvRG9jLnhtbFBLBQYAAAAABgAGAFkBAACnBQAAAAA=&#10;">
                <v:fill on="t" focussize="0,0"/>
                <v:stroke color="#000000" joinstyle="miter"/>
                <v:imagedata o:title=""/>
                <o:lock v:ext="edit" aspectratio="f"/>
                <v:textbox>
                  <w:txbxContent>
                    <w:p w14:paraId="397B4D1D"/>
                  </w:txbxContent>
                </v:textbox>
              </v:shape>
            </w:pict>
          </mc:Fallback>
        </mc:AlternateContent>
      </w:r>
      <w:r>
        <w:rPr>
          <w:sz w:val="32"/>
        </w:rPr>
        <mc:AlternateContent>
          <mc:Choice Requires="wps">
            <w:drawing>
              <wp:anchor distT="0" distB="0" distL="114300" distR="114300" simplePos="0" relativeHeight="251701248" behindDoc="0" locked="0" layoutInCell="1" allowOverlap="1">
                <wp:simplePos x="0" y="0"/>
                <wp:positionH relativeFrom="column">
                  <wp:posOffset>1397000</wp:posOffset>
                </wp:positionH>
                <wp:positionV relativeFrom="paragraph">
                  <wp:posOffset>292735</wp:posOffset>
                </wp:positionV>
                <wp:extent cx="3330575" cy="7514590"/>
                <wp:effectExtent l="4445" t="4445" r="17780" b="5715"/>
                <wp:wrapNone/>
                <wp:docPr id="159" name="文本框 159"/>
                <wp:cNvGraphicFramePr/>
                <a:graphic xmlns:a="http://schemas.openxmlformats.org/drawingml/2006/main">
                  <a:graphicData uri="http://schemas.microsoft.com/office/word/2010/wordprocessingShape">
                    <wps:wsp>
                      <wps:cNvSpPr txBox="1"/>
                      <wps:spPr>
                        <a:xfrm>
                          <a:off x="0" y="0"/>
                          <a:ext cx="3330575" cy="75145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64DEF2"/>
                        </w:txbxContent>
                      </wps:txbx>
                      <wps:bodyPr upright="1"/>
                    </wps:wsp>
                  </a:graphicData>
                </a:graphic>
              </wp:anchor>
            </w:drawing>
          </mc:Choice>
          <mc:Fallback>
            <w:pict>
              <v:shape id="_x0000_s1026" o:spid="_x0000_s1026" o:spt="202" type="#_x0000_t202" style="position:absolute;left:0pt;margin-left:110pt;margin-top:23.05pt;height:591.7pt;width:262.25pt;z-index:251701248;mso-width-relative:page;mso-height-relative:page;" fillcolor="#FFFFFF" filled="t" stroked="t" coordsize="21600,21600" o:gfxdata="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kn2CtkAAAALAQAADwAAAAAAAAAB&#10;ACAAAAAiAAAAZHJzL2Rvd25yZXYueG1sUEsBAhQAFAAAAAgAh07iQK/5NhIPAgAAOwQAAA4AAAAA&#10;AAAAAQAgAAAAKAEAAGRycy9lMm9Eb2MueG1sUEsFBgAAAAAGAAYAWQEAAKkFAAAAAA==&#10;">
                <v:fill on="t" focussize="0,0"/>
                <v:stroke color="#000000" joinstyle="miter"/>
                <v:imagedata o:title=""/>
                <o:lock v:ext="edit" aspectratio="f"/>
                <v:textbox>
                  <w:txbxContent>
                    <w:p w14:paraId="7A64DEF2"/>
                  </w:txbxContent>
                </v:textbox>
              </v:shape>
            </w:pict>
          </mc:Fallback>
        </mc:AlternateContent>
      </w:r>
    </w:p>
    <w:p w14:paraId="0BE1254F">
      <w:pPr>
        <w:pStyle w:val="2"/>
        <w:bidi w:val="0"/>
        <w:rPr>
          <w:rFonts w:hint="eastAsia"/>
        </w:rPr>
      </w:pPr>
      <w:bookmarkStart w:id="5" w:name="_Toc7868"/>
      <w:bookmarkStart w:id="6" w:name="_Toc21854"/>
      <w:r>
        <w:rPr>
          <w:rFonts w:hint="eastAsia"/>
        </w:rPr>
        <w:t>建设项目基本情况</w:t>
      </w:r>
      <w:bookmarkEnd w:id="5"/>
      <w:bookmarkEnd w:id="6"/>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31"/>
        <w:gridCol w:w="2102"/>
        <w:gridCol w:w="1485"/>
        <w:gridCol w:w="3752"/>
      </w:tblGrid>
      <w:tr w14:paraId="4405BE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1" w:type="dxa"/>
            <w:noWrap w:val="0"/>
            <w:tcMar>
              <w:top w:w="16" w:type="dxa"/>
              <w:left w:w="16" w:type="dxa"/>
              <w:right w:w="16" w:type="dxa"/>
            </w:tcMar>
            <w:vAlign w:val="center"/>
          </w:tcPr>
          <w:p w14:paraId="04DD210C">
            <w:pPr>
              <w:pStyle w:val="40"/>
              <w:keepNext w:val="0"/>
              <w:keepLines w:val="0"/>
              <w:suppressLineNumbers w:val="0"/>
              <w:bidi w:val="0"/>
              <w:spacing w:before="0" w:beforeAutospacing="0" w:after="0" w:afterAutospacing="0"/>
              <w:ind w:left="0" w:right="0"/>
              <w:rPr>
                <w:rFonts w:hint="eastAsia"/>
              </w:rPr>
            </w:pPr>
            <w:r>
              <w:rPr>
                <w:rFonts w:hint="eastAsia"/>
              </w:rPr>
              <w:t>建设项目名称</w:t>
            </w:r>
          </w:p>
        </w:tc>
        <w:tc>
          <w:tcPr>
            <w:tcW w:w="7339" w:type="dxa"/>
            <w:gridSpan w:val="3"/>
            <w:noWrap w:val="0"/>
            <w:vAlign w:val="center"/>
          </w:tcPr>
          <w:p w14:paraId="28BAFE2F">
            <w:pPr>
              <w:pStyle w:val="40"/>
              <w:keepNext w:val="0"/>
              <w:keepLines w:val="0"/>
              <w:suppressLineNumbers w:val="0"/>
              <w:bidi w:val="0"/>
              <w:spacing w:before="0" w:beforeAutospacing="0" w:after="0" w:afterAutospacing="0"/>
              <w:ind w:left="0" w:right="0"/>
              <w:rPr>
                <w:rFonts w:hint="eastAsia"/>
              </w:rPr>
            </w:pPr>
            <w:r>
              <w:rPr>
                <w:rFonts w:hint="eastAsia"/>
                <w:lang w:eastAsia="zh-CN"/>
              </w:rPr>
              <w:t>福清市三合电子科技有限公司年加工铝合金20万套、塑胶件30万套、钣金件10万套项目</w:t>
            </w:r>
          </w:p>
        </w:tc>
      </w:tr>
      <w:tr w14:paraId="4826BC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1" w:type="dxa"/>
            <w:noWrap w:val="0"/>
            <w:tcMar>
              <w:top w:w="16" w:type="dxa"/>
              <w:left w:w="16" w:type="dxa"/>
              <w:right w:w="16" w:type="dxa"/>
            </w:tcMar>
            <w:vAlign w:val="center"/>
          </w:tcPr>
          <w:p w14:paraId="5AC95F36">
            <w:pPr>
              <w:pStyle w:val="40"/>
              <w:keepNext w:val="0"/>
              <w:keepLines w:val="0"/>
              <w:suppressLineNumbers w:val="0"/>
              <w:bidi w:val="0"/>
              <w:spacing w:before="0" w:beforeAutospacing="0" w:after="0" w:afterAutospacing="0"/>
              <w:ind w:left="0" w:right="0"/>
              <w:rPr>
                <w:rFonts w:hint="eastAsia"/>
              </w:rPr>
            </w:pPr>
            <w:r>
              <w:rPr>
                <w:rFonts w:hint="eastAsia"/>
              </w:rPr>
              <w:t>项目代码</w:t>
            </w:r>
          </w:p>
        </w:tc>
        <w:tc>
          <w:tcPr>
            <w:tcW w:w="7339" w:type="dxa"/>
            <w:gridSpan w:val="3"/>
            <w:noWrap w:val="0"/>
            <w:vAlign w:val="center"/>
          </w:tcPr>
          <w:p w14:paraId="1ED21410">
            <w:pPr>
              <w:pStyle w:val="40"/>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2602-350181-04-01-134712</w:t>
            </w:r>
          </w:p>
        </w:tc>
      </w:tr>
      <w:tr w14:paraId="6F178B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1" w:type="dxa"/>
            <w:noWrap w:val="0"/>
            <w:tcMar>
              <w:top w:w="16" w:type="dxa"/>
              <w:left w:w="16" w:type="dxa"/>
              <w:right w:w="16" w:type="dxa"/>
            </w:tcMar>
            <w:vAlign w:val="center"/>
          </w:tcPr>
          <w:p w14:paraId="40950236">
            <w:pPr>
              <w:pStyle w:val="40"/>
              <w:keepNext w:val="0"/>
              <w:keepLines w:val="0"/>
              <w:suppressLineNumbers w:val="0"/>
              <w:bidi w:val="0"/>
              <w:spacing w:before="0" w:beforeAutospacing="0" w:after="0" w:afterAutospacing="0"/>
              <w:ind w:left="0" w:right="0"/>
              <w:rPr>
                <w:rFonts w:hint="eastAsia"/>
              </w:rPr>
            </w:pPr>
            <w:r>
              <w:rPr>
                <w:rFonts w:hint="eastAsia"/>
              </w:rPr>
              <w:t>建设单位联系人</w:t>
            </w:r>
          </w:p>
        </w:tc>
        <w:tc>
          <w:tcPr>
            <w:tcW w:w="2102" w:type="dxa"/>
            <w:noWrap w:val="0"/>
            <w:vAlign w:val="center"/>
          </w:tcPr>
          <w:p w14:paraId="472BD479">
            <w:pPr>
              <w:pStyle w:val="40"/>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郑*</w:t>
            </w:r>
          </w:p>
        </w:tc>
        <w:tc>
          <w:tcPr>
            <w:tcW w:w="1485" w:type="dxa"/>
            <w:noWrap w:val="0"/>
            <w:vAlign w:val="center"/>
          </w:tcPr>
          <w:p w14:paraId="104926D5">
            <w:pPr>
              <w:pStyle w:val="40"/>
              <w:keepNext w:val="0"/>
              <w:keepLines w:val="0"/>
              <w:suppressLineNumbers w:val="0"/>
              <w:bidi w:val="0"/>
              <w:spacing w:before="0" w:beforeAutospacing="0" w:after="0" w:afterAutospacing="0"/>
              <w:ind w:left="0" w:right="0"/>
              <w:rPr>
                <w:rFonts w:hint="eastAsia"/>
              </w:rPr>
            </w:pPr>
            <w:r>
              <w:rPr>
                <w:rFonts w:hint="eastAsia"/>
              </w:rPr>
              <w:t>联系方式</w:t>
            </w:r>
          </w:p>
        </w:tc>
        <w:tc>
          <w:tcPr>
            <w:tcW w:w="3752" w:type="dxa"/>
            <w:noWrap w:val="0"/>
            <w:vAlign w:val="center"/>
          </w:tcPr>
          <w:p w14:paraId="39E49B2F">
            <w:pPr>
              <w:pStyle w:val="40"/>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1355917****</w:t>
            </w:r>
          </w:p>
        </w:tc>
      </w:tr>
      <w:tr w14:paraId="1AA013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1" w:type="dxa"/>
            <w:noWrap w:val="0"/>
            <w:tcMar>
              <w:top w:w="16" w:type="dxa"/>
              <w:left w:w="16" w:type="dxa"/>
              <w:right w:w="16" w:type="dxa"/>
            </w:tcMar>
            <w:vAlign w:val="center"/>
          </w:tcPr>
          <w:p w14:paraId="5B4DCCBE">
            <w:pPr>
              <w:pStyle w:val="40"/>
              <w:keepNext w:val="0"/>
              <w:keepLines w:val="0"/>
              <w:suppressLineNumbers w:val="0"/>
              <w:bidi w:val="0"/>
              <w:spacing w:before="0" w:beforeAutospacing="0" w:after="0" w:afterAutospacing="0"/>
              <w:ind w:left="0" w:right="0"/>
              <w:rPr>
                <w:rFonts w:hint="eastAsia"/>
              </w:rPr>
            </w:pPr>
            <w:r>
              <w:rPr>
                <w:rFonts w:hint="eastAsia"/>
              </w:rPr>
              <w:t>建设地点</w:t>
            </w:r>
          </w:p>
        </w:tc>
        <w:tc>
          <w:tcPr>
            <w:tcW w:w="7339" w:type="dxa"/>
            <w:gridSpan w:val="3"/>
            <w:noWrap w:val="0"/>
            <w:vAlign w:val="center"/>
          </w:tcPr>
          <w:p w14:paraId="20C85D6F">
            <w:pPr>
              <w:pStyle w:val="40"/>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福清融侨经济技术开发区（租赁福清洪添科技有限公司车间2第3层）</w:t>
            </w:r>
          </w:p>
        </w:tc>
      </w:tr>
      <w:tr w14:paraId="745407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1" w:type="dxa"/>
            <w:noWrap w:val="0"/>
            <w:tcMar>
              <w:top w:w="16" w:type="dxa"/>
              <w:left w:w="16" w:type="dxa"/>
              <w:right w:w="16" w:type="dxa"/>
            </w:tcMar>
            <w:vAlign w:val="center"/>
          </w:tcPr>
          <w:p w14:paraId="34EE697E">
            <w:pPr>
              <w:pStyle w:val="40"/>
              <w:keepNext w:val="0"/>
              <w:keepLines w:val="0"/>
              <w:suppressLineNumbers w:val="0"/>
              <w:bidi w:val="0"/>
              <w:spacing w:before="0" w:beforeAutospacing="0" w:after="0" w:afterAutospacing="0"/>
              <w:ind w:left="0" w:right="0"/>
              <w:rPr>
                <w:rFonts w:hint="eastAsia"/>
              </w:rPr>
            </w:pPr>
            <w:r>
              <w:rPr>
                <w:rFonts w:hint="eastAsia"/>
              </w:rPr>
              <w:t>地理坐标</w:t>
            </w:r>
          </w:p>
        </w:tc>
        <w:tc>
          <w:tcPr>
            <w:tcW w:w="7339" w:type="dxa"/>
            <w:gridSpan w:val="3"/>
            <w:noWrap w:val="0"/>
            <w:vAlign w:val="center"/>
          </w:tcPr>
          <w:p w14:paraId="378609F1">
            <w:pPr>
              <w:pStyle w:val="40"/>
              <w:keepNext w:val="0"/>
              <w:keepLines w:val="0"/>
              <w:suppressLineNumbers w:val="0"/>
              <w:bidi w:val="0"/>
              <w:spacing w:before="0" w:beforeAutospacing="0" w:after="0" w:afterAutospacing="0"/>
              <w:ind w:left="0" w:right="0"/>
              <w:rPr>
                <w:rFonts w:hint="eastAsia"/>
              </w:rPr>
            </w:pPr>
            <w:r>
              <w:rPr>
                <w:rFonts w:hint="eastAsia"/>
              </w:rPr>
              <w:t xml:space="preserve">（ 119 度 </w:t>
            </w:r>
            <w:r>
              <w:rPr>
                <w:rFonts w:hint="eastAsia"/>
                <w:lang w:val="en-US" w:eastAsia="zh-CN"/>
              </w:rPr>
              <w:t>25</w:t>
            </w:r>
            <w:r>
              <w:rPr>
                <w:rFonts w:hint="eastAsia"/>
              </w:rPr>
              <w:t xml:space="preserve">  分 </w:t>
            </w:r>
            <w:r>
              <w:rPr>
                <w:rFonts w:hint="eastAsia"/>
                <w:lang w:val="en-US" w:eastAsia="zh-CN"/>
              </w:rPr>
              <w:t>14.142</w:t>
            </w:r>
            <w:r>
              <w:rPr>
                <w:rFonts w:hint="eastAsia"/>
              </w:rPr>
              <w:t xml:space="preserve"> 秒， 2</w:t>
            </w:r>
            <w:r>
              <w:rPr>
                <w:rFonts w:hint="eastAsia"/>
                <w:lang w:val="en-US" w:eastAsia="zh-CN"/>
              </w:rPr>
              <w:t>5</w:t>
            </w:r>
            <w:r>
              <w:rPr>
                <w:rFonts w:hint="eastAsia"/>
              </w:rPr>
              <w:t xml:space="preserve"> 度  </w:t>
            </w:r>
            <w:r>
              <w:rPr>
                <w:rFonts w:hint="eastAsia"/>
                <w:lang w:val="en-US" w:eastAsia="zh-CN"/>
              </w:rPr>
              <w:t>45</w:t>
            </w:r>
            <w:r>
              <w:rPr>
                <w:rFonts w:hint="eastAsia"/>
              </w:rPr>
              <w:t xml:space="preserve"> 分 </w:t>
            </w:r>
            <w:r>
              <w:rPr>
                <w:rFonts w:hint="eastAsia"/>
                <w:lang w:val="en-US" w:eastAsia="zh-CN"/>
              </w:rPr>
              <w:t>52.979</w:t>
            </w:r>
            <w:r>
              <w:rPr>
                <w:rFonts w:hint="eastAsia"/>
              </w:rPr>
              <w:t xml:space="preserve"> 秒）</w:t>
            </w:r>
          </w:p>
        </w:tc>
      </w:tr>
      <w:tr w14:paraId="571843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155" w:hRule="atLeast"/>
          <w:jc w:val="center"/>
        </w:trPr>
        <w:tc>
          <w:tcPr>
            <w:tcW w:w="1531" w:type="dxa"/>
            <w:noWrap w:val="0"/>
            <w:tcMar>
              <w:top w:w="16" w:type="dxa"/>
              <w:left w:w="16" w:type="dxa"/>
              <w:right w:w="16" w:type="dxa"/>
            </w:tcMar>
            <w:vAlign w:val="center"/>
          </w:tcPr>
          <w:p w14:paraId="19DCBFDE">
            <w:pPr>
              <w:pStyle w:val="40"/>
              <w:keepNext w:val="0"/>
              <w:keepLines w:val="0"/>
              <w:suppressLineNumbers w:val="0"/>
              <w:bidi w:val="0"/>
              <w:spacing w:before="0" w:beforeAutospacing="0" w:after="0" w:afterAutospacing="0"/>
              <w:ind w:left="0" w:right="0"/>
              <w:rPr>
                <w:rFonts w:hint="eastAsia"/>
              </w:rPr>
            </w:pPr>
            <w:r>
              <w:rPr>
                <w:rFonts w:hint="eastAsia"/>
              </w:rPr>
              <w:t>国民经济</w:t>
            </w:r>
          </w:p>
          <w:p w14:paraId="56A44ECD">
            <w:pPr>
              <w:pStyle w:val="40"/>
              <w:keepNext w:val="0"/>
              <w:keepLines w:val="0"/>
              <w:suppressLineNumbers w:val="0"/>
              <w:bidi w:val="0"/>
              <w:spacing w:before="0" w:beforeAutospacing="0" w:after="0" w:afterAutospacing="0"/>
              <w:ind w:left="0" w:right="0"/>
              <w:rPr>
                <w:rFonts w:hint="eastAsia"/>
              </w:rPr>
            </w:pPr>
            <w:r>
              <w:rPr>
                <w:rFonts w:hint="eastAsia"/>
              </w:rPr>
              <w:t>行业类别</w:t>
            </w:r>
          </w:p>
        </w:tc>
        <w:tc>
          <w:tcPr>
            <w:tcW w:w="2102" w:type="dxa"/>
            <w:noWrap w:val="0"/>
            <w:vAlign w:val="center"/>
          </w:tcPr>
          <w:p w14:paraId="0B1D6A98">
            <w:pPr>
              <w:pStyle w:val="40"/>
              <w:keepNext w:val="0"/>
              <w:keepLines w:val="0"/>
              <w:suppressLineNumbers w:val="0"/>
              <w:bidi w:val="0"/>
              <w:spacing w:before="0" w:beforeAutospacing="0" w:after="0" w:afterAutospacing="0"/>
              <w:ind w:left="0" w:right="0"/>
              <w:jc w:val="both"/>
              <w:rPr>
                <w:rFonts w:hint="eastAsia"/>
                <w:lang w:val="en-US" w:eastAsia="zh-CN"/>
              </w:rPr>
            </w:pPr>
            <w:r>
              <w:rPr>
                <w:rFonts w:hint="eastAsia"/>
                <w:lang w:val="en-US" w:eastAsia="zh-CN"/>
              </w:rPr>
              <w:t>C2929塑料零件及其他塑料制品制造</w:t>
            </w:r>
          </w:p>
          <w:p w14:paraId="6A5B0127">
            <w:pPr>
              <w:pStyle w:val="40"/>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C3360金属表面处理及热处理加工</w:t>
            </w:r>
          </w:p>
        </w:tc>
        <w:tc>
          <w:tcPr>
            <w:tcW w:w="1485" w:type="dxa"/>
            <w:noWrap w:val="0"/>
            <w:vAlign w:val="center"/>
          </w:tcPr>
          <w:p w14:paraId="1C7F3684">
            <w:pPr>
              <w:pStyle w:val="40"/>
              <w:keepNext w:val="0"/>
              <w:keepLines w:val="0"/>
              <w:suppressLineNumbers w:val="0"/>
              <w:bidi w:val="0"/>
              <w:spacing w:before="0" w:beforeAutospacing="0" w:after="0" w:afterAutospacing="0"/>
              <w:ind w:left="0" w:right="0"/>
              <w:rPr>
                <w:rFonts w:hint="eastAsia"/>
              </w:rPr>
            </w:pPr>
            <w:bookmarkStart w:id="7" w:name="_Hlk49843745"/>
            <w:r>
              <w:rPr>
                <w:rFonts w:hint="eastAsia"/>
              </w:rPr>
              <w:t>建设项目</w:t>
            </w:r>
          </w:p>
          <w:p w14:paraId="3ED7E37C">
            <w:pPr>
              <w:pStyle w:val="40"/>
              <w:keepNext w:val="0"/>
              <w:keepLines w:val="0"/>
              <w:suppressLineNumbers w:val="0"/>
              <w:bidi w:val="0"/>
              <w:spacing w:before="0" w:beforeAutospacing="0" w:after="0" w:afterAutospacing="0"/>
              <w:ind w:left="0" w:right="0"/>
              <w:rPr>
                <w:rFonts w:hint="eastAsia"/>
              </w:rPr>
            </w:pPr>
            <w:r>
              <w:rPr>
                <w:rFonts w:hint="eastAsia"/>
              </w:rPr>
              <w:t>行业类别</w:t>
            </w:r>
            <w:bookmarkEnd w:id="7"/>
          </w:p>
        </w:tc>
        <w:tc>
          <w:tcPr>
            <w:tcW w:w="3752" w:type="dxa"/>
            <w:noWrap w:val="0"/>
            <w:vAlign w:val="center"/>
          </w:tcPr>
          <w:p w14:paraId="07613796">
            <w:pPr>
              <w:pStyle w:val="40"/>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二十六、橡胶和塑料制品业 29 塑料制品业 292 其他（年用非溶剂型低VOCs含量涂料10吨以下的除外）</w:t>
            </w:r>
          </w:p>
          <w:p w14:paraId="70EB4BDA">
            <w:pPr>
              <w:pStyle w:val="40"/>
              <w:keepNext w:val="0"/>
              <w:keepLines w:val="0"/>
              <w:suppressLineNumbers w:val="0"/>
              <w:bidi w:val="0"/>
              <w:spacing w:before="0" w:beforeAutospacing="0" w:after="0" w:afterAutospacing="0"/>
              <w:ind w:left="0" w:right="0"/>
              <w:jc w:val="both"/>
              <w:rPr>
                <w:rFonts w:hint="default"/>
                <w:lang w:val="en-US" w:eastAsia="zh-CN"/>
              </w:rPr>
            </w:pPr>
            <w:r>
              <w:rPr>
                <w:rFonts w:hint="eastAsia"/>
                <w:lang w:val="en-US" w:eastAsia="zh-CN"/>
              </w:rPr>
              <w:t>三十、金属制品业 33 金属表面处理及热处理加工 其他（年用非溶剂型低VOCs含量涂料10吨以下的除外）</w:t>
            </w:r>
          </w:p>
        </w:tc>
      </w:tr>
      <w:tr w14:paraId="66451F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31" w:type="dxa"/>
            <w:noWrap w:val="0"/>
            <w:tcMar>
              <w:top w:w="16" w:type="dxa"/>
              <w:left w:w="16" w:type="dxa"/>
              <w:right w:w="16" w:type="dxa"/>
            </w:tcMar>
            <w:vAlign w:val="center"/>
          </w:tcPr>
          <w:p w14:paraId="67B019F9">
            <w:pPr>
              <w:pStyle w:val="40"/>
              <w:keepNext w:val="0"/>
              <w:keepLines w:val="0"/>
              <w:suppressLineNumbers w:val="0"/>
              <w:bidi w:val="0"/>
              <w:spacing w:before="0" w:beforeAutospacing="0" w:after="0" w:afterAutospacing="0"/>
              <w:ind w:left="0" w:right="0"/>
              <w:rPr>
                <w:rFonts w:hint="eastAsia"/>
              </w:rPr>
            </w:pPr>
            <w:r>
              <w:rPr>
                <w:rFonts w:hint="eastAsia"/>
              </w:rPr>
              <w:t>建设性质</w:t>
            </w:r>
          </w:p>
        </w:tc>
        <w:tc>
          <w:tcPr>
            <w:tcW w:w="2102" w:type="dxa"/>
            <w:noWrap w:val="0"/>
            <w:vAlign w:val="center"/>
          </w:tcPr>
          <w:p w14:paraId="2BEBAF28">
            <w:pPr>
              <w:pStyle w:val="40"/>
              <w:keepNext w:val="0"/>
              <w:keepLines w:val="0"/>
              <w:suppressLineNumbers w:val="0"/>
              <w:bidi w:val="0"/>
              <w:spacing w:before="0" w:beforeAutospacing="0" w:after="0" w:afterAutospacing="0"/>
              <w:ind w:left="0" w:right="0"/>
              <w:jc w:val="both"/>
              <w:rPr>
                <w:rFonts w:hint="eastAsia"/>
              </w:rPr>
            </w:pPr>
            <w:r>
              <w:rPr>
                <w:rFonts w:hint="eastAsia"/>
                <w:lang w:eastAsia="zh-CN"/>
              </w:rPr>
              <w:t>☑</w:t>
            </w:r>
            <w:r>
              <w:rPr>
                <w:rFonts w:hint="eastAsia"/>
              </w:rPr>
              <w:t>新建（迁建）</w:t>
            </w:r>
          </w:p>
          <w:p w14:paraId="3FF40F1A">
            <w:pPr>
              <w:pStyle w:val="40"/>
              <w:keepNext w:val="0"/>
              <w:keepLines w:val="0"/>
              <w:suppressLineNumbers w:val="0"/>
              <w:bidi w:val="0"/>
              <w:spacing w:before="0" w:beforeAutospacing="0" w:after="0" w:afterAutospacing="0"/>
              <w:ind w:left="0" w:right="0"/>
              <w:jc w:val="both"/>
              <w:rPr>
                <w:rFonts w:hint="eastAsia"/>
              </w:rPr>
            </w:pPr>
            <w:r>
              <w:rPr>
                <w:rFonts w:hint="eastAsia"/>
              </w:rPr>
              <w:t>□改建</w:t>
            </w:r>
          </w:p>
          <w:p w14:paraId="3528AA3F">
            <w:pPr>
              <w:pStyle w:val="40"/>
              <w:keepNext w:val="0"/>
              <w:keepLines w:val="0"/>
              <w:suppressLineNumbers w:val="0"/>
              <w:bidi w:val="0"/>
              <w:spacing w:before="0" w:beforeAutospacing="0" w:after="0" w:afterAutospacing="0"/>
              <w:ind w:left="0" w:right="0"/>
              <w:jc w:val="both"/>
              <w:rPr>
                <w:rFonts w:hint="eastAsia"/>
              </w:rPr>
            </w:pPr>
            <w:r>
              <w:rPr>
                <w:rFonts w:hint="eastAsia"/>
                <w:lang w:eastAsia="zh-CN"/>
              </w:rPr>
              <w:t>□</w:t>
            </w:r>
            <w:r>
              <w:rPr>
                <w:rFonts w:hint="eastAsia"/>
              </w:rPr>
              <w:t>扩建</w:t>
            </w:r>
          </w:p>
          <w:p w14:paraId="1677324E">
            <w:pPr>
              <w:pStyle w:val="40"/>
              <w:keepNext w:val="0"/>
              <w:keepLines w:val="0"/>
              <w:suppressLineNumbers w:val="0"/>
              <w:bidi w:val="0"/>
              <w:spacing w:before="0" w:beforeAutospacing="0" w:after="0" w:afterAutospacing="0"/>
              <w:ind w:left="0" w:right="0"/>
              <w:jc w:val="both"/>
              <w:rPr>
                <w:rFonts w:hint="eastAsia"/>
              </w:rPr>
            </w:pPr>
            <w:r>
              <w:rPr>
                <w:rFonts w:hint="eastAsia"/>
              </w:rPr>
              <w:t>□技术改造</w:t>
            </w:r>
          </w:p>
        </w:tc>
        <w:tc>
          <w:tcPr>
            <w:tcW w:w="1485" w:type="dxa"/>
            <w:noWrap w:val="0"/>
            <w:vAlign w:val="center"/>
          </w:tcPr>
          <w:p w14:paraId="33371F0E">
            <w:pPr>
              <w:pStyle w:val="40"/>
              <w:keepNext w:val="0"/>
              <w:keepLines w:val="0"/>
              <w:suppressLineNumbers w:val="0"/>
              <w:bidi w:val="0"/>
              <w:spacing w:before="0" w:beforeAutospacing="0" w:after="0" w:afterAutospacing="0"/>
              <w:ind w:left="0" w:right="0"/>
              <w:rPr>
                <w:rFonts w:hint="eastAsia"/>
              </w:rPr>
            </w:pPr>
            <w:r>
              <w:rPr>
                <w:rFonts w:hint="eastAsia"/>
              </w:rPr>
              <w:t>建设项目</w:t>
            </w:r>
          </w:p>
          <w:p w14:paraId="058BD897">
            <w:pPr>
              <w:pStyle w:val="40"/>
              <w:keepNext w:val="0"/>
              <w:keepLines w:val="0"/>
              <w:suppressLineNumbers w:val="0"/>
              <w:bidi w:val="0"/>
              <w:spacing w:before="0" w:beforeAutospacing="0" w:after="0" w:afterAutospacing="0"/>
              <w:ind w:left="0" w:right="0"/>
              <w:rPr>
                <w:rFonts w:hint="eastAsia"/>
              </w:rPr>
            </w:pPr>
            <w:r>
              <w:rPr>
                <w:rFonts w:hint="eastAsia"/>
              </w:rPr>
              <w:t>申报情形</w:t>
            </w:r>
          </w:p>
        </w:tc>
        <w:tc>
          <w:tcPr>
            <w:tcW w:w="3752" w:type="dxa"/>
            <w:noWrap w:val="0"/>
            <w:vAlign w:val="center"/>
          </w:tcPr>
          <w:p w14:paraId="568BA541">
            <w:pPr>
              <w:pStyle w:val="40"/>
              <w:keepNext w:val="0"/>
              <w:keepLines w:val="0"/>
              <w:suppressLineNumbers w:val="0"/>
              <w:bidi w:val="0"/>
              <w:spacing w:before="0" w:beforeAutospacing="0" w:after="0" w:afterAutospacing="0"/>
              <w:ind w:left="0" w:right="0"/>
              <w:jc w:val="both"/>
              <w:rPr>
                <w:rFonts w:hint="eastAsia"/>
              </w:rPr>
            </w:pPr>
            <w:r>
              <w:rPr>
                <w:rFonts w:hint="eastAsia"/>
              </w:rPr>
              <w:t xml:space="preserve">√首次申报项目             </w:t>
            </w:r>
          </w:p>
          <w:p w14:paraId="7246C598">
            <w:pPr>
              <w:pStyle w:val="40"/>
              <w:keepNext w:val="0"/>
              <w:keepLines w:val="0"/>
              <w:suppressLineNumbers w:val="0"/>
              <w:bidi w:val="0"/>
              <w:spacing w:before="0" w:beforeAutospacing="0" w:after="0" w:afterAutospacing="0"/>
              <w:ind w:left="0" w:right="0"/>
              <w:jc w:val="both"/>
              <w:rPr>
                <w:rFonts w:hint="eastAsia"/>
              </w:rPr>
            </w:pPr>
            <w:r>
              <w:rPr>
                <w:rFonts w:hint="eastAsia"/>
              </w:rPr>
              <w:t>□不予批准后再次申报项目</w:t>
            </w:r>
          </w:p>
          <w:p w14:paraId="131B282C">
            <w:pPr>
              <w:pStyle w:val="40"/>
              <w:keepNext w:val="0"/>
              <w:keepLines w:val="0"/>
              <w:suppressLineNumbers w:val="0"/>
              <w:bidi w:val="0"/>
              <w:spacing w:before="0" w:beforeAutospacing="0" w:after="0" w:afterAutospacing="0"/>
              <w:ind w:left="0" w:right="0"/>
              <w:jc w:val="both"/>
              <w:rPr>
                <w:rFonts w:hint="eastAsia"/>
              </w:rPr>
            </w:pPr>
            <w:r>
              <w:rPr>
                <w:rFonts w:hint="eastAsia"/>
              </w:rPr>
              <w:t xml:space="preserve">□超五年重新审核项目     </w:t>
            </w:r>
          </w:p>
          <w:p w14:paraId="26536AE1">
            <w:pPr>
              <w:pStyle w:val="40"/>
              <w:keepNext w:val="0"/>
              <w:keepLines w:val="0"/>
              <w:suppressLineNumbers w:val="0"/>
              <w:bidi w:val="0"/>
              <w:spacing w:before="0" w:beforeAutospacing="0" w:after="0" w:afterAutospacing="0"/>
              <w:ind w:left="0" w:right="0"/>
              <w:jc w:val="both"/>
              <w:rPr>
                <w:rFonts w:hint="eastAsia"/>
              </w:rPr>
            </w:pPr>
            <w:r>
              <w:rPr>
                <w:rFonts w:hint="eastAsia"/>
              </w:rPr>
              <w:t>□重大变动重新报批项目</w:t>
            </w:r>
          </w:p>
        </w:tc>
      </w:tr>
      <w:tr w14:paraId="0EEA3F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31" w:type="dxa"/>
            <w:noWrap w:val="0"/>
            <w:tcMar>
              <w:top w:w="16" w:type="dxa"/>
              <w:left w:w="16" w:type="dxa"/>
              <w:right w:w="16" w:type="dxa"/>
            </w:tcMar>
            <w:vAlign w:val="center"/>
          </w:tcPr>
          <w:p w14:paraId="26612CC4">
            <w:pPr>
              <w:pStyle w:val="40"/>
              <w:keepNext w:val="0"/>
              <w:keepLines w:val="0"/>
              <w:suppressLineNumbers w:val="0"/>
              <w:bidi w:val="0"/>
              <w:spacing w:before="0" w:beforeAutospacing="0" w:after="0" w:afterAutospacing="0"/>
              <w:ind w:left="0" w:right="0"/>
              <w:rPr>
                <w:rFonts w:hint="eastAsia"/>
              </w:rPr>
            </w:pPr>
            <w:r>
              <w:rPr>
                <w:rFonts w:hint="eastAsia"/>
              </w:rPr>
              <w:t>项目审批（核准/备案）部门（选填）</w:t>
            </w:r>
          </w:p>
        </w:tc>
        <w:tc>
          <w:tcPr>
            <w:tcW w:w="2102" w:type="dxa"/>
            <w:noWrap w:val="0"/>
            <w:vAlign w:val="center"/>
          </w:tcPr>
          <w:p w14:paraId="3B64DDDD">
            <w:pPr>
              <w:pStyle w:val="40"/>
              <w:keepNext w:val="0"/>
              <w:keepLines w:val="0"/>
              <w:suppressLineNumbers w:val="0"/>
              <w:bidi w:val="0"/>
              <w:spacing w:before="0" w:beforeAutospacing="0" w:after="0" w:afterAutospacing="0"/>
              <w:ind w:left="0" w:right="0"/>
              <w:jc w:val="center"/>
              <w:rPr>
                <w:rFonts w:hint="eastAsia"/>
                <w:lang w:val="en-US" w:eastAsia="zh-CN"/>
              </w:rPr>
            </w:pPr>
            <w:r>
              <w:rPr>
                <w:rFonts w:hint="eastAsia"/>
                <w:lang w:val="en-US" w:eastAsia="zh-CN"/>
              </w:rPr>
              <w:t>福清市发展和改革局</w:t>
            </w:r>
          </w:p>
        </w:tc>
        <w:tc>
          <w:tcPr>
            <w:tcW w:w="1485" w:type="dxa"/>
            <w:noWrap w:val="0"/>
            <w:vAlign w:val="center"/>
          </w:tcPr>
          <w:p w14:paraId="5BB4E872">
            <w:pPr>
              <w:pStyle w:val="40"/>
              <w:keepNext w:val="0"/>
              <w:keepLines w:val="0"/>
              <w:suppressLineNumbers w:val="0"/>
              <w:bidi w:val="0"/>
              <w:spacing w:before="0" w:beforeAutospacing="0" w:after="0" w:afterAutospacing="0"/>
              <w:ind w:left="0" w:right="0"/>
              <w:rPr>
                <w:rFonts w:hint="eastAsia"/>
              </w:rPr>
            </w:pPr>
            <w:r>
              <w:rPr>
                <w:rFonts w:hint="eastAsia"/>
              </w:rPr>
              <w:t>项目审批（核准/备案）文号（选填）</w:t>
            </w:r>
          </w:p>
        </w:tc>
        <w:tc>
          <w:tcPr>
            <w:tcW w:w="3752" w:type="dxa"/>
            <w:noWrap w:val="0"/>
            <w:vAlign w:val="center"/>
          </w:tcPr>
          <w:p w14:paraId="2962E949">
            <w:pPr>
              <w:pStyle w:val="40"/>
              <w:keepNext w:val="0"/>
              <w:keepLines w:val="0"/>
              <w:suppressLineNumbers w:val="0"/>
              <w:bidi w:val="0"/>
              <w:spacing w:before="0" w:beforeAutospacing="0" w:after="0" w:afterAutospacing="0"/>
              <w:ind w:left="0" w:right="0"/>
              <w:jc w:val="center"/>
              <w:rPr>
                <w:rFonts w:hint="default"/>
                <w:lang w:val="en-US" w:eastAsia="zh-CN"/>
              </w:rPr>
            </w:pPr>
            <w:r>
              <w:rPr>
                <w:rFonts w:hint="eastAsia"/>
                <w:lang w:val="en-US" w:eastAsia="zh-CN"/>
              </w:rPr>
              <w:t>闽发改备〔2026〕A060034号</w:t>
            </w:r>
          </w:p>
        </w:tc>
      </w:tr>
      <w:tr w14:paraId="0003CA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2" w:hRule="atLeast"/>
          <w:jc w:val="center"/>
        </w:trPr>
        <w:tc>
          <w:tcPr>
            <w:tcW w:w="1531" w:type="dxa"/>
            <w:noWrap w:val="0"/>
            <w:tcMar>
              <w:top w:w="16" w:type="dxa"/>
              <w:left w:w="16" w:type="dxa"/>
              <w:right w:w="16" w:type="dxa"/>
            </w:tcMar>
            <w:vAlign w:val="center"/>
          </w:tcPr>
          <w:p w14:paraId="5D7E7F1D">
            <w:pPr>
              <w:pStyle w:val="40"/>
              <w:keepNext w:val="0"/>
              <w:keepLines w:val="0"/>
              <w:suppressLineNumbers w:val="0"/>
              <w:bidi w:val="0"/>
              <w:spacing w:before="0" w:beforeAutospacing="0" w:after="0" w:afterAutospacing="0"/>
              <w:ind w:left="0" w:right="0"/>
              <w:rPr>
                <w:rFonts w:hint="eastAsia"/>
              </w:rPr>
            </w:pPr>
            <w:r>
              <w:rPr>
                <w:rFonts w:hint="eastAsia"/>
              </w:rPr>
              <w:t>总投资（万元）</w:t>
            </w:r>
          </w:p>
        </w:tc>
        <w:tc>
          <w:tcPr>
            <w:tcW w:w="2102" w:type="dxa"/>
            <w:noWrap w:val="0"/>
            <w:vAlign w:val="center"/>
          </w:tcPr>
          <w:p w14:paraId="6A7544C9">
            <w:pPr>
              <w:pStyle w:val="40"/>
              <w:keepNext w:val="0"/>
              <w:keepLines w:val="0"/>
              <w:suppressLineNumbers w:val="0"/>
              <w:bidi w:val="0"/>
              <w:spacing w:before="0" w:beforeAutospacing="0" w:after="0" w:afterAutospacing="0"/>
              <w:ind w:left="0" w:right="0"/>
              <w:jc w:val="center"/>
              <w:rPr>
                <w:rFonts w:hint="default"/>
                <w:lang w:val="en-US" w:eastAsia="zh-CN"/>
              </w:rPr>
            </w:pPr>
            <w:r>
              <w:rPr>
                <w:rFonts w:hint="eastAsia"/>
                <w:lang w:val="en-US" w:eastAsia="zh-CN"/>
              </w:rPr>
              <w:t>120</w:t>
            </w:r>
          </w:p>
        </w:tc>
        <w:tc>
          <w:tcPr>
            <w:tcW w:w="1485" w:type="dxa"/>
            <w:noWrap w:val="0"/>
            <w:tcMar>
              <w:top w:w="16" w:type="dxa"/>
              <w:left w:w="16" w:type="dxa"/>
              <w:right w:w="16" w:type="dxa"/>
            </w:tcMar>
            <w:vAlign w:val="center"/>
          </w:tcPr>
          <w:p w14:paraId="546E78EB">
            <w:pPr>
              <w:pStyle w:val="40"/>
              <w:keepNext w:val="0"/>
              <w:keepLines w:val="0"/>
              <w:suppressLineNumbers w:val="0"/>
              <w:bidi w:val="0"/>
              <w:spacing w:before="0" w:beforeAutospacing="0" w:after="0" w:afterAutospacing="0"/>
              <w:ind w:left="0" w:right="0"/>
              <w:rPr>
                <w:rFonts w:hint="eastAsia"/>
              </w:rPr>
            </w:pPr>
            <w:r>
              <w:rPr>
                <w:rFonts w:hint="eastAsia"/>
              </w:rPr>
              <w:t>环保投资（万元）</w:t>
            </w:r>
          </w:p>
        </w:tc>
        <w:tc>
          <w:tcPr>
            <w:tcW w:w="3752" w:type="dxa"/>
            <w:noWrap w:val="0"/>
            <w:vAlign w:val="center"/>
          </w:tcPr>
          <w:p w14:paraId="67279B12">
            <w:pPr>
              <w:pStyle w:val="40"/>
              <w:keepNext w:val="0"/>
              <w:keepLines w:val="0"/>
              <w:suppressLineNumbers w:val="0"/>
              <w:bidi w:val="0"/>
              <w:spacing w:before="0" w:beforeAutospacing="0" w:after="0" w:afterAutospacing="0"/>
              <w:ind w:left="0" w:right="0"/>
              <w:jc w:val="center"/>
              <w:rPr>
                <w:rFonts w:hint="default"/>
                <w:lang w:val="en-US" w:eastAsia="zh-CN"/>
              </w:rPr>
            </w:pPr>
            <w:r>
              <w:rPr>
                <w:rFonts w:hint="eastAsia"/>
                <w:lang w:val="en-US" w:eastAsia="zh-CN"/>
              </w:rPr>
              <w:t>30</w:t>
            </w:r>
          </w:p>
        </w:tc>
      </w:tr>
      <w:tr w14:paraId="0DBA71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1" w:type="dxa"/>
            <w:noWrap w:val="0"/>
            <w:tcMar>
              <w:top w:w="16" w:type="dxa"/>
              <w:left w:w="16" w:type="dxa"/>
              <w:right w:w="16" w:type="dxa"/>
            </w:tcMar>
            <w:vAlign w:val="center"/>
          </w:tcPr>
          <w:p w14:paraId="47050E81">
            <w:pPr>
              <w:pStyle w:val="40"/>
              <w:keepNext w:val="0"/>
              <w:keepLines w:val="0"/>
              <w:suppressLineNumbers w:val="0"/>
              <w:bidi w:val="0"/>
              <w:spacing w:before="0" w:beforeAutospacing="0" w:after="0" w:afterAutospacing="0"/>
              <w:ind w:left="0" w:right="0"/>
              <w:rPr>
                <w:rFonts w:hint="eastAsia"/>
              </w:rPr>
            </w:pPr>
            <w:r>
              <w:rPr>
                <w:rFonts w:hint="eastAsia"/>
              </w:rPr>
              <w:t>环保投资占比（%）</w:t>
            </w:r>
          </w:p>
        </w:tc>
        <w:tc>
          <w:tcPr>
            <w:tcW w:w="2102" w:type="dxa"/>
            <w:noWrap w:val="0"/>
            <w:vAlign w:val="center"/>
          </w:tcPr>
          <w:p w14:paraId="7342B25C">
            <w:pPr>
              <w:pStyle w:val="40"/>
              <w:keepNext w:val="0"/>
              <w:keepLines w:val="0"/>
              <w:suppressLineNumbers w:val="0"/>
              <w:bidi w:val="0"/>
              <w:spacing w:before="0" w:beforeAutospacing="0" w:after="0" w:afterAutospacing="0"/>
              <w:ind w:left="0" w:right="0"/>
              <w:jc w:val="center"/>
              <w:rPr>
                <w:rFonts w:hint="default"/>
                <w:lang w:val="en-US" w:eastAsia="zh-CN"/>
              </w:rPr>
            </w:pPr>
            <w:r>
              <w:rPr>
                <w:rFonts w:hint="eastAsia"/>
                <w:lang w:val="en-US" w:eastAsia="zh-CN"/>
              </w:rPr>
              <w:t>25</w:t>
            </w:r>
          </w:p>
        </w:tc>
        <w:tc>
          <w:tcPr>
            <w:tcW w:w="1485" w:type="dxa"/>
            <w:noWrap w:val="0"/>
            <w:tcMar>
              <w:top w:w="16" w:type="dxa"/>
              <w:left w:w="16" w:type="dxa"/>
              <w:right w:w="16" w:type="dxa"/>
            </w:tcMar>
            <w:vAlign w:val="center"/>
          </w:tcPr>
          <w:p w14:paraId="2C2F263A">
            <w:pPr>
              <w:pStyle w:val="40"/>
              <w:keepNext w:val="0"/>
              <w:keepLines w:val="0"/>
              <w:suppressLineNumbers w:val="0"/>
              <w:bidi w:val="0"/>
              <w:spacing w:before="0" w:beforeAutospacing="0" w:after="0" w:afterAutospacing="0"/>
              <w:ind w:left="0" w:right="0"/>
              <w:rPr>
                <w:rFonts w:hint="eastAsia"/>
              </w:rPr>
            </w:pPr>
            <w:r>
              <w:rPr>
                <w:rFonts w:hint="eastAsia"/>
              </w:rPr>
              <w:t>施工工期</w:t>
            </w:r>
          </w:p>
        </w:tc>
        <w:tc>
          <w:tcPr>
            <w:tcW w:w="3752" w:type="dxa"/>
            <w:noWrap w:val="0"/>
            <w:vAlign w:val="center"/>
          </w:tcPr>
          <w:p w14:paraId="31C87388">
            <w:pPr>
              <w:pStyle w:val="40"/>
              <w:keepNext w:val="0"/>
              <w:keepLines w:val="0"/>
              <w:suppressLineNumbers w:val="0"/>
              <w:bidi w:val="0"/>
              <w:spacing w:before="0" w:beforeAutospacing="0" w:after="0" w:afterAutospacing="0"/>
              <w:ind w:left="0" w:right="0"/>
              <w:jc w:val="center"/>
              <w:rPr>
                <w:rFonts w:hint="default"/>
                <w:lang w:val="en-US" w:eastAsia="zh-CN"/>
              </w:rPr>
            </w:pPr>
            <w:r>
              <w:rPr>
                <w:rFonts w:hint="eastAsia"/>
                <w:lang w:val="en-US" w:eastAsia="zh-CN"/>
              </w:rPr>
              <w:t>10个月</w:t>
            </w:r>
          </w:p>
        </w:tc>
      </w:tr>
      <w:tr w14:paraId="4EF622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31" w:type="dxa"/>
            <w:noWrap w:val="0"/>
            <w:tcMar>
              <w:top w:w="16" w:type="dxa"/>
              <w:left w:w="16" w:type="dxa"/>
              <w:right w:w="16" w:type="dxa"/>
            </w:tcMar>
            <w:vAlign w:val="center"/>
          </w:tcPr>
          <w:p w14:paraId="2AA9E0D7">
            <w:pPr>
              <w:pStyle w:val="40"/>
              <w:keepNext w:val="0"/>
              <w:keepLines w:val="0"/>
              <w:suppressLineNumbers w:val="0"/>
              <w:bidi w:val="0"/>
              <w:spacing w:before="0" w:beforeAutospacing="0" w:after="0" w:afterAutospacing="0"/>
              <w:ind w:left="0" w:right="0"/>
              <w:rPr>
                <w:rFonts w:hint="eastAsia"/>
              </w:rPr>
            </w:pPr>
            <w:r>
              <w:rPr>
                <w:rFonts w:hint="eastAsia"/>
              </w:rPr>
              <w:t>是否开工建设</w:t>
            </w:r>
          </w:p>
        </w:tc>
        <w:tc>
          <w:tcPr>
            <w:tcW w:w="2102" w:type="dxa"/>
            <w:noWrap w:val="0"/>
            <w:vAlign w:val="center"/>
          </w:tcPr>
          <w:p w14:paraId="00CA89A1">
            <w:pPr>
              <w:pStyle w:val="40"/>
              <w:keepNext w:val="0"/>
              <w:keepLines w:val="0"/>
              <w:suppressLineNumbers w:val="0"/>
              <w:bidi w:val="0"/>
              <w:spacing w:before="0" w:beforeAutospacing="0" w:after="0" w:afterAutospacing="0"/>
              <w:ind w:left="0" w:right="0"/>
              <w:jc w:val="both"/>
              <w:rPr>
                <w:rFonts w:hint="eastAsia"/>
              </w:rPr>
            </w:pPr>
            <w:r>
              <w:rPr>
                <w:rFonts w:hint="eastAsia"/>
              </w:rPr>
              <w:t>√否</w:t>
            </w:r>
          </w:p>
          <w:p w14:paraId="2A526590">
            <w:pPr>
              <w:pStyle w:val="40"/>
              <w:keepNext w:val="0"/>
              <w:keepLines w:val="0"/>
              <w:suppressLineNumbers w:val="0"/>
              <w:bidi w:val="0"/>
              <w:spacing w:before="0" w:beforeAutospacing="0" w:after="0" w:afterAutospacing="0"/>
              <w:ind w:left="0" w:right="0"/>
              <w:jc w:val="both"/>
              <w:rPr>
                <w:rFonts w:hint="eastAsia"/>
              </w:rPr>
            </w:pPr>
            <w:r>
              <w:rPr>
                <w:rFonts w:hint="eastAsia"/>
              </w:rPr>
              <w:t xml:space="preserve">□是：     </w:t>
            </w:r>
          </w:p>
        </w:tc>
        <w:tc>
          <w:tcPr>
            <w:tcW w:w="1485" w:type="dxa"/>
            <w:noWrap w:val="0"/>
            <w:tcMar>
              <w:top w:w="16" w:type="dxa"/>
              <w:left w:w="16" w:type="dxa"/>
              <w:right w:w="16" w:type="dxa"/>
            </w:tcMar>
            <w:vAlign w:val="center"/>
          </w:tcPr>
          <w:p w14:paraId="50528CFF">
            <w:pPr>
              <w:pStyle w:val="40"/>
              <w:keepNext w:val="0"/>
              <w:keepLines w:val="0"/>
              <w:suppressLineNumbers w:val="0"/>
              <w:bidi w:val="0"/>
              <w:spacing w:before="0" w:beforeAutospacing="0" w:after="0" w:afterAutospacing="0"/>
              <w:ind w:left="0" w:right="0"/>
              <w:rPr>
                <w:rFonts w:hint="eastAsia"/>
              </w:rPr>
            </w:pPr>
            <w:r>
              <w:rPr>
                <w:rFonts w:hint="eastAsia"/>
              </w:rPr>
              <w:t>用地（用海）</w:t>
            </w:r>
          </w:p>
          <w:p w14:paraId="0B2302A3">
            <w:pPr>
              <w:pStyle w:val="40"/>
              <w:keepNext w:val="0"/>
              <w:keepLines w:val="0"/>
              <w:suppressLineNumbers w:val="0"/>
              <w:bidi w:val="0"/>
              <w:spacing w:before="0" w:beforeAutospacing="0" w:after="0" w:afterAutospacing="0"/>
              <w:ind w:left="0" w:right="0"/>
              <w:rPr>
                <w:rFonts w:hint="eastAsia"/>
              </w:rPr>
            </w:pPr>
            <w:r>
              <w:rPr>
                <w:rFonts w:hint="eastAsia"/>
              </w:rPr>
              <w:t>面积（m</w:t>
            </w:r>
            <w:r>
              <w:rPr>
                <w:rFonts w:hint="eastAsia"/>
                <w:vertAlign w:val="superscript"/>
              </w:rPr>
              <w:t>2</w:t>
            </w:r>
            <w:r>
              <w:rPr>
                <w:rFonts w:hint="eastAsia"/>
              </w:rPr>
              <w:t>）</w:t>
            </w:r>
          </w:p>
        </w:tc>
        <w:tc>
          <w:tcPr>
            <w:tcW w:w="3752" w:type="dxa"/>
            <w:noWrap w:val="0"/>
            <w:vAlign w:val="center"/>
          </w:tcPr>
          <w:p w14:paraId="4D8994EF">
            <w:pPr>
              <w:pStyle w:val="40"/>
              <w:keepNext w:val="0"/>
              <w:keepLines w:val="0"/>
              <w:suppressLineNumbers w:val="0"/>
              <w:bidi w:val="0"/>
              <w:spacing w:before="0" w:beforeAutospacing="0" w:after="0" w:afterAutospacing="0"/>
              <w:ind w:left="0" w:right="0"/>
              <w:jc w:val="center"/>
              <w:rPr>
                <w:rFonts w:hint="default"/>
                <w:lang w:val="en-US" w:eastAsia="zh-CN"/>
              </w:rPr>
            </w:pPr>
            <w:r>
              <w:rPr>
                <w:rFonts w:hint="eastAsia"/>
              </w:rPr>
              <w:t>租赁厂房面积</w:t>
            </w:r>
            <w:r>
              <w:rPr>
                <w:rFonts w:hint="eastAsia"/>
                <w:lang w:val="en-US" w:eastAsia="zh-CN"/>
              </w:rPr>
              <w:t>2212.46</w:t>
            </w:r>
            <w:r>
              <w:rPr>
                <w:rFonts w:hint="eastAsia"/>
              </w:rPr>
              <w:t>m</w:t>
            </w:r>
            <w:r>
              <w:rPr>
                <w:rFonts w:hint="eastAsia"/>
                <w:vertAlign w:val="superscript"/>
              </w:rPr>
              <w:t>2</w:t>
            </w:r>
          </w:p>
        </w:tc>
      </w:tr>
      <w:tr w14:paraId="6BA0D9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531" w:type="dxa"/>
            <w:noWrap w:val="0"/>
            <w:vAlign w:val="center"/>
          </w:tcPr>
          <w:p w14:paraId="2249C880">
            <w:pPr>
              <w:pStyle w:val="40"/>
              <w:keepNext w:val="0"/>
              <w:keepLines w:val="0"/>
              <w:suppressLineNumbers w:val="0"/>
              <w:bidi w:val="0"/>
              <w:spacing w:before="0" w:beforeAutospacing="0" w:after="0" w:afterAutospacing="0"/>
              <w:ind w:left="0" w:right="0"/>
              <w:rPr>
                <w:rFonts w:hint="eastAsia"/>
              </w:rPr>
            </w:pPr>
            <w:r>
              <w:rPr>
                <w:rFonts w:hint="eastAsia"/>
              </w:rPr>
              <w:t>专项评价设置情况</w:t>
            </w:r>
          </w:p>
        </w:tc>
        <w:tc>
          <w:tcPr>
            <w:tcW w:w="7339" w:type="dxa"/>
            <w:gridSpan w:val="3"/>
            <w:noWrap w:val="0"/>
            <w:vAlign w:val="center"/>
          </w:tcPr>
          <w:p w14:paraId="6570189A">
            <w:pPr>
              <w:keepNext w:val="0"/>
              <w:keepLines w:val="0"/>
              <w:suppressLineNumbers w:val="0"/>
              <w:bidi w:val="0"/>
              <w:spacing w:before="0" w:beforeAutospacing="0" w:after="0" w:afterAutospacing="0"/>
              <w:ind w:left="0" w:right="0"/>
              <w:rPr>
                <w:rFonts w:hint="eastAsia"/>
                <w:b w:val="0"/>
                <w:bCs w:val="0"/>
                <w:iCs w:val="0"/>
                <w:color w:val="auto"/>
              </w:rPr>
            </w:pPr>
            <w:r>
              <w:rPr>
                <w:rFonts w:hint="eastAsia"/>
                <w:b w:val="0"/>
                <w:bCs w:val="0"/>
                <w:iCs w:val="0"/>
              </w:rPr>
              <w:t>根据《建设项目环境影响报告表编制技术指南（污染影响类试行）》，项目工程专项设置情况参照专项评价设置原则表，项目不设置专项评价，具体详见表1</w:t>
            </w:r>
            <w:r>
              <w:rPr>
                <w:rFonts w:hint="eastAsia"/>
                <w:b w:val="0"/>
                <w:bCs w:val="0"/>
                <w:iCs w:val="0"/>
                <w:lang w:val="en-US" w:eastAsia="zh-CN"/>
              </w:rPr>
              <w:t>.1</w:t>
            </w:r>
            <w:r>
              <w:rPr>
                <w:rFonts w:hint="eastAsia"/>
                <w:b w:val="0"/>
                <w:bCs w:val="0"/>
                <w:iCs w:val="0"/>
              </w:rPr>
              <w:t>-1。</w:t>
            </w:r>
          </w:p>
          <w:p w14:paraId="08959414">
            <w:pPr>
              <w:pStyle w:val="39"/>
              <w:keepNext w:val="0"/>
              <w:keepLines w:val="0"/>
              <w:suppressLineNumbers w:val="0"/>
              <w:bidi w:val="0"/>
              <w:spacing w:before="0" w:beforeAutospacing="0" w:after="0" w:afterAutospacing="0"/>
              <w:ind w:left="0" w:right="0"/>
              <w:rPr>
                <w:rFonts w:hint="eastAsia"/>
              </w:rPr>
            </w:pPr>
            <w:r>
              <w:rPr>
                <w:rFonts w:hint="eastAsia"/>
              </w:rPr>
              <w:t>表1</w:t>
            </w:r>
            <w:r>
              <w:rPr>
                <w:rFonts w:hint="eastAsia"/>
                <w:lang w:val="en-US" w:eastAsia="zh-CN"/>
              </w:rPr>
              <w:t>.1</w:t>
            </w:r>
            <w:r>
              <w:rPr>
                <w:rFonts w:hint="eastAsia"/>
              </w:rPr>
              <w:t>-1  专项评价设置表</w:t>
            </w:r>
          </w:p>
          <w:tbl>
            <w:tblPr>
              <w:tblStyle w:val="30"/>
              <w:tblW w:w="67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2557"/>
              <w:gridCol w:w="2171"/>
              <w:gridCol w:w="905"/>
            </w:tblGrid>
            <w:tr w14:paraId="50402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127" w:type="dxa"/>
                  <w:tcBorders>
                    <w:top w:val="single" w:color="auto" w:sz="12" w:space="0"/>
                    <w:left w:val="nil"/>
                    <w:bottom w:val="single" w:color="auto" w:sz="4" w:space="0"/>
                    <w:right w:val="single" w:color="auto" w:sz="4" w:space="0"/>
                  </w:tcBorders>
                  <w:vAlign w:val="center"/>
                </w:tcPr>
                <w:p w14:paraId="5A90F67B">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专项评价类别</w:t>
                  </w:r>
                </w:p>
              </w:tc>
              <w:tc>
                <w:tcPr>
                  <w:tcW w:w="2557" w:type="dxa"/>
                  <w:tcBorders>
                    <w:top w:val="single" w:color="auto" w:sz="12" w:space="0"/>
                    <w:left w:val="single" w:color="auto" w:sz="4" w:space="0"/>
                    <w:bottom w:val="single" w:color="auto" w:sz="4" w:space="0"/>
                    <w:right w:val="single" w:color="auto" w:sz="4" w:space="0"/>
                  </w:tcBorders>
                  <w:vAlign w:val="center"/>
                </w:tcPr>
                <w:p w14:paraId="3C83BF64">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设置原则</w:t>
                  </w:r>
                </w:p>
              </w:tc>
              <w:tc>
                <w:tcPr>
                  <w:tcW w:w="2171" w:type="dxa"/>
                  <w:tcBorders>
                    <w:top w:val="single" w:color="auto" w:sz="12" w:space="0"/>
                    <w:left w:val="single" w:color="auto" w:sz="4" w:space="0"/>
                    <w:bottom w:val="single" w:color="auto" w:sz="4" w:space="0"/>
                    <w:right w:val="single" w:color="auto" w:sz="4" w:space="0"/>
                  </w:tcBorders>
                  <w:vAlign w:val="center"/>
                </w:tcPr>
                <w:p w14:paraId="58916783">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本项目情况</w:t>
                  </w:r>
                </w:p>
              </w:tc>
              <w:tc>
                <w:tcPr>
                  <w:tcW w:w="905" w:type="dxa"/>
                  <w:tcBorders>
                    <w:top w:val="single" w:color="auto" w:sz="12" w:space="0"/>
                    <w:left w:val="single" w:color="auto" w:sz="4" w:space="0"/>
                    <w:bottom w:val="single" w:color="auto" w:sz="4" w:space="0"/>
                    <w:right w:val="nil"/>
                  </w:tcBorders>
                  <w:vAlign w:val="center"/>
                </w:tcPr>
                <w:p w14:paraId="223A3EC4">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是否设置专项评价</w:t>
                  </w:r>
                </w:p>
              </w:tc>
            </w:tr>
            <w:tr w14:paraId="4CF4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127" w:type="dxa"/>
                  <w:tcBorders>
                    <w:top w:val="single" w:color="auto" w:sz="4" w:space="0"/>
                    <w:left w:val="nil"/>
                    <w:bottom w:val="single" w:color="auto" w:sz="4" w:space="0"/>
                    <w:right w:val="single" w:color="auto" w:sz="4" w:space="0"/>
                  </w:tcBorders>
                  <w:vAlign w:val="center"/>
                </w:tcPr>
                <w:p w14:paraId="3DBEFD60">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大气</w:t>
                  </w:r>
                </w:p>
              </w:tc>
              <w:tc>
                <w:tcPr>
                  <w:tcW w:w="2557" w:type="dxa"/>
                  <w:tcBorders>
                    <w:top w:val="single" w:color="auto" w:sz="4" w:space="0"/>
                    <w:left w:val="single" w:color="auto" w:sz="4" w:space="0"/>
                    <w:bottom w:val="single" w:color="auto" w:sz="4" w:space="0"/>
                    <w:right w:val="single" w:color="auto" w:sz="4" w:space="0"/>
                  </w:tcBorders>
                  <w:vAlign w:val="center"/>
                </w:tcPr>
                <w:p w14:paraId="652768C1">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排放废气含有毒有害污染物1、二噁英、苯并[a]芘、氰化物、氯气且厂界外</w:t>
                  </w:r>
                  <w:r>
                    <w:rPr>
                      <w:rFonts w:hint="eastAsia"/>
                      <w:b w:val="0"/>
                      <w:bCs w:val="0"/>
                      <w:szCs w:val="22"/>
                      <w:lang w:eastAsia="zh-CN"/>
                    </w:rPr>
                    <w:t>50</w:t>
                  </w:r>
                  <w:r>
                    <w:rPr>
                      <w:rFonts w:hint="eastAsia"/>
                      <w:b w:val="0"/>
                      <w:bCs w:val="0"/>
                      <w:szCs w:val="22"/>
                    </w:rPr>
                    <w:t>0米范围内有环境空气保护目标2的建设项目。</w:t>
                  </w:r>
                </w:p>
              </w:tc>
              <w:tc>
                <w:tcPr>
                  <w:tcW w:w="2171" w:type="dxa"/>
                  <w:tcBorders>
                    <w:top w:val="single" w:color="auto" w:sz="4" w:space="0"/>
                    <w:left w:val="single" w:color="auto" w:sz="4" w:space="0"/>
                    <w:bottom w:val="single" w:color="auto" w:sz="4" w:space="0"/>
                    <w:right w:val="single" w:color="auto" w:sz="4" w:space="0"/>
                  </w:tcBorders>
                  <w:vAlign w:val="center"/>
                </w:tcPr>
                <w:p w14:paraId="7B30351E">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项目排放废气</w:t>
                  </w:r>
                  <w:r>
                    <w:rPr>
                      <w:rFonts w:hint="eastAsia"/>
                      <w:b w:val="0"/>
                      <w:bCs w:val="0"/>
                      <w:szCs w:val="22"/>
                      <w:lang w:val="en-US" w:eastAsia="zh-CN"/>
                    </w:rPr>
                    <w:t>主要为非甲烷总烃及颗粒物，</w:t>
                  </w:r>
                  <w:r>
                    <w:rPr>
                      <w:rFonts w:hint="eastAsia"/>
                      <w:b w:val="0"/>
                      <w:bCs w:val="0"/>
                      <w:szCs w:val="22"/>
                    </w:rPr>
                    <w:t>不含有毒有害污染物1、二噁英苯并[a]芘、氰化物、氯气。</w:t>
                  </w:r>
                </w:p>
              </w:tc>
              <w:tc>
                <w:tcPr>
                  <w:tcW w:w="905" w:type="dxa"/>
                  <w:tcBorders>
                    <w:top w:val="single" w:color="auto" w:sz="4" w:space="0"/>
                    <w:left w:val="single" w:color="auto" w:sz="4" w:space="0"/>
                    <w:bottom w:val="single" w:color="auto" w:sz="4" w:space="0"/>
                    <w:right w:val="nil"/>
                  </w:tcBorders>
                  <w:vAlign w:val="center"/>
                </w:tcPr>
                <w:p w14:paraId="062F191C">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否</w:t>
                  </w:r>
                </w:p>
              </w:tc>
            </w:tr>
            <w:tr w14:paraId="391A2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127" w:type="dxa"/>
                  <w:tcBorders>
                    <w:top w:val="single" w:color="auto" w:sz="4" w:space="0"/>
                    <w:left w:val="nil"/>
                    <w:bottom w:val="single" w:color="auto" w:sz="4" w:space="0"/>
                    <w:right w:val="single" w:color="auto" w:sz="4" w:space="0"/>
                  </w:tcBorders>
                  <w:vAlign w:val="center"/>
                </w:tcPr>
                <w:p w14:paraId="67FE6C41">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地表水</w:t>
                  </w:r>
                </w:p>
              </w:tc>
              <w:tc>
                <w:tcPr>
                  <w:tcW w:w="2557" w:type="dxa"/>
                  <w:tcBorders>
                    <w:top w:val="single" w:color="auto" w:sz="4" w:space="0"/>
                    <w:left w:val="single" w:color="auto" w:sz="4" w:space="0"/>
                    <w:bottom w:val="single" w:color="auto" w:sz="4" w:space="0"/>
                    <w:right w:val="single" w:color="auto" w:sz="4" w:space="0"/>
                  </w:tcBorders>
                  <w:vAlign w:val="center"/>
                </w:tcPr>
                <w:p w14:paraId="44EA3357">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新增工业废水直排建设项目（槽罐车外送污水处理厂的除外）；新增废水直排的污水集中处理厂</w:t>
                  </w:r>
                </w:p>
              </w:tc>
              <w:tc>
                <w:tcPr>
                  <w:tcW w:w="2171" w:type="dxa"/>
                  <w:tcBorders>
                    <w:top w:val="single" w:color="auto" w:sz="4" w:space="0"/>
                    <w:left w:val="single" w:color="auto" w:sz="4" w:space="0"/>
                    <w:bottom w:val="single" w:color="auto" w:sz="4" w:space="0"/>
                    <w:right w:val="single" w:color="auto" w:sz="4" w:space="0"/>
                  </w:tcBorders>
                  <w:vAlign w:val="center"/>
                </w:tcPr>
                <w:p w14:paraId="62C946D8">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szCs w:val="22"/>
                    </w:rPr>
                    <w:t>项目外排的生活污水经化粪池处理达标后排入市政污水管网，纳入</w:t>
                  </w:r>
                  <w:r>
                    <w:rPr>
                      <w:rFonts w:hint="eastAsia"/>
                      <w:szCs w:val="22"/>
                      <w:lang w:eastAsia="zh-CN"/>
                    </w:rPr>
                    <w:t>福清市融元污水处理厂</w:t>
                  </w:r>
                  <w:r>
                    <w:rPr>
                      <w:rFonts w:hint="eastAsia"/>
                      <w:szCs w:val="22"/>
                    </w:rPr>
                    <w:t>集中处理；项目不外排生产废水</w:t>
                  </w:r>
                </w:p>
              </w:tc>
              <w:tc>
                <w:tcPr>
                  <w:tcW w:w="905" w:type="dxa"/>
                  <w:tcBorders>
                    <w:top w:val="single" w:color="auto" w:sz="4" w:space="0"/>
                    <w:left w:val="single" w:color="auto" w:sz="4" w:space="0"/>
                    <w:bottom w:val="single" w:color="auto" w:sz="4" w:space="0"/>
                    <w:right w:val="nil"/>
                  </w:tcBorders>
                  <w:vAlign w:val="center"/>
                </w:tcPr>
                <w:p w14:paraId="7994810E">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否</w:t>
                  </w:r>
                </w:p>
              </w:tc>
            </w:tr>
            <w:tr w14:paraId="3D239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127" w:type="dxa"/>
                  <w:tcBorders>
                    <w:top w:val="single" w:color="auto" w:sz="4" w:space="0"/>
                    <w:left w:val="nil"/>
                    <w:bottom w:val="single" w:color="auto" w:sz="4" w:space="0"/>
                    <w:right w:val="single" w:color="auto" w:sz="4" w:space="0"/>
                  </w:tcBorders>
                  <w:vAlign w:val="center"/>
                </w:tcPr>
                <w:p w14:paraId="191045FF">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环境风险</w:t>
                  </w:r>
                </w:p>
              </w:tc>
              <w:tc>
                <w:tcPr>
                  <w:tcW w:w="2557" w:type="dxa"/>
                  <w:tcBorders>
                    <w:top w:val="single" w:color="auto" w:sz="4" w:space="0"/>
                    <w:left w:val="single" w:color="auto" w:sz="4" w:space="0"/>
                    <w:bottom w:val="single" w:color="auto" w:sz="4" w:space="0"/>
                    <w:right w:val="single" w:color="auto" w:sz="4" w:space="0"/>
                  </w:tcBorders>
                  <w:vAlign w:val="center"/>
                </w:tcPr>
                <w:p w14:paraId="24864092">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有毒有害和易燃易爆危险物质存储量超过临界量</w:t>
                  </w:r>
                  <w:r>
                    <w:rPr>
                      <w:rFonts w:hint="eastAsia"/>
                      <w:b w:val="0"/>
                      <w:bCs w:val="0"/>
                      <w:szCs w:val="22"/>
                      <w:vertAlign w:val="superscript"/>
                      <w:lang w:val="en-US" w:eastAsia="zh-CN"/>
                    </w:rPr>
                    <w:t>3</w:t>
                  </w:r>
                  <w:r>
                    <w:rPr>
                      <w:rFonts w:hint="eastAsia"/>
                      <w:b w:val="0"/>
                      <w:bCs w:val="0"/>
                      <w:szCs w:val="22"/>
                    </w:rPr>
                    <w:t>的建设项目。</w:t>
                  </w:r>
                </w:p>
              </w:tc>
              <w:tc>
                <w:tcPr>
                  <w:tcW w:w="2171" w:type="dxa"/>
                  <w:tcBorders>
                    <w:top w:val="single" w:color="auto" w:sz="4" w:space="0"/>
                    <w:left w:val="single" w:color="auto" w:sz="4" w:space="0"/>
                    <w:bottom w:val="single" w:color="auto" w:sz="4" w:space="0"/>
                    <w:right w:val="single" w:color="auto" w:sz="4" w:space="0"/>
                  </w:tcBorders>
                  <w:vAlign w:val="center"/>
                </w:tcPr>
                <w:p w14:paraId="6BFEAED2">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项目涉及的有毒有害和易燃易爆危险物质存储量未超过临界量</w:t>
                  </w:r>
                </w:p>
              </w:tc>
              <w:tc>
                <w:tcPr>
                  <w:tcW w:w="905" w:type="dxa"/>
                  <w:tcBorders>
                    <w:top w:val="single" w:color="auto" w:sz="4" w:space="0"/>
                    <w:left w:val="single" w:color="auto" w:sz="4" w:space="0"/>
                    <w:bottom w:val="single" w:color="auto" w:sz="4" w:space="0"/>
                    <w:right w:val="nil"/>
                  </w:tcBorders>
                  <w:vAlign w:val="center"/>
                </w:tcPr>
                <w:p w14:paraId="3A34A324">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否</w:t>
                  </w:r>
                </w:p>
              </w:tc>
            </w:tr>
            <w:tr w14:paraId="58F8B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127" w:type="dxa"/>
                  <w:tcBorders>
                    <w:top w:val="single" w:color="auto" w:sz="4" w:space="0"/>
                    <w:left w:val="nil"/>
                    <w:bottom w:val="single" w:color="auto" w:sz="4" w:space="0"/>
                    <w:right w:val="single" w:color="auto" w:sz="4" w:space="0"/>
                  </w:tcBorders>
                  <w:vAlign w:val="center"/>
                </w:tcPr>
                <w:p w14:paraId="0E12738B">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生态</w:t>
                  </w:r>
                </w:p>
              </w:tc>
              <w:tc>
                <w:tcPr>
                  <w:tcW w:w="2557" w:type="dxa"/>
                  <w:tcBorders>
                    <w:top w:val="single" w:color="auto" w:sz="4" w:space="0"/>
                    <w:left w:val="single" w:color="auto" w:sz="4" w:space="0"/>
                    <w:bottom w:val="single" w:color="auto" w:sz="4" w:space="0"/>
                    <w:right w:val="single" w:color="auto" w:sz="4" w:space="0"/>
                  </w:tcBorders>
                  <w:vAlign w:val="center"/>
                </w:tcPr>
                <w:p w14:paraId="26CE579F">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取水口下游</w:t>
                  </w:r>
                  <w:r>
                    <w:rPr>
                      <w:rFonts w:hint="eastAsia"/>
                      <w:b w:val="0"/>
                      <w:bCs w:val="0"/>
                      <w:szCs w:val="22"/>
                      <w:lang w:eastAsia="zh-CN"/>
                    </w:rPr>
                    <w:t>50</w:t>
                  </w:r>
                  <w:r>
                    <w:rPr>
                      <w:rFonts w:hint="eastAsia"/>
                      <w:b w:val="0"/>
                      <w:bCs w:val="0"/>
                      <w:szCs w:val="22"/>
                    </w:rPr>
                    <w:t>0米范围内有重要水生生物的自然产卵场、索饵场、越冬场和河游通道的新增河道取水的污染类建设项目</w:t>
                  </w:r>
                </w:p>
              </w:tc>
              <w:tc>
                <w:tcPr>
                  <w:tcW w:w="2171" w:type="dxa"/>
                  <w:tcBorders>
                    <w:top w:val="single" w:color="auto" w:sz="4" w:space="0"/>
                    <w:left w:val="single" w:color="auto" w:sz="4" w:space="0"/>
                    <w:bottom w:val="single" w:color="auto" w:sz="4" w:space="0"/>
                    <w:right w:val="single" w:color="auto" w:sz="4" w:space="0"/>
                  </w:tcBorders>
                  <w:vAlign w:val="center"/>
                </w:tcPr>
                <w:p w14:paraId="67093204">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项目用水由市政给水管网供给，不设置取水口</w:t>
                  </w:r>
                </w:p>
              </w:tc>
              <w:tc>
                <w:tcPr>
                  <w:tcW w:w="905" w:type="dxa"/>
                  <w:tcBorders>
                    <w:top w:val="single" w:color="auto" w:sz="4" w:space="0"/>
                    <w:left w:val="single" w:color="auto" w:sz="4" w:space="0"/>
                    <w:bottom w:val="single" w:color="auto" w:sz="4" w:space="0"/>
                    <w:right w:val="nil"/>
                  </w:tcBorders>
                  <w:vAlign w:val="center"/>
                </w:tcPr>
                <w:p w14:paraId="4B7A75ED">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否</w:t>
                  </w:r>
                </w:p>
              </w:tc>
            </w:tr>
            <w:tr w14:paraId="1415D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127" w:type="dxa"/>
                  <w:tcBorders>
                    <w:top w:val="single" w:color="auto" w:sz="4" w:space="0"/>
                    <w:left w:val="nil"/>
                    <w:bottom w:val="single" w:color="auto" w:sz="4" w:space="0"/>
                    <w:right w:val="single" w:color="auto" w:sz="4" w:space="0"/>
                  </w:tcBorders>
                  <w:vAlign w:val="center"/>
                </w:tcPr>
                <w:p w14:paraId="28802139">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海洋</w:t>
                  </w:r>
                </w:p>
              </w:tc>
              <w:tc>
                <w:tcPr>
                  <w:tcW w:w="2557" w:type="dxa"/>
                  <w:tcBorders>
                    <w:top w:val="single" w:color="auto" w:sz="4" w:space="0"/>
                    <w:left w:val="single" w:color="auto" w:sz="4" w:space="0"/>
                    <w:bottom w:val="single" w:color="auto" w:sz="4" w:space="0"/>
                    <w:right w:val="single" w:color="auto" w:sz="4" w:space="0"/>
                  </w:tcBorders>
                  <w:vAlign w:val="center"/>
                </w:tcPr>
                <w:p w14:paraId="6C789717">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直接向海排放污染物的海洋工程建设项目</w:t>
                  </w:r>
                </w:p>
              </w:tc>
              <w:tc>
                <w:tcPr>
                  <w:tcW w:w="2171" w:type="dxa"/>
                  <w:tcBorders>
                    <w:top w:val="single" w:color="auto" w:sz="4" w:space="0"/>
                    <w:left w:val="single" w:color="auto" w:sz="4" w:space="0"/>
                    <w:bottom w:val="single" w:color="auto" w:sz="4" w:space="0"/>
                    <w:right w:val="single" w:color="auto" w:sz="4" w:space="0"/>
                  </w:tcBorders>
                  <w:vAlign w:val="center"/>
                </w:tcPr>
                <w:p w14:paraId="42BC19F9">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项目不属于海洋工程建设项目</w:t>
                  </w:r>
                </w:p>
              </w:tc>
              <w:tc>
                <w:tcPr>
                  <w:tcW w:w="905" w:type="dxa"/>
                  <w:tcBorders>
                    <w:top w:val="single" w:color="auto" w:sz="4" w:space="0"/>
                    <w:left w:val="single" w:color="auto" w:sz="4" w:space="0"/>
                    <w:bottom w:val="single" w:color="auto" w:sz="4" w:space="0"/>
                    <w:right w:val="nil"/>
                  </w:tcBorders>
                  <w:vAlign w:val="center"/>
                </w:tcPr>
                <w:p w14:paraId="6398523E">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否</w:t>
                  </w:r>
                </w:p>
              </w:tc>
            </w:tr>
            <w:tr w14:paraId="6906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6760" w:type="dxa"/>
                  <w:gridSpan w:val="4"/>
                  <w:tcBorders>
                    <w:top w:val="single" w:color="auto" w:sz="4" w:space="0"/>
                    <w:left w:val="nil"/>
                    <w:bottom w:val="single" w:color="auto" w:sz="12" w:space="0"/>
                    <w:right w:val="nil"/>
                  </w:tcBorders>
                  <w:vAlign w:val="center"/>
                </w:tcPr>
                <w:p w14:paraId="3284E589">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169》附录B、附录C。</w:t>
                  </w:r>
                </w:p>
              </w:tc>
            </w:tr>
          </w:tbl>
          <w:p w14:paraId="41F7B03E">
            <w:pPr>
              <w:pStyle w:val="40"/>
              <w:keepNext w:val="0"/>
              <w:keepLines w:val="0"/>
              <w:suppressLineNumbers w:val="0"/>
              <w:bidi w:val="0"/>
              <w:spacing w:before="0" w:beforeAutospacing="0" w:after="0" w:afterAutospacing="0"/>
              <w:ind w:left="0" w:right="0"/>
              <w:rPr>
                <w:rFonts w:hint="eastAsia"/>
              </w:rPr>
            </w:pPr>
          </w:p>
        </w:tc>
      </w:tr>
      <w:tr w14:paraId="4E4D69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531" w:type="dxa"/>
            <w:noWrap w:val="0"/>
            <w:vAlign w:val="center"/>
          </w:tcPr>
          <w:p w14:paraId="6DB07975">
            <w:pPr>
              <w:pStyle w:val="40"/>
              <w:keepNext w:val="0"/>
              <w:keepLines w:val="0"/>
              <w:suppressLineNumbers w:val="0"/>
              <w:bidi w:val="0"/>
              <w:spacing w:before="0" w:beforeAutospacing="0" w:after="0" w:afterAutospacing="0"/>
              <w:ind w:left="0" w:right="0"/>
              <w:rPr>
                <w:rFonts w:hint="eastAsia"/>
              </w:rPr>
            </w:pPr>
            <w:r>
              <w:rPr>
                <w:rFonts w:hint="eastAsia"/>
              </w:rPr>
              <w:t>规划情况</w:t>
            </w:r>
          </w:p>
        </w:tc>
        <w:tc>
          <w:tcPr>
            <w:tcW w:w="7339" w:type="dxa"/>
            <w:gridSpan w:val="3"/>
            <w:noWrap w:val="0"/>
            <w:vAlign w:val="center"/>
          </w:tcPr>
          <w:p w14:paraId="24D5B705">
            <w:pPr>
              <w:keepNext w:val="0"/>
              <w:keepLines w:val="0"/>
              <w:suppressLineNumbers w:val="0"/>
              <w:bidi w:val="0"/>
              <w:spacing w:before="0" w:beforeAutospacing="0" w:after="0" w:afterAutospacing="0"/>
              <w:ind w:left="0" w:leftChars="0" w:right="0" w:firstLine="0" w:firstLineChars="0"/>
              <w:rPr>
                <w:rFonts w:hint="eastAsia"/>
                <w:lang w:eastAsia="zh-CN"/>
              </w:rPr>
            </w:pPr>
            <w:r>
              <w:rPr>
                <w:rFonts w:hint="eastAsia" w:ascii="Times New Roman" w:hAnsi="Times New Roman" w:cs="Times New Roman"/>
                <w:b w:val="0"/>
                <w:color w:val="auto"/>
                <w:kern w:val="0"/>
                <w:sz w:val="24"/>
                <w:szCs w:val="24"/>
                <w:u w:val="none"/>
                <w:lang w:val="en-US" w:eastAsia="zh-CN" w:bidi="ar"/>
              </w:rPr>
              <w:t>（1）</w:t>
            </w:r>
            <w:r>
              <w:rPr>
                <w:rFonts w:hint="default" w:ascii="Times New Roman" w:hAnsi="Times New Roman" w:eastAsia="宋体" w:cs="Times New Roman"/>
                <w:b w:val="0"/>
                <w:color w:val="auto"/>
                <w:kern w:val="0"/>
                <w:sz w:val="24"/>
                <w:szCs w:val="24"/>
                <w:u w:val="none"/>
                <w:lang w:val="en-US" w:eastAsia="zh-CN" w:bidi="ar"/>
              </w:rPr>
              <w:t>规划名称：</w:t>
            </w:r>
            <w:r>
              <w:rPr>
                <w:rFonts w:hint="default"/>
                <w:lang w:val="en-US" w:eastAsia="zh-CN"/>
              </w:rPr>
              <w:t>《福清融侨经济技术开发区总体规划</w:t>
            </w:r>
            <w:r>
              <w:rPr>
                <w:rFonts w:hint="eastAsia"/>
                <w:lang w:val="en-US" w:eastAsia="zh-CN"/>
              </w:rPr>
              <w:t>（</w:t>
            </w:r>
            <w:r>
              <w:rPr>
                <w:rFonts w:hint="default"/>
                <w:lang w:val="en-US" w:eastAsia="zh-CN"/>
              </w:rPr>
              <w:t>2018-2035年</w:t>
            </w:r>
            <w:r>
              <w:rPr>
                <w:rFonts w:hint="eastAsia"/>
                <w:lang w:val="en-US" w:eastAsia="zh-CN"/>
              </w:rPr>
              <w:t>）</w:t>
            </w:r>
            <w:r>
              <w:rPr>
                <w:rFonts w:hint="default"/>
                <w:lang w:val="en-US" w:eastAsia="zh-CN"/>
              </w:rPr>
              <w:t>》</w:t>
            </w:r>
          </w:p>
          <w:p w14:paraId="468569BE">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审批机关：福清市人民政府</w:t>
            </w:r>
          </w:p>
          <w:p w14:paraId="5DE45EA6">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审批文件名称及文号：《福清市人民政府关于同意融侨经济技术开发区总体规划</w:t>
            </w:r>
            <w:r>
              <w:rPr>
                <w:rFonts w:hint="eastAsia"/>
                <w:lang w:val="en-US" w:eastAsia="zh-CN"/>
              </w:rPr>
              <w:t>（</w:t>
            </w:r>
            <w:r>
              <w:rPr>
                <w:rFonts w:hint="default"/>
                <w:lang w:val="en-US" w:eastAsia="zh-CN"/>
              </w:rPr>
              <w:t>2018-2035年</w:t>
            </w:r>
            <w:r>
              <w:rPr>
                <w:rFonts w:hint="eastAsia"/>
                <w:lang w:val="en-US" w:eastAsia="zh-CN"/>
              </w:rPr>
              <w:t>）</w:t>
            </w:r>
            <w:r>
              <w:rPr>
                <w:rFonts w:hint="default"/>
                <w:lang w:val="en-US" w:eastAsia="zh-CN"/>
              </w:rPr>
              <w:t>编制范围的批复》</w:t>
            </w:r>
            <w:r>
              <w:rPr>
                <w:rFonts w:hint="eastAsia"/>
                <w:lang w:val="en-US" w:eastAsia="zh-CN"/>
              </w:rPr>
              <w:t>（</w:t>
            </w:r>
            <w:r>
              <w:rPr>
                <w:rFonts w:hint="default"/>
                <w:lang w:val="en-US" w:eastAsia="zh-CN"/>
              </w:rPr>
              <w:t>融政综〔2019〕189号</w:t>
            </w:r>
            <w:r>
              <w:rPr>
                <w:rFonts w:hint="eastAsia"/>
                <w:lang w:val="en-US" w:eastAsia="zh-CN"/>
              </w:rPr>
              <w:t>）</w:t>
            </w:r>
          </w:p>
          <w:p w14:paraId="7D3F683A">
            <w:pPr>
              <w:keepNext w:val="0"/>
              <w:keepLines w:val="0"/>
              <w:suppressLineNumbers w:val="0"/>
              <w:bidi w:val="0"/>
              <w:spacing w:before="0" w:beforeAutospacing="0" w:after="0" w:afterAutospacing="0"/>
              <w:ind w:left="0" w:leftChars="0" w:right="0" w:firstLine="0" w:firstLineChars="0"/>
              <w:rPr>
                <w:rFonts w:hint="default"/>
                <w:lang w:val="en-US" w:eastAsia="zh-CN"/>
              </w:rPr>
            </w:pPr>
            <w:r>
              <w:rPr>
                <w:rFonts w:hint="eastAsia" w:ascii="Times New Roman" w:hAnsi="Times New Roman" w:cs="Times New Roman"/>
                <w:b w:val="0"/>
                <w:color w:val="auto"/>
                <w:kern w:val="0"/>
                <w:sz w:val="24"/>
                <w:szCs w:val="24"/>
                <w:u w:val="none"/>
                <w:lang w:val="en-US" w:eastAsia="zh-CN" w:bidi="ar"/>
              </w:rPr>
              <w:t>（2）</w:t>
            </w:r>
            <w:r>
              <w:rPr>
                <w:rFonts w:hint="default" w:ascii="Times New Roman" w:hAnsi="Times New Roman" w:eastAsia="宋体" w:cs="Times New Roman"/>
                <w:b w:val="0"/>
                <w:color w:val="auto"/>
                <w:kern w:val="0"/>
                <w:sz w:val="24"/>
                <w:szCs w:val="24"/>
                <w:u w:val="none"/>
                <w:lang w:val="en-US" w:eastAsia="zh-CN" w:bidi="ar"/>
              </w:rPr>
              <w:t>规划名称：</w:t>
            </w:r>
            <w:r>
              <w:rPr>
                <w:rFonts w:hint="default"/>
                <w:lang w:val="en-US" w:eastAsia="zh-CN"/>
              </w:rPr>
              <w:t>《福清市国土空间总体规划（2021—2035年）》</w:t>
            </w:r>
          </w:p>
          <w:p w14:paraId="02A8F895">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审批机关：福建省人民政府</w:t>
            </w:r>
            <w:r>
              <w:rPr>
                <w:rFonts w:hint="eastAsia"/>
                <w:lang w:val="en-US" w:eastAsia="zh-CN"/>
              </w:rPr>
              <w:t>；</w:t>
            </w:r>
          </w:p>
          <w:p w14:paraId="7227AF16">
            <w:pPr>
              <w:keepNext w:val="0"/>
              <w:keepLines w:val="0"/>
              <w:suppressLineNumbers w:val="0"/>
              <w:bidi w:val="0"/>
              <w:spacing w:before="0" w:beforeAutospacing="0" w:after="0" w:afterAutospacing="0"/>
              <w:ind w:left="0" w:right="0"/>
              <w:rPr>
                <w:rFonts w:hint="eastAsia"/>
              </w:rPr>
            </w:pPr>
            <w:r>
              <w:rPr>
                <w:rFonts w:hint="default"/>
                <w:lang w:val="en-US" w:eastAsia="zh-CN"/>
              </w:rPr>
              <w:t>审批文件名称及文号：福建省人民政府关于福州市所辖6个县（市）国土空间总体规划（2021—2035年）的批复</w:t>
            </w:r>
            <w:r>
              <w:rPr>
                <w:rFonts w:hint="eastAsia"/>
                <w:lang w:val="en-US" w:eastAsia="zh-CN"/>
              </w:rPr>
              <w:t>（</w:t>
            </w:r>
            <w:r>
              <w:rPr>
                <w:rFonts w:hint="default"/>
                <w:lang w:val="en-US" w:eastAsia="zh-CN"/>
              </w:rPr>
              <w:t>闽政文〔2024〕420号</w:t>
            </w:r>
            <w:r>
              <w:rPr>
                <w:rFonts w:hint="eastAsia"/>
                <w:lang w:val="en-US" w:eastAsia="zh-CN"/>
              </w:rPr>
              <w:t>）</w:t>
            </w:r>
          </w:p>
        </w:tc>
      </w:tr>
      <w:tr w14:paraId="4AFF94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531" w:type="dxa"/>
            <w:noWrap w:val="0"/>
            <w:vAlign w:val="center"/>
          </w:tcPr>
          <w:p w14:paraId="6C3E1836">
            <w:pPr>
              <w:pStyle w:val="40"/>
              <w:keepNext w:val="0"/>
              <w:keepLines w:val="0"/>
              <w:suppressLineNumbers w:val="0"/>
              <w:bidi w:val="0"/>
              <w:spacing w:before="0" w:beforeAutospacing="0" w:after="0" w:afterAutospacing="0"/>
              <w:ind w:left="0" w:right="0"/>
              <w:rPr>
                <w:rFonts w:hint="eastAsia"/>
              </w:rPr>
            </w:pPr>
            <w:r>
              <w:rPr>
                <w:rFonts w:hint="eastAsia"/>
              </w:rPr>
              <w:t>规划环境影响评价情况</w:t>
            </w:r>
          </w:p>
        </w:tc>
        <w:tc>
          <w:tcPr>
            <w:tcW w:w="7339" w:type="dxa"/>
            <w:gridSpan w:val="3"/>
            <w:noWrap w:val="0"/>
            <w:vAlign w:val="center"/>
          </w:tcPr>
          <w:p w14:paraId="17244A4B">
            <w:pPr>
              <w:keepNext w:val="0"/>
              <w:keepLines w:val="0"/>
              <w:suppressLineNumbers w:val="0"/>
              <w:bidi w:val="0"/>
              <w:spacing w:before="0" w:beforeAutospacing="0" w:after="0" w:afterAutospacing="0"/>
              <w:ind w:left="0" w:leftChars="0" w:right="0" w:firstLine="0" w:firstLineChars="0"/>
              <w:rPr>
                <w:rFonts w:hint="eastAsia"/>
                <w:lang w:val="en-US" w:eastAsia="zh-CN"/>
              </w:rPr>
            </w:pPr>
            <w:r>
              <w:rPr>
                <w:rFonts w:hint="eastAsia"/>
                <w:lang w:val="en-US" w:eastAsia="zh-CN"/>
              </w:rPr>
              <w:t>规划环境影响评价文件名称：《</w:t>
            </w:r>
            <w:r>
              <w:rPr>
                <w:rFonts w:hint="default"/>
                <w:lang w:val="en-US" w:eastAsia="zh-CN"/>
              </w:rPr>
              <w:t>福清融侨经济技术开发区总体规划</w:t>
            </w:r>
            <w:r>
              <w:rPr>
                <w:rFonts w:hint="eastAsia"/>
                <w:lang w:val="en-US" w:eastAsia="zh-CN"/>
              </w:rPr>
              <w:t>（</w:t>
            </w:r>
            <w:r>
              <w:rPr>
                <w:rFonts w:hint="default"/>
                <w:lang w:val="en-US" w:eastAsia="zh-CN"/>
              </w:rPr>
              <w:t>2018-2035年</w:t>
            </w:r>
            <w:r>
              <w:rPr>
                <w:rFonts w:hint="eastAsia"/>
                <w:lang w:val="en-US" w:eastAsia="zh-CN"/>
              </w:rPr>
              <w:t>）</w:t>
            </w:r>
            <w:r>
              <w:rPr>
                <w:rFonts w:hint="default"/>
                <w:lang w:val="en-US" w:eastAsia="zh-CN"/>
              </w:rPr>
              <w:t>环境影响报告书</w:t>
            </w:r>
            <w:r>
              <w:rPr>
                <w:rFonts w:hint="eastAsia"/>
                <w:lang w:val="en-US" w:eastAsia="zh-CN"/>
              </w:rPr>
              <w:t>》</w:t>
            </w:r>
          </w:p>
          <w:p w14:paraId="6D297A3B">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召集审查机关：中华人民共和国</w:t>
            </w:r>
            <w:r>
              <w:rPr>
                <w:rFonts w:hint="default"/>
                <w:lang w:val="en-US" w:eastAsia="zh-CN"/>
              </w:rPr>
              <w:t>生态环境部</w:t>
            </w:r>
          </w:p>
          <w:p w14:paraId="791E6C4D">
            <w:pPr>
              <w:keepNext w:val="0"/>
              <w:keepLines w:val="0"/>
              <w:suppressLineNumbers w:val="0"/>
              <w:bidi w:val="0"/>
              <w:spacing w:before="0" w:beforeAutospacing="0" w:after="0" w:afterAutospacing="0"/>
              <w:ind w:left="0" w:right="0"/>
              <w:rPr>
                <w:rFonts w:hint="eastAsia"/>
              </w:rPr>
            </w:pPr>
            <w:r>
              <w:rPr>
                <w:rFonts w:hint="eastAsia"/>
                <w:lang w:val="en-US" w:eastAsia="zh-CN"/>
              </w:rPr>
              <w:t>审查文件名称及文号：</w:t>
            </w:r>
            <w:r>
              <w:rPr>
                <w:rFonts w:hint="default"/>
                <w:lang w:val="en-US" w:eastAsia="zh-CN"/>
              </w:rPr>
              <w:t>关于《福清融侨经济技术开发区总体规划</w:t>
            </w:r>
            <w:r>
              <w:rPr>
                <w:rFonts w:hint="eastAsia"/>
                <w:lang w:val="en-US" w:eastAsia="zh-CN"/>
              </w:rPr>
              <w:t>（</w:t>
            </w:r>
            <w:r>
              <w:rPr>
                <w:rFonts w:hint="default"/>
                <w:lang w:val="en-US" w:eastAsia="zh-CN"/>
              </w:rPr>
              <w:t>2018-2035年</w:t>
            </w:r>
            <w:r>
              <w:rPr>
                <w:rFonts w:hint="eastAsia"/>
                <w:lang w:val="en-US" w:eastAsia="zh-CN"/>
              </w:rPr>
              <w:t>）</w:t>
            </w:r>
            <w:r>
              <w:rPr>
                <w:rFonts w:hint="default"/>
                <w:lang w:val="en-US" w:eastAsia="zh-CN"/>
              </w:rPr>
              <w:t>环境影响报告书》的审查意见</w:t>
            </w:r>
            <w:r>
              <w:rPr>
                <w:rFonts w:hint="eastAsia"/>
                <w:lang w:val="en-US" w:eastAsia="zh-CN"/>
              </w:rPr>
              <w:t>（</w:t>
            </w:r>
            <w:r>
              <w:rPr>
                <w:rFonts w:hint="default"/>
                <w:lang w:val="en-US" w:eastAsia="zh-CN"/>
              </w:rPr>
              <w:t>环审</w:t>
            </w:r>
            <w:r>
              <w:rPr>
                <w:rFonts w:hint="eastAsia"/>
                <w:lang w:val="en-US" w:eastAsia="zh-CN"/>
              </w:rPr>
              <w:t>〔2020〕80号）</w:t>
            </w:r>
          </w:p>
        </w:tc>
      </w:tr>
      <w:tr w14:paraId="60891B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531" w:type="dxa"/>
            <w:noWrap w:val="0"/>
            <w:vAlign w:val="center"/>
          </w:tcPr>
          <w:p w14:paraId="16DF7488">
            <w:pPr>
              <w:pStyle w:val="40"/>
              <w:keepNext w:val="0"/>
              <w:keepLines w:val="0"/>
              <w:suppressLineNumbers w:val="0"/>
              <w:bidi w:val="0"/>
              <w:spacing w:before="0" w:beforeAutospacing="0" w:after="0" w:afterAutospacing="0"/>
              <w:ind w:left="0" w:right="0"/>
              <w:rPr>
                <w:rFonts w:hint="eastAsia"/>
              </w:rPr>
            </w:pPr>
            <w:r>
              <w:rPr>
                <w:rFonts w:hint="eastAsia"/>
              </w:rPr>
              <w:t>规划及规划环境影响评价符合性分析</w:t>
            </w:r>
          </w:p>
        </w:tc>
        <w:tc>
          <w:tcPr>
            <w:tcW w:w="7339" w:type="dxa"/>
            <w:gridSpan w:val="3"/>
            <w:noWrap w:val="0"/>
            <w:vAlign w:val="center"/>
          </w:tcPr>
          <w:p w14:paraId="2D762EE7">
            <w:pPr>
              <w:pStyle w:val="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与</w:t>
            </w:r>
            <w:r>
              <w:rPr>
                <w:rFonts w:hint="default"/>
                <w:lang w:val="en-US" w:eastAsia="zh-CN"/>
              </w:rPr>
              <w:t>《福清融侨经济技术开发区总体规划</w:t>
            </w:r>
            <w:r>
              <w:rPr>
                <w:rFonts w:hint="eastAsia"/>
                <w:lang w:val="en-US" w:eastAsia="zh-CN"/>
              </w:rPr>
              <w:t>（</w:t>
            </w:r>
            <w:r>
              <w:rPr>
                <w:rFonts w:hint="default"/>
                <w:lang w:val="en-US" w:eastAsia="zh-CN"/>
              </w:rPr>
              <w:t>2018-2035年</w:t>
            </w:r>
            <w:r>
              <w:rPr>
                <w:rFonts w:hint="eastAsia"/>
                <w:lang w:val="en-US" w:eastAsia="zh-CN"/>
              </w:rPr>
              <w:t>）</w:t>
            </w:r>
            <w:r>
              <w:rPr>
                <w:rFonts w:hint="default"/>
                <w:lang w:val="en-US" w:eastAsia="zh-CN"/>
              </w:rPr>
              <w:t>》</w:t>
            </w:r>
            <w:r>
              <w:rPr>
                <w:rFonts w:hint="eastAsia"/>
                <w:lang w:val="en-US" w:eastAsia="zh-CN"/>
              </w:rPr>
              <w:t>符合性分析</w:t>
            </w:r>
          </w:p>
          <w:p w14:paraId="43353587">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根据总体规划内容可知，开发区为理顺与中心城区的发展关系，建立健全</w:t>
            </w:r>
            <w:r>
              <w:rPr>
                <w:rFonts w:hint="eastAsia"/>
                <w:lang w:val="en-US" w:eastAsia="zh-CN"/>
              </w:rPr>
              <w:t>“</w:t>
            </w:r>
            <w:r>
              <w:rPr>
                <w:rFonts w:hint="default"/>
                <w:lang w:val="en-US" w:eastAsia="zh-CN"/>
              </w:rPr>
              <w:t>多规合一</w:t>
            </w:r>
            <w:r>
              <w:rPr>
                <w:rFonts w:hint="eastAsia"/>
                <w:lang w:val="en-US" w:eastAsia="zh-CN"/>
              </w:rPr>
              <w:t>”</w:t>
            </w:r>
            <w:r>
              <w:rPr>
                <w:rFonts w:hint="default"/>
                <w:lang w:val="en-US" w:eastAsia="zh-CN"/>
              </w:rPr>
              <w:t>体制机制，突出开发区核心产业优势，强调龙头企业引领，通过</w:t>
            </w:r>
            <w:r>
              <w:rPr>
                <w:rFonts w:hint="eastAsia"/>
                <w:lang w:val="en-US" w:eastAsia="zh-CN"/>
              </w:rPr>
              <w:t>“</w:t>
            </w:r>
            <w:r>
              <w:rPr>
                <w:rFonts w:hint="default"/>
                <w:lang w:val="en-US" w:eastAsia="zh-CN"/>
              </w:rPr>
              <w:t>组团式</w:t>
            </w:r>
            <w:r>
              <w:rPr>
                <w:rFonts w:hint="eastAsia"/>
                <w:lang w:val="en-US" w:eastAsia="zh-CN"/>
              </w:rPr>
              <w:t>”</w:t>
            </w:r>
            <w:r>
              <w:rPr>
                <w:rFonts w:hint="default"/>
                <w:lang w:val="en-US" w:eastAsia="zh-CN"/>
              </w:rPr>
              <w:t>布局，着力营造融侨经济技术开发区</w:t>
            </w:r>
            <w:r>
              <w:rPr>
                <w:rFonts w:hint="eastAsia"/>
                <w:lang w:val="en-US" w:eastAsia="zh-CN"/>
              </w:rPr>
              <w:t>“</w:t>
            </w:r>
            <w:r>
              <w:rPr>
                <w:rFonts w:hint="default"/>
                <w:lang w:val="en-US" w:eastAsia="zh-CN"/>
              </w:rPr>
              <w:t>现代生态开发区</w:t>
            </w:r>
            <w:r>
              <w:rPr>
                <w:rFonts w:hint="eastAsia"/>
                <w:lang w:val="en-US" w:eastAsia="zh-CN"/>
              </w:rPr>
              <w:t>”</w:t>
            </w:r>
            <w:r>
              <w:rPr>
                <w:rFonts w:hint="default"/>
                <w:lang w:val="en-US" w:eastAsia="zh-CN"/>
              </w:rPr>
              <w:t>的空间特色，规划整体形成</w:t>
            </w:r>
            <w:r>
              <w:rPr>
                <w:rFonts w:hint="eastAsia"/>
                <w:lang w:val="en-US" w:eastAsia="zh-CN"/>
              </w:rPr>
              <w:t>“</w:t>
            </w:r>
            <w:r>
              <w:rPr>
                <w:rFonts w:hint="default"/>
                <w:lang w:val="en-US" w:eastAsia="zh-CN"/>
              </w:rPr>
              <w:t>一区三园多组团</w:t>
            </w:r>
            <w:r>
              <w:rPr>
                <w:rFonts w:hint="eastAsia"/>
                <w:lang w:val="en-US" w:eastAsia="zh-CN"/>
              </w:rPr>
              <w:t>”</w:t>
            </w:r>
            <w:r>
              <w:rPr>
                <w:rFonts w:hint="default"/>
                <w:lang w:val="en-US" w:eastAsia="zh-CN"/>
              </w:rPr>
              <w:t>的空间结构。</w:t>
            </w:r>
            <w:r>
              <w:rPr>
                <w:rFonts w:hint="eastAsia"/>
                <w:lang w:val="en-US" w:eastAsia="zh-CN"/>
              </w:rPr>
              <w:t>“</w:t>
            </w:r>
            <w:r>
              <w:rPr>
                <w:rFonts w:hint="default"/>
                <w:lang w:val="en-US" w:eastAsia="zh-CN"/>
              </w:rPr>
              <w:t>一区</w:t>
            </w:r>
            <w:r>
              <w:rPr>
                <w:rFonts w:hint="eastAsia"/>
                <w:lang w:val="en-US" w:eastAsia="zh-CN"/>
              </w:rPr>
              <w:t>”即</w:t>
            </w:r>
            <w:r>
              <w:rPr>
                <w:rFonts w:hint="default"/>
                <w:lang w:val="en-US" w:eastAsia="zh-CN"/>
              </w:rPr>
              <w:t>融侨经济技术开发区。利用国家级开发区品牌，充分释放</w:t>
            </w:r>
            <w:r>
              <w:rPr>
                <w:rFonts w:hint="eastAsia"/>
                <w:lang w:val="en-US" w:eastAsia="zh-CN"/>
              </w:rPr>
              <w:t>“</w:t>
            </w:r>
            <w:r>
              <w:rPr>
                <w:rFonts w:hint="default"/>
                <w:lang w:val="en-US" w:eastAsia="zh-CN"/>
              </w:rPr>
              <w:t>五区叠加、一区毗邻</w:t>
            </w:r>
            <w:r>
              <w:rPr>
                <w:rFonts w:hint="eastAsia"/>
                <w:lang w:val="en-US" w:eastAsia="zh-CN"/>
              </w:rPr>
              <w:t>”</w:t>
            </w:r>
            <w:r>
              <w:rPr>
                <w:rFonts w:hint="default"/>
                <w:lang w:val="en-US" w:eastAsia="zh-CN"/>
              </w:rPr>
              <w:t>政策优势，以空间转型引领开发区的新一轮跨越发展。</w:t>
            </w:r>
            <w:r>
              <w:rPr>
                <w:rFonts w:hint="eastAsia"/>
                <w:lang w:val="en-US" w:eastAsia="zh-CN"/>
              </w:rPr>
              <w:t>“</w:t>
            </w:r>
            <w:r>
              <w:rPr>
                <w:rFonts w:hint="default"/>
                <w:lang w:val="en-US" w:eastAsia="zh-CN"/>
              </w:rPr>
              <w:t>三园</w:t>
            </w:r>
            <w:r>
              <w:rPr>
                <w:rFonts w:hint="eastAsia"/>
                <w:lang w:val="en-US" w:eastAsia="zh-CN"/>
              </w:rPr>
              <w:t>”即</w:t>
            </w:r>
            <w:r>
              <w:rPr>
                <w:rFonts w:hint="default"/>
                <w:lang w:val="en-US" w:eastAsia="zh-CN"/>
              </w:rPr>
              <w:t>中心产业园、城北产业园和南部产业园。其中中心产业园：重点发展电子信息、精密汽车部件等产业，配套创新研发、文化会展、商务金融、经贸交流等具有高附加值的现代服务业功能，打造成为开发区内电子信息、先进制造业核心产业基地，</w:t>
            </w:r>
            <w:r>
              <w:rPr>
                <w:rFonts w:hint="eastAsia"/>
                <w:lang w:val="en-US" w:eastAsia="zh-CN"/>
              </w:rPr>
              <w:t>“</w:t>
            </w:r>
            <w:r>
              <w:rPr>
                <w:rFonts w:hint="default"/>
                <w:lang w:val="en-US" w:eastAsia="zh-CN"/>
              </w:rPr>
              <w:t>双创</w:t>
            </w:r>
            <w:r>
              <w:rPr>
                <w:rFonts w:hint="eastAsia"/>
                <w:lang w:val="en-US" w:eastAsia="zh-CN"/>
              </w:rPr>
              <w:t>”</w:t>
            </w:r>
            <w:r>
              <w:rPr>
                <w:rFonts w:hint="default"/>
                <w:lang w:val="en-US" w:eastAsia="zh-CN"/>
              </w:rPr>
              <w:t>平台、现代服务业建设核心区，形成福清市极具影响力、辐射力和竞争力的大福清</w:t>
            </w:r>
            <w:r>
              <w:rPr>
                <w:rFonts w:hint="eastAsia"/>
                <w:lang w:val="en-US" w:eastAsia="zh-CN"/>
              </w:rPr>
              <w:t>“</w:t>
            </w:r>
            <w:r>
              <w:rPr>
                <w:rFonts w:hint="default"/>
                <w:lang w:val="en-US" w:eastAsia="zh-CN"/>
              </w:rPr>
              <w:t>副中心</w:t>
            </w:r>
            <w:r>
              <w:rPr>
                <w:rFonts w:hint="eastAsia"/>
                <w:lang w:val="en-US" w:eastAsia="zh-CN"/>
              </w:rPr>
              <w:t>”</w:t>
            </w:r>
            <w:r>
              <w:rPr>
                <w:rFonts w:hint="default"/>
                <w:lang w:val="en-US" w:eastAsia="zh-CN"/>
              </w:rPr>
              <w:t>。城北产业园：依托京东方等电子信息龙头企业优势，以电子信息、光学、机械电气为主导</w:t>
            </w:r>
            <w:r>
              <w:rPr>
                <w:rFonts w:hint="eastAsia"/>
                <w:lang w:val="en-US" w:eastAsia="zh-CN"/>
              </w:rPr>
              <w:t>，以</w:t>
            </w:r>
            <w:r>
              <w:rPr>
                <w:rFonts w:hint="default"/>
                <w:lang w:val="en-US" w:eastAsia="zh-CN"/>
              </w:rPr>
              <w:t>科技研发为支撑，突出转型升级、创新驱动、品牌带动和对台合作，建成高聚集效应、高技术水平、高带动力的高端科技创新产业园。南部产业园：依托龙头企业的强劲动力，以及沈海高速、324国道的交通区位，重点发展与电子信息、精密汽车部件、光学相关配套上下游产业，通过校企联合、企业自主创新等方式推动园区内产业转型升级。</w:t>
            </w:r>
          </w:p>
          <w:p w14:paraId="7FBEE50B">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本规划分为核心区和协调区2个层次。其中：</w:t>
            </w:r>
          </w:p>
          <w:p w14:paraId="0EDEC5EB">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w:t>
            </w:r>
            <w:r>
              <w:rPr>
                <w:rFonts w:hint="default"/>
                <w:lang w:val="en-US" w:eastAsia="zh-CN"/>
              </w:rPr>
              <w:t>核心区</w:t>
            </w:r>
            <w:r>
              <w:rPr>
                <w:rFonts w:hint="eastAsia"/>
                <w:lang w:val="en-US" w:eastAsia="zh-CN"/>
              </w:rPr>
              <w:t>即</w:t>
            </w:r>
            <w:r>
              <w:rPr>
                <w:rFonts w:hint="default"/>
                <w:lang w:val="en-US" w:eastAsia="zh-CN"/>
              </w:rPr>
              <w:t>国家批复的融侨经济技术开发区范围。土地面积9.19平方公里，其中宏路中心区6.4平方公里，洪宽工业村2.79平方公里。</w:t>
            </w:r>
          </w:p>
          <w:p w14:paraId="10334F07">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w:t>
            </w:r>
            <w:r>
              <w:rPr>
                <w:rFonts w:hint="default"/>
                <w:lang w:val="en-US" w:eastAsia="zh-CN"/>
              </w:rPr>
              <w:t>协调区：考虑到开发区与福清城区一体化发展，结合开发区委托代管范围</w:t>
            </w:r>
            <w:r>
              <w:rPr>
                <w:rFonts w:hint="eastAsia"/>
                <w:lang w:val="en-US" w:eastAsia="zh-CN"/>
              </w:rPr>
              <w:t>，以</w:t>
            </w:r>
            <w:r>
              <w:rPr>
                <w:rFonts w:hint="default"/>
                <w:lang w:val="en-US" w:eastAsia="zh-CN"/>
              </w:rPr>
              <w:t>规划《福清市城市总体规划（2017-2035）》为依据，进一步将规划范围向外围扩展。协调区西至福厦高速，东依福长高速，北邻作坊村，南靠纵一路环线，土地面积53.2平方公里。本规划深度按协调区进行控制。</w:t>
            </w:r>
          </w:p>
          <w:p w14:paraId="317A2069">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根据《福清融侨经济技术开发区总体规划</w:t>
            </w:r>
            <w:r>
              <w:rPr>
                <w:rFonts w:hint="eastAsia"/>
                <w:lang w:val="en-US" w:eastAsia="zh-CN"/>
              </w:rPr>
              <w:t>（</w:t>
            </w:r>
            <w:r>
              <w:rPr>
                <w:rFonts w:hint="default"/>
                <w:lang w:val="en-US" w:eastAsia="zh-CN"/>
              </w:rPr>
              <w:t>2018-2035年</w:t>
            </w:r>
            <w:r>
              <w:rPr>
                <w:rFonts w:hint="eastAsia"/>
                <w:lang w:val="en-US" w:eastAsia="zh-CN"/>
              </w:rPr>
              <w:t>）</w:t>
            </w:r>
            <w:r>
              <w:rPr>
                <w:rFonts w:hint="default"/>
                <w:lang w:val="en-US" w:eastAsia="zh-CN"/>
              </w:rPr>
              <w:t>》的</w:t>
            </w:r>
            <w:r>
              <w:rPr>
                <w:rFonts w:hint="eastAsia"/>
                <w:lang w:val="en-US" w:eastAsia="zh-CN"/>
              </w:rPr>
              <w:t>“</w:t>
            </w:r>
            <w:r>
              <w:rPr>
                <w:rFonts w:hint="default"/>
                <w:lang w:val="en-US" w:eastAsia="zh-CN"/>
              </w:rPr>
              <w:t>产业发展-第二十二条构建</w:t>
            </w:r>
            <w:r>
              <w:rPr>
                <w:rFonts w:hint="eastAsia"/>
                <w:lang w:val="en-US" w:eastAsia="zh-CN"/>
              </w:rPr>
              <w:t>“</w:t>
            </w:r>
            <w:r>
              <w:rPr>
                <w:rFonts w:hint="default"/>
                <w:lang w:val="en-US" w:eastAsia="zh-CN"/>
              </w:rPr>
              <w:t>3+1</w:t>
            </w:r>
            <w:r>
              <w:rPr>
                <w:rFonts w:hint="eastAsia"/>
                <w:lang w:val="en-US" w:eastAsia="zh-CN"/>
              </w:rPr>
              <w:t>”</w:t>
            </w:r>
            <w:r>
              <w:rPr>
                <w:rFonts w:hint="default"/>
                <w:lang w:val="en-US" w:eastAsia="zh-CN"/>
              </w:rPr>
              <w:t>的产业体系：</w:t>
            </w:r>
          </w:p>
          <w:p w14:paraId="176FFDA9">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w:t>
            </w:r>
            <w:r>
              <w:rPr>
                <w:rFonts w:hint="default"/>
                <w:lang w:val="en-US" w:eastAsia="zh-CN"/>
              </w:rPr>
              <w:t>三大支柱产业</w:t>
            </w:r>
          </w:p>
          <w:p w14:paraId="307AE4E5">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电子信息产业：显示科技、云计算、电子元器件、光电科技、计算机与智能终端设备等。</w:t>
            </w:r>
          </w:p>
          <w:p w14:paraId="0141071C">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精密汽车部件产业：汽车电气电子装置、动力传动装置、汽车轴承、新能源动力电池等。</w:t>
            </w:r>
          </w:p>
          <w:p w14:paraId="1B7630C6">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光学产业：光学部件、光通讯技术、电子光学、虚拟现实装置等。</w:t>
            </w:r>
          </w:p>
          <w:p w14:paraId="6B60A926">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在三大支柱产业基础之上，完善与其相关的配套产业。</w:t>
            </w:r>
          </w:p>
          <w:p w14:paraId="5E7DF3FC">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w:t>
            </w:r>
            <w:r>
              <w:rPr>
                <w:rFonts w:hint="default"/>
                <w:lang w:val="en-US" w:eastAsia="zh-CN"/>
              </w:rPr>
              <w:t>一项新兴产业</w:t>
            </w:r>
          </w:p>
          <w:p w14:paraId="6D425438">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现代服务业：金融商务、总部经济、科技研发、文化创意、物流展销都市型产业与服务型制造业。</w:t>
            </w:r>
          </w:p>
          <w:p w14:paraId="35BF3C3D">
            <w:pPr>
              <w:keepNext w:val="0"/>
              <w:keepLines w:val="0"/>
              <w:suppressLineNumbers w:val="0"/>
              <w:bidi w:val="0"/>
              <w:spacing w:before="0" w:beforeAutospacing="0" w:after="0" w:afterAutospacing="0"/>
              <w:ind w:left="0" w:right="0"/>
              <w:rPr>
                <w:rFonts w:hint="default"/>
                <w:lang w:val="en-US" w:eastAsia="zh-CN"/>
              </w:rPr>
            </w:pPr>
            <w:r>
              <w:rPr>
                <w:rFonts w:hint="eastAsia"/>
                <w:lang w:val="en-GB" w:eastAsia="zh-CN"/>
              </w:rPr>
              <w:t>本项目位于福清融侨经济技术开发区（租赁福清洪添科技有限公司车间2第3层）</w:t>
            </w:r>
            <w:r>
              <w:rPr>
                <w:rFonts w:hint="eastAsia"/>
                <w:lang w:val="en-US" w:eastAsia="zh-CN"/>
              </w:rPr>
              <w:t>。根据福清融侨经济技术开发区对主导产业发展方向的定位，对照《国民经济行业分类》（GB/T4754-2017），主导行业涉及国民经济类别主要包括C29、C304、C33、C34、C35、C36、C38、C39、C40，</w:t>
            </w:r>
            <w:r>
              <w:rPr>
                <w:rFonts w:hint="eastAsia"/>
              </w:rPr>
              <w:t>禁止新建，含电镀工艺、冶炼工艺、电解铝的项目，现有生产能力一定期限内搬迁；包装印刷业禁止使用不符合环保要求的油墨、胶黏剂。</w:t>
            </w:r>
            <w:r>
              <w:rPr>
                <w:rFonts w:hint="eastAsia"/>
                <w:lang w:val="en-US" w:eastAsia="zh-CN"/>
              </w:rPr>
              <w:t>本项目行业类别为“C2929塑料零件及其他塑料制品制造、C3360金属表面处理及热处理加工”，属于规划区内主导产业。</w:t>
            </w:r>
            <w:r>
              <w:rPr>
                <w:rFonts w:hint="default"/>
                <w:lang w:val="en-US" w:eastAsia="zh-CN"/>
              </w:rPr>
              <w:t>因此</w:t>
            </w:r>
            <w:r>
              <w:rPr>
                <w:rFonts w:hint="eastAsia"/>
                <w:lang w:val="en-US" w:eastAsia="zh-CN"/>
              </w:rPr>
              <w:t>，</w:t>
            </w:r>
            <w:r>
              <w:rPr>
                <w:rFonts w:hint="default"/>
                <w:lang w:val="en-US" w:eastAsia="zh-CN"/>
              </w:rPr>
              <w:t>项目的建设符合《福清融侨经济技术开发区总体规划</w:t>
            </w:r>
            <w:r>
              <w:rPr>
                <w:rFonts w:hint="eastAsia"/>
                <w:lang w:val="en-US" w:eastAsia="zh-CN"/>
              </w:rPr>
              <w:t>（</w:t>
            </w:r>
            <w:r>
              <w:rPr>
                <w:rFonts w:hint="default"/>
                <w:lang w:val="en-US" w:eastAsia="zh-CN"/>
              </w:rPr>
              <w:t>2018-2035年</w:t>
            </w:r>
            <w:r>
              <w:rPr>
                <w:rFonts w:hint="eastAsia"/>
                <w:lang w:val="en-US" w:eastAsia="zh-CN"/>
              </w:rPr>
              <w:t>）</w:t>
            </w:r>
            <w:r>
              <w:rPr>
                <w:rFonts w:hint="default"/>
                <w:lang w:val="en-US" w:eastAsia="zh-CN"/>
              </w:rPr>
              <w:t>》有关要求。</w:t>
            </w:r>
          </w:p>
          <w:p w14:paraId="438E4522">
            <w:pPr>
              <w:pStyle w:val="3"/>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与</w:t>
            </w:r>
            <w:r>
              <w:rPr>
                <w:rFonts w:hint="default"/>
                <w:lang w:val="en-US" w:eastAsia="zh-CN"/>
              </w:rPr>
              <w:t>《福清市国土空间总体规划（2021—2035年）》</w:t>
            </w:r>
            <w:r>
              <w:rPr>
                <w:rFonts w:hint="eastAsia"/>
                <w:lang w:val="en-US" w:eastAsia="zh-CN"/>
              </w:rPr>
              <w:t>符合性分析</w:t>
            </w:r>
          </w:p>
          <w:p w14:paraId="113C9DCF">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eastAsia"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根据总体规划内容可知，</w:t>
            </w:r>
            <w:r>
              <w:rPr>
                <w:rFonts w:hint="eastAsia" w:cs="Times New Roman"/>
                <w:color w:val="auto"/>
                <w:sz w:val="24"/>
                <w:szCs w:val="24"/>
                <w:highlight w:val="none"/>
                <w:u w:val="none"/>
                <w:lang w:val="en-US" w:eastAsia="zh-CN"/>
              </w:rPr>
              <w:t>规划“一轴两湾五组团”的国土空间格局，一轴“龙江城市综合发展轴”、两湾“福清湾生态宜居湾、江阴湾临港产业湾”、五组团“中心城区组团、元洪港组团、江阴港城组团、龙高半岛城镇组团、西北部特色生态组团”。坚持底线思维，以国土空间规划为依据，将“三区三线”作为调整经济结构、规划产业发展、推进城镇化不可逾越的红线。严格保护永久基本农田“按照一定时期人口和经济社会发展对农产品的需求，依据国土空间规划确定的不得擅自占用或改变用途的耕地”。科学划定生态保护红线“生态空间范围内具有特殊重要生态功能，必须强制性严格保护的陆域、水域、海域等区域”。合理划定城镇开发边界“一定时期内因城镇发展需要，可以集中进行城镇开发建设完善城镇功能、提升空间品质的区域边界”。五组团“城西组团、城北组团、城中组团、城关组团、东部新城组团”的中心城区空间结构，延续“沿江向海、环湾发展”的城市方向，以龙江为带动，推动沿江、向海、环湾有序建设、集约发展，打造具有滨江滨海特色的现代化城区。构建现代产业体系，壮大四大优势产业“电子信息、食品、化工新材料、精密汽车部件”、培养四大新兴产业“氢能源和新能源、高端装备制造、海洋生物医药、互联网与大数据产业”、提升两大传统产业“塑胶产业、纺织产业”、发展两大特色产业“现代服务业、现代农业”、培育千百亿产业集群“三大千亿产业集群+N个百亿项目集群”。</w:t>
            </w:r>
          </w:p>
          <w:p w14:paraId="4FC5E3C0">
            <w:pPr>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360" w:lineRule="auto"/>
              <w:ind w:left="0" w:right="0" w:firstLine="480" w:firstLineChars="200"/>
              <w:jc w:val="both"/>
              <w:textAlignment w:val="auto"/>
              <w:rPr>
                <w:rFonts w:hint="eastAsia"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构建现代化产业体系“一带两湾四区”的产业发展格局，形成“四个重点产业园区、多个工业集中区”的产业园区空间布局，加快推进重点产业园区标准化建设，统筹划定工业用地控制线。四区主要为融城现代产业综合区“以电子信息、食品、总部经济、电子商务、文化创意为主”、西部生态产业区“以特色种植、文化旅游为主”、高龙特色产业区“以现代农业、休闲农业、滨海旅游为主”、江阴临港产业区“以化工新材料、现代物流、智能制造、海洋经济为主”。</w:t>
            </w:r>
          </w:p>
          <w:p w14:paraId="05FFD585">
            <w:pPr>
              <w:pStyle w:val="16"/>
              <w:keepNext w:val="0"/>
              <w:keepLines w:val="0"/>
              <w:suppressLineNumbers w:val="0"/>
              <w:spacing w:before="0" w:beforeAutospacing="0" w:after="0" w:afterAutospacing="0"/>
              <w:ind w:left="0" w:right="0"/>
              <w:rPr>
                <w:rFonts w:hint="eastAsia" w:cs="Times New Roman"/>
                <w:color w:val="auto"/>
                <w:sz w:val="24"/>
                <w:szCs w:val="24"/>
                <w:highlight w:val="none"/>
                <w:u w:val="none"/>
                <w:lang w:val="en-US" w:eastAsia="zh-CN"/>
              </w:rPr>
            </w:pPr>
            <w:r>
              <w:rPr>
                <w:rFonts w:hint="eastAsia"/>
                <w:lang w:val="en-GB" w:eastAsia="zh-CN"/>
              </w:rPr>
              <w:t>本项目位于福清融侨经济技术开发区（租赁福清洪添科技有限公司车间2第3层）</w:t>
            </w:r>
            <w:r>
              <w:rPr>
                <w:rFonts w:hint="default"/>
                <w:lang w:val="en-US" w:eastAsia="zh-CN"/>
              </w:rPr>
              <w:t>，</w:t>
            </w:r>
            <w:r>
              <w:rPr>
                <w:rFonts w:hint="eastAsia"/>
                <w:lang w:val="en-US" w:eastAsia="zh-CN"/>
              </w:rPr>
              <w:t>位于城北组团（详见</w:t>
            </w:r>
            <w:r>
              <w:rPr>
                <w:rFonts w:hint="eastAsia"/>
                <w:lang w:val="en-US" w:eastAsia="zh-CN"/>
              </w:rPr>
              <w:fldChar w:fldCharType="begin"/>
            </w:r>
            <w:r>
              <w:rPr>
                <w:rFonts w:hint="eastAsia"/>
                <w:lang w:val="en-US" w:eastAsia="zh-CN"/>
              </w:rPr>
              <w:instrText xml:space="preserve"> REF _Ref9311 \h </w:instrText>
            </w:r>
            <w:r>
              <w:rPr>
                <w:rFonts w:hint="eastAsia"/>
                <w:lang w:val="en-US" w:eastAsia="zh-CN"/>
              </w:rPr>
              <w:fldChar w:fldCharType="separate"/>
            </w:r>
            <w:r>
              <w:rPr>
                <w:rFonts w:hint="eastAsia"/>
              </w:rPr>
              <w:t>附图 7</w:t>
            </w:r>
            <w:r>
              <w:rPr>
                <w:rFonts w:hint="eastAsia"/>
                <w:lang w:val="en-US" w:eastAsia="zh-CN"/>
              </w:rPr>
              <w:fldChar w:fldCharType="end"/>
            </w:r>
            <w:r>
              <w:rPr>
                <w:rFonts w:hint="eastAsia"/>
                <w:lang w:val="en-US" w:eastAsia="zh-CN"/>
              </w:rPr>
              <w:t>），位于城镇开发边界内，不涉及</w:t>
            </w:r>
            <w:r>
              <w:rPr>
                <w:rFonts w:hint="eastAsia" w:cs="Times New Roman"/>
                <w:color w:val="auto"/>
                <w:sz w:val="24"/>
                <w:szCs w:val="24"/>
                <w:highlight w:val="none"/>
                <w:u w:val="none"/>
                <w:lang w:val="en-US" w:eastAsia="zh-CN"/>
              </w:rPr>
              <w:t>严格保护永久基本农田“按照一定时期人口和经济社会发展对农产品的需求，依据国土空间规划确定的不得擅自占用或改变用途的耕地”</w:t>
            </w:r>
            <w:r>
              <w:rPr>
                <w:rFonts w:hint="eastAsia"/>
                <w:lang w:val="en-US" w:eastAsia="zh-CN"/>
              </w:rPr>
              <w:t>。</w:t>
            </w:r>
          </w:p>
          <w:p w14:paraId="2520E863">
            <w:pPr>
              <w:pStyle w:val="3"/>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与《福清融侨经济技术开发区总体规划环境影响报告书（2018</w:t>
            </w:r>
            <w:r>
              <w:rPr>
                <w:rFonts w:hint="eastAsia"/>
                <w:lang w:val="en-US" w:eastAsia="zh-CN"/>
              </w:rPr>
              <w:t>—</w:t>
            </w:r>
            <w:r>
              <w:rPr>
                <w:rFonts w:hint="default"/>
                <w:lang w:val="en-US" w:eastAsia="zh-CN"/>
              </w:rPr>
              <w:t>2035年）》符合性分析</w:t>
            </w:r>
          </w:p>
          <w:p w14:paraId="61CDE84D">
            <w:pPr>
              <w:keepNext w:val="0"/>
              <w:keepLines w:val="0"/>
              <w:suppressLineNumbers w:val="0"/>
              <w:bidi w:val="0"/>
              <w:spacing w:before="0" w:beforeAutospacing="0" w:after="0" w:afterAutospacing="0"/>
              <w:ind w:left="0" w:right="0"/>
              <w:rPr>
                <w:rFonts w:hint="eastAsia"/>
                <w:lang w:val="en-GB"/>
              </w:rPr>
            </w:pPr>
            <w:r>
              <w:rPr>
                <w:rFonts w:hint="eastAsia"/>
                <w:lang w:val="en-GB"/>
              </w:rPr>
              <w:t>根据《福清融侨经济技术开发区总体规划环境影响报告书</w:t>
            </w:r>
            <w:r>
              <w:rPr>
                <w:rFonts w:hint="eastAsia"/>
                <w:lang w:val="en-GB" w:eastAsia="zh-CN"/>
              </w:rPr>
              <w:t>（</w:t>
            </w:r>
            <w:r>
              <w:rPr>
                <w:rFonts w:hint="eastAsia"/>
                <w:lang w:val="en-GB"/>
              </w:rPr>
              <w:t>2018-2035年</w:t>
            </w:r>
            <w:r>
              <w:rPr>
                <w:rFonts w:hint="eastAsia"/>
                <w:lang w:val="en-GB" w:eastAsia="zh-CN"/>
              </w:rPr>
              <w:t>）</w:t>
            </w:r>
            <w:r>
              <w:rPr>
                <w:rFonts w:hint="eastAsia"/>
                <w:lang w:val="en-GB"/>
              </w:rPr>
              <w:t>》及其审查意见</w:t>
            </w:r>
            <w:r>
              <w:rPr>
                <w:rFonts w:hint="eastAsia"/>
                <w:lang w:val="en-GB" w:eastAsia="zh-CN"/>
              </w:rPr>
              <w:t>（</w:t>
            </w:r>
            <w:r>
              <w:rPr>
                <w:rFonts w:hint="eastAsia"/>
                <w:lang w:val="en-GB"/>
              </w:rPr>
              <w:t>环审</w:t>
            </w:r>
            <w:r>
              <w:rPr>
                <w:rFonts w:hint="eastAsia"/>
                <w:lang w:val="en-GB" w:eastAsia="zh-CN"/>
              </w:rPr>
              <w:t>〔2020〕80号）</w:t>
            </w:r>
            <w:r>
              <w:rPr>
                <w:rFonts w:hint="eastAsia"/>
                <w:lang w:val="en-GB"/>
              </w:rPr>
              <w:t>，融侨经济技术开发区主要以电子信息：显示科技、光电科技、电子元器件、通讯设备、计算机与智能终端设备等。机械电气：数控机床、精密磨具、光机电一体化等。汽车零配件：汽配玻璃、汽车零部件、变速器、汽车轴承等。根据开发区对主导产业发展方向的定位，对照《国民经济行业分类》</w:t>
            </w:r>
            <w:r>
              <w:rPr>
                <w:rFonts w:hint="eastAsia"/>
                <w:lang w:val="en-GB" w:eastAsia="zh-CN"/>
              </w:rPr>
              <w:t>（</w:t>
            </w:r>
            <w:r>
              <w:rPr>
                <w:rFonts w:hint="eastAsia"/>
                <w:lang w:val="en-GB"/>
              </w:rPr>
              <w:t>GB/T4754-2017</w:t>
            </w:r>
            <w:r>
              <w:rPr>
                <w:rFonts w:hint="eastAsia"/>
                <w:lang w:val="en-GB" w:eastAsia="zh-CN"/>
              </w:rPr>
              <w:t>）</w:t>
            </w:r>
            <w:r>
              <w:rPr>
                <w:rFonts w:hint="eastAsia"/>
                <w:lang w:val="en-GB"/>
              </w:rPr>
              <w:t>，主导行业涉及国民经济类别主要包括C29、C304、C33、C34、C35、C36、C38、C39、C40；项目从事</w:t>
            </w:r>
            <w:r>
              <w:rPr>
                <w:rFonts w:hint="eastAsia"/>
                <w:lang w:val="en-US" w:eastAsia="zh-CN"/>
              </w:rPr>
              <w:t>铝合金、塑胶件及钣金件加工生产</w:t>
            </w:r>
            <w:r>
              <w:rPr>
                <w:rFonts w:hint="eastAsia"/>
                <w:lang w:val="en-GB"/>
              </w:rPr>
              <w:t>，属于</w:t>
            </w:r>
            <w:r>
              <w:rPr>
                <w:rFonts w:hint="eastAsia"/>
                <w:lang w:val="en-GB" w:eastAsia="zh-CN"/>
              </w:rPr>
              <w:t>C2929塑料零件及其他塑料制品制造</w:t>
            </w:r>
            <w:r>
              <w:rPr>
                <w:rFonts w:hint="eastAsia"/>
                <w:lang w:val="en-US" w:eastAsia="zh-CN"/>
              </w:rPr>
              <w:t>以及C3360金属表面处理及热处理加工</w:t>
            </w:r>
            <w:r>
              <w:rPr>
                <w:rFonts w:hint="eastAsia"/>
                <w:lang w:val="en-GB"/>
              </w:rPr>
              <w:t>。符合该园区规划环评的主导产业政策。</w:t>
            </w:r>
          </w:p>
          <w:p w14:paraId="3C2A4CF7">
            <w:pPr>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szCs w:val="24"/>
                <w:lang w:val="en-GB"/>
              </w:rPr>
            </w:pPr>
            <w:r>
              <w:rPr>
                <w:rFonts w:hint="eastAsia"/>
                <w:lang w:val="en-GB"/>
              </w:rPr>
              <w:t>对照《福清融侨经济技术开发区总体规划环境影响报告书</w:t>
            </w:r>
            <w:r>
              <w:rPr>
                <w:rFonts w:hint="eastAsia"/>
                <w:lang w:val="en-GB" w:eastAsia="zh-CN"/>
              </w:rPr>
              <w:t>（</w:t>
            </w:r>
            <w:r>
              <w:rPr>
                <w:rFonts w:hint="eastAsia"/>
                <w:lang w:val="en-GB"/>
              </w:rPr>
              <w:t>2018-2035年</w:t>
            </w:r>
            <w:r>
              <w:rPr>
                <w:rFonts w:hint="eastAsia"/>
                <w:lang w:val="en-GB" w:eastAsia="zh-CN"/>
              </w:rPr>
              <w:t>）</w:t>
            </w:r>
            <w:r>
              <w:rPr>
                <w:rFonts w:hint="eastAsia"/>
                <w:lang w:val="en-GB"/>
              </w:rPr>
              <w:t>》中规划区配套及其他行业环境准入要求，项目与规划区主导产业环境准入清单符合性分析及批复相符性分析详见下表。</w:t>
            </w:r>
          </w:p>
          <w:p w14:paraId="69B96573">
            <w:pPr>
              <w:pStyle w:val="39"/>
              <w:keepNext w:val="0"/>
              <w:keepLines w:val="0"/>
              <w:suppressLineNumbers w:val="0"/>
              <w:bidi w:val="0"/>
              <w:spacing w:before="0" w:beforeAutospacing="0" w:after="0" w:afterAutospacing="0"/>
              <w:ind w:left="0" w:right="0"/>
              <w:rPr>
                <w:rFonts w:hint="eastAsia" w:eastAsia="宋体"/>
                <w:lang w:eastAsia="zh-CN"/>
              </w:rPr>
            </w:pPr>
            <w:r>
              <w:rPr>
                <w:rFonts w:hint="default"/>
              </w:rPr>
              <w:t>表</w:t>
            </w:r>
            <w:r>
              <w:rPr>
                <w:rFonts w:hint="eastAsia"/>
                <w:lang w:val="en-US" w:eastAsia="zh-CN"/>
              </w:rPr>
              <w:t>1.3-1</w:t>
            </w:r>
            <w:r>
              <w:rPr>
                <w:rFonts w:hint="default"/>
              </w:rPr>
              <w:t>本项目与规划区主导产业环境准入清单符合性分析表</w:t>
            </w:r>
            <w:r>
              <w:rPr>
                <w:rFonts w:hint="eastAsia"/>
                <w:lang w:eastAsia="zh-CN"/>
              </w:rPr>
              <w:t>（</w:t>
            </w:r>
            <w:r>
              <w:rPr>
                <w:rFonts w:hint="default"/>
              </w:rPr>
              <w:t>摘录</w:t>
            </w:r>
            <w:r>
              <w:rPr>
                <w:rFonts w:hint="eastAsia"/>
                <w:lang w:eastAsia="zh-CN"/>
              </w:rPr>
              <w:t>）</w:t>
            </w:r>
          </w:p>
          <w:tbl>
            <w:tblPr>
              <w:tblStyle w:val="29"/>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807"/>
              <w:gridCol w:w="807"/>
              <w:gridCol w:w="1616"/>
              <w:gridCol w:w="2410"/>
              <w:gridCol w:w="701"/>
            </w:tblGrid>
            <w:tr w14:paraId="27B07F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4" w:type="pct"/>
                  <w:noWrap w:val="0"/>
                  <w:vAlign w:val="center"/>
                </w:tcPr>
                <w:p w14:paraId="257C6DAD">
                  <w:pPr>
                    <w:pStyle w:val="38"/>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lang w:val="en-US" w:eastAsia="zh-CN"/>
                    </w:rPr>
                    <w:t>类别名称</w:t>
                  </w:r>
                </w:p>
              </w:tc>
              <w:tc>
                <w:tcPr>
                  <w:tcW w:w="2269" w:type="pct"/>
                  <w:gridSpan w:val="3"/>
                  <w:noWrap w:val="0"/>
                  <w:vAlign w:val="center"/>
                </w:tcPr>
                <w:p w14:paraId="008202AA">
                  <w:pPr>
                    <w:pStyle w:val="38"/>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default"/>
                      <w:szCs w:val="22"/>
                      <w:highlight w:val="none"/>
                    </w:rPr>
                    <w:t>空间布局</w:t>
                  </w:r>
                  <w:r>
                    <w:rPr>
                      <w:rFonts w:hint="default"/>
                      <w:szCs w:val="22"/>
                      <w:highlight w:val="none"/>
                      <w:lang w:val="en-US" w:eastAsia="zh-CN"/>
                    </w:rPr>
                    <w:t>约束</w:t>
                  </w:r>
                </w:p>
              </w:tc>
              <w:tc>
                <w:tcPr>
                  <w:tcW w:w="1693" w:type="pct"/>
                  <w:noWrap w:val="0"/>
                  <w:vAlign w:val="center"/>
                </w:tcPr>
                <w:p w14:paraId="2ABF6F7C">
                  <w:pPr>
                    <w:pStyle w:val="38"/>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本项目</w:t>
                  </w:r>
                </w:p>
              </w:tc>
              <w:tc>
                <w:tcPr>
                  <w:tcW w:w="492" w:type="pct"/>
                  <w:noWrap w:val="0"/>
                  <w:vAlign w:val="center"/>
                </w:tcPr>
                <w:p w14:paraId="2984D67E">
                  <w:pPr>
                    <w:pStyle w:val="38"/>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default"/>
                      <w:szCs w:val="22"/>
                      <w:highlight w:val="none"/>
                    </w:rPr>
                    <w:t>符合性</w:t>
                  </w:r>
                </w:p>
              </w:tc>
            </w:tr>
            <w:tr w14:paraId="1CE291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4" w:type="pct"/>
                  <w:noWrap w:val="0"/>
                  <w:vAlign w:val="center"/>
                </w:tcPr>
                <w:p w14:paraId="1A1005D5">
                  <w:pPr>
                    <w:pStyle w:val="38"/>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29橡胶和塑料制品业</w:t>
                  </w:r>
                </w:p>
              </w:tc>
              <w:tc>
                <w:tcPr>
                  <w:tcW w:w="2269" w:type="pct"/>
                  <w:gridSpan w:val="3"/>
                  <w:noWrap w:val="0"/>
                  <w:vAlign w:val="center"/>
                </w:tcPr>
                <w:p w14:paraId="36EE3C6F">
                  <w:pPr>
                    <w:pStyle w:val="38"/>
                    <w:keepNext w:val="0"/>
                    <w:keepLines w:val="0"/>
                    <w:widowControl/>
                    <w:suppressLineNumbers w:val="0"/>
                    <w:bidi w:val="0"/>
                    <w:spacing w:before="0" w:beforeAutospacing="0" w:after="0" w:afterAutospacing="0"/>
                    <w:ind w:left="0" w:right="0"/>
                    <w:jc w:val="both"/>
                    <w:rPr>
                      <w:rFonts w:hint="default"/>
                      <w:szCs w:val="22"/>
                      <w:highlight w:val="none"/>
                    </w:rPr>
                  </w:pPr>
                  <w:r>
                    <w:rPr>
                      <w:rFonts w:hint="default"/>
                      <w:szCs w:val="22"/>
                      <w:highlight w:val="none"/>
                    </w:rPr>
                    <w:t>禁止新建：</w:t>
                  </w:r>
                </w:p>
                <w:p w14:paraId="1A490B9F">
                  <w:pPr>
                    <w:pStyle w:val="38"/>
                    <w:keepNext w:val="0"/>
                    <w:keepLines w:val="0"/>
                    <w:widowControl/>
                    <w:suppressLineNumbers w:val="0"/>
                    <w:bidi w:val="0"/>
                    <w:spacing w:before="0" w:beforeAutospacing="0" w:after="0" w:afterAutospacing="0"/>
                    <w:ind w:left="0" w:right="0"/>
                    <w:jc w:val="both"/>
                    <w:rPr>
                      <w:rFonts w:hint="default"/>
                      <w:szCs w:val="22"/>
                      <w:highlight w:val="none"/>
                      <w:lang w:eastAsia="zh-CN"/>
                    </w:rPr>
                  </w:pPr>
                  <w:r>
                    <w:rPr>
                      <w:rFonts w:hint="default"/>
                      <w:szCs w:val="22"/>
                      <w:highlight w:val="none"/>
                    </w:rPr>
                    <w:t>1、涉及开炼、密炼、硫化工艺</w:t>
                  </w:r>
                  <w:r>
                    <w:rPr>
                      <w:rFonts w:hint="default"/>
                      <w:szCs w:val="22"/>
                      <w:highlight w:val="none"/>
                      <w:lang w:eastAsia="zh-CN"/>
                    </w:rPr>
                    <w:t>；</w:t>
                  </w:r>
                </w:p>
                <w:p w14:paraId="6F221CD2">
                  <w:pPr>
                    <w:pStyle w:val="38"/>
                    <w:keepNext w:val="0"/>
                    <w:keepLines w:val="0"/>
                    <w:widowControl/>
                    <w:suppressLineNumbers w:val="0"/>
                    <w:bidi w:val="0"/>
                    <w:spacing w:before="0" w:beforeAutospacing="0" w:after="0" w:afterAutospacing="0"/>
                    <w:ind w:left="0" w:right="0"/>
                    <w:jc w:val="both"/>
                    <w:rPr>
                      <w:rFonts w:hint="default"/>
                      <w:szCs w:val="22"/>
                      <w:highlight w:val="none"/>
                      <w:lang w:eastAsia="zh-CN"/>
                    </w:rPr>
                  </w:pPr>
                  <w:r>
                    <w:rPr>
                      <w:rFonts w:hint="default"/>
                      <w:szCs w:val="22"/>
                      <w:highlight w:val="none"/>
                    </w:rPr>
                    <w:t>2、采用煤、油、生物质等非清洁能源</w:t>
                  </w:r>
                  <w:r>
                    <w:rPr>
                      <w:rFonts w:hint="default"/>
                      <w:szCs w:val="22"/>
                      <w:highlight w:val="none"/>
                      <w:lang w:eastAsia="zh-CN"/>
                    </w:rPr>
                    <w:t>；</w:t>
                  </w:r>
                </w:p>
                <w:p w14:paraId="0B0123C0">
                  <w:pPr>
                    <w:pStyle w:val="38"/>
                    <w:keepNext w:val="0"/>
                    <w:keepLines w:val="0"/>
                    <w:widowControl/>
                    <w:suppressLineNumbers w:val="0"/>
                    <w:bidi w:val="0"/>
                    <w:spacing w:before="0" w:beforeAutospacing="0" w:after="0" w:afterAutospacing="0"/>
                    <w:ind w:left="0" w:right="0"/>
                    <w:jc w:val="both"/>
                    <w:rPr>
                      <w:rFonts w:hint="default"/>
                      <w:szCs w:val="22"/>
                      <w:highlight w:val="none"/>
                      <w:lang w:eastAsia="zh-CN"/>
                    </w:rPr>
                  </w:pPr>
                  <w:r>
                    <w:rPr>
                      <w:rFonts w:hint="default"/>
                      <w:szCs w:val="22"/>
                      <w:highlight w:val="none"/>
                    </w:rPr>
                    <w:t>3、再生橡胶制造、橡胶加工、橡胶制品翻新</w:t>
                  </w:r>
                  <w:r>
                    <w:rPr>
                      <w:rFonts w:hint="default"/>
                      <w:szCs w:val="22"/>
                      <w:highlight w:val="none"/>
                      <w:lang w:eastAsia="zh-CN"/>
                    </w:rPr>
                    <w:t>；</w:t>
                  </w:r>
                </w:p>
                <w:p w14:paraId="0095D7B0">
                  <w:pPr>
                    <w:pStyle w:val="38"/>
                    <w:keepNext w:val="0"/>
                    <w:keepLines w:val="0"/>
                    <w:widowControl/>
                    <w:suppressLineNumbers w:val="0"/>
                    <w:bidi w:val="0"/>
                    <w:spacing w:before="0" w:beforeAutospacing="0" w:after="0" w:afterAutospacing="0"/>
                    <w:ind w:left="0" w:right="0"/>
                    <w:jc w:val="both"/>
                    <w:rPr>
                      <w:rFonts w:hint="default"/>
                      <w:szCs w:val="22"/>
                      <w:highlight w:val="none"/>
                      <w:lang w:eastAsia="zh-CN"/>
                    </w:rPr>
                  </w:pPr>
                  <w:r>
                    <w:rPr>
                      <w:rFonts w:hint="default"/>
                      <w:szCs w:val="22"/>
                      <w:highlight w:val="none"/>
                    </w:rPr>
                    <w:t>4、废旧塑料再生现有生产能力允许企业在一定期限内采取措施改造升级</w:t>
                  </w:r>
                  <w:r>
                    <w:rPr>
                      <w:rFonts w:hint="default"/>
                      <w:szCs w:val="22"/>
                      <w:highlight w:val="none"/>
                      <w:lang w:eastAsia="zh-CN"/>
                    </w:rPr>
                    <w:t>。</w:t>
                  </w:r>
                </w:p>
              </w:tc>
              <w:tc>
                <w:tcPr>
                  <w:tcW w:w="1693" w:type="pct"/>
                  <w:noWrap w:val="0"/>
                  <w:vAlign w:val="center"/>
                </w:tcPr>
                <w:p w14:paraId="5B389FAA">
                  <w:pPr>
                    <w:pStyle w:val="38"/>
                    <w:keepNext w:val="0"/>
                    <w:keepLines w:val="0"/>
                    <w:widowControl/>
                    <w:suppressLineNumbers w:val="0"/>
                    <w:bidi w:val="0"/>
                    <w:spacing w:before="0" w:beforeAutospacing="0" w:after="0" w:afterAutospacing="0"/>
                    <w:ind w:left="0" w:right="0"/>
                    <w:jc w:val="both"/>
                    <w:rPr>
                      <w:rFonts w:hint="default"/>
                      <w:szCs w:val="22"/>
                      <w:highlight w:val="none"/>
                      <w:lang w:eastAsia="zh-CN"/>
                    </w:rPr>
                  </w:pPr>
                  <w:r>
                    <w:rPr>
                      <w:rFonts w:hint="default"/>
                      <w:szCs w:val="22"/>
                      <w:highlight w:val="none"/>
                      <w:lang w:val="en-US" w:eastAsia="zh-CN"/>
                    </w:rPr>
                    <w:t>1、本项目不涉及</w:t>
                  </w:r>
                  <w:r>
                    <w:rPr>
                      <w:rFonts w:hint="default"/>
                      <w:szCs w:val="22"/>
                      <w:highlight w:val="none"/>
                    </w:rPr>
                    <w:t>开炼、密炼、硫化工艺</w:t>
                  </w:r>
                  <w:r>
                    <w:rPr>
                      <w:rFonts w:hint="default"/>
                      <w:szCs w:val="22"/>
                      <w:highlight w:val="none"/>
                      <w:lang w:eastAsia="zh-CN"/>
                    </w:rPr>
                    <w:t>；</w:t>
                  </w:r>
                </w:p>
                <w:p w14:paraId="1A3E7432">
                  <w:pPr>
                    <w:pStyle w:val="38"/>
                    <w:keepNext w:val="0"/>
                    <w:keepLines w:val="0"/>
                    <w:widowControl/>
                    <w:suppressLineNumbers w:val="0"/>
                    <w:bidi w:val="0"/>
                    <w:spacing w:before="0" w:beforeAutospacing="0" w:after="0" w:afterAutospacing="0"/>
                    <w:ind w:left="0" w:right="0"/>
                    <w:jc w:val="both"/>
                    <w:rPr>
                      <w:rFonts w:hint="default"/>
                      <w:szCs w:val="22"/>
                      <w:highlight w:val="none"/>
                      <w:lang w:eastAsia="zh-CN"/>
                    </w:rPr>
                  </w:pPr>
                  <w:r>
                    <w:rPr>
                      <w:rFonts w:hint="default"/>
                      <w:szCs w:val="22"/>
                      <w:highlight w:val="none"/>
                      <w:lang w:val="en-US" w:eastAsia="zh-CN"/>
                    </w:rPr>
                    <w:t>2、本项目不</w:t>
                  </w:r>
                  <w:r>
                    <w:rPr>
                      <w:rFonts w:hint="default"/>
                      <w:szCs w:val="22"/>
                      <w:highlight w:val="none"/>
                    </w:rPr>
                    <w:t>采用煤、油、生物质等非清洁能源</w:t>
                  </w:r>
                  <w:r>
                    <w:rPr>
                      <w:rFonts w:hint="default"/>
                      <w:szCs w:val="22"/>
                      <w:highlight w:val="none"/>
                      <w:lang w:eastAsia="zh-CN"/>
                    </w:rPr>
                    <w:t>；</w:t>
                  </w:r>
                </w:p>
                <w:p w14:paraId="2366EF33">
                  <w:pPr>
                    <w:pStyle w:val="38"/>
                    <w:keepNext w:val="0"/>
                    <w:keepLines w:val="0"/>
                    <w:widowControl/>
                    <w:suppressLineNumbers w:val="0"/>
                    <w:bidi w:val="0"/>
                    <w:spacing w:before="0" w:beforeAutospacing="0" w:after="0" w:afterAutospacing="0"/>
                    <w:ind w:left="0" w:right="0"/>
                    <w:jc w:val="both"/>
                    <w:rPr>
                      <w:rFonts w:hint="default"/>
                      <w:szCs w:val="22"/>
                      <w:highlight w:val="none"/>
                      <w:lang w:eastAsia="zh-CN"/>
                    </w:rPr>
                  </w:pPr>
                  <w:r>
                    <w:rPr>
                      <w:rFonts w:hint="default"/>
                      <w:szCs w:val="22"/>
                      <w:highlight w:val="none"/>
                      <w:lang w:val="en-US" w:eastAsia="zh-CN"/>
                    </w:rPr>
                    <w:t>3、本项目不属于</w:t>
                  </w:r>
                  <w:r>
                    <w:rPr>
                      <w:rFonts w:hint="default"/>
                      <w:szCs w:val="22"/>
                      <w:highlight w:val="none"/>
                    </w:rPr>
                    <w:t>再生橡胶制造、橡胶加工、橡胶制品翻新</w:t>
                  </w:r>
                  <w:r>
                    <w:rPr>
                      <w:rFonts w:hint="default"/>
                      <w:szCs w:val="22"/>
                      <w:highlight w:val="none"/>
                      <w:lang w:eastAsia="zh-CN"/>
                    </w:rPr>
                    <w:t>；</w:t>
                  </w:r>
                </w:p>
                <w:p w14:paraId="57444C57">
                  <w:pPr>
                    <w:pStyle w:val="38"/>
                    <w:keepNext w:val="0"/>
                    <w:keepLines w:val="0"/>
                    <w:widowControl/>
                    <w:suppressLineNumbers w:val="0"/>
                    <w:bidi w:val="0"/>
                    <w:spacing w:before="0" w:beforeAutospacing="0" w:after="0" w:afterAutospacing="0"/>
                    <w:ind w:left="0" w:right="0"/>
                    <w:jc w:val="both"/>
                    <w:rPr>
                      <w:rFonts w:hint="default"/>
                      <w:szCs w:val="22"/>
                      <w:highlight w:val="none"/>
                      <w:lang w:val="en-US" w:eastAsia="zh-CN"/>
                    </w:rPr>
                  </w:pPr>
                  <w:r>
                    <w:rPr>
                      <w:rFonts w:hint="default"/>
                      <w:szCs w:val="22"/>
                      <w:highlight w:val="none"/>
                      <w:lang w:val="en-US" w:eastAsia="zh-CN"/>
                    </w:rPr>
                    <w:t>4、本项目不属于</w:t>
                  </w:r>
                  <w:r>
                    <w:rPr>
                      <w:rFonts w:hint="default"/>
                      <w:szCs w:val="22"/>
                      <w:highlight w:val="none"/>
                    </w:rPr>
                    <w:t>废旧塑料再生</w:t>
                  </w:r>
                  <w:r>
                    <w:rPr>
                      <w:rFonts w:hint="default"/>
                      <w:szCs w:val="22"/>
                      <w:highlight w:val="none"/>
                      <w:lang w:val="en-US" w:eastAsia="zh-CN"/>
                    </w:rPr>
                    <w:t>行业</w:t>
                  </w:r>
                  <w:r>
                    <w:rPr>
                      <w:rFonts w:hint="eastAsia"/>
                      <w:szCs w:val="22"/>
                      <w:highlight w:val="none"/>
                      <w:lang w:val="en-US" w:eastAsia="zh-CN"/>
                    </w:rPr>
                    <w:t>；</w:t>
                  </w:r>
                </w:p>
              </w:tc>
              <w:tc>
                <w:tcPr>
                  <w:tcW w:w="492" w:type="pct"/>
                  <w:noWrap w:val="0"/>
                  <w:vAlign w:val="center"/>
                </w:tcPr>
                <w:p w14:paraId="3A160813">
                  <w:pPr>
                    <w:pStyle w:val="38"/>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符合</w:t>
                  </w:r>
                </w:p>
              </w:tc>
            </w:tr>
            <w:tr w14:paraId="3C7E88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4" w:type="pct"/>
                  <w:noWrap w:val="0"/>
                  <w:vAlign w:val="center"/>
                </w:tcPr>
                <w:p w14:paraId="54F01878">
                  <w:pPr>
                    <w:pStyle w:val="38"/>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33金属制品业</w:t>
                  </w:r>
                </w:p>
              </w:tc>
              <w:tc>
                <w:tcPr>
                  <w:tcW w:w="2269" w:type="pct"/>
                  <w:gridSpan w:val="3"/>
                  <w:noWrap w:val="0"/>
                  <w:vAlign w:val="center"/>
                </w:tcPr>
                <w:p w14:paraId="13F50264">
                  <w:pPr>
                    <w:pStyle w:val="38"/>
                    <w:keepNext w:val="0"/>
                    <w:keepLines w:val="0"/>
                    <w:widowControl/>
                    <w:suppressLineNumbers w:val="0"/>
                    <w:bidi w:val="0"/>
                    <w:spacing w:before="0" w:beforeAutospacing="0" w:after="0" w:afterAutospacing="0"/>
                    <w:ind w:left="0" w:right="0"/>
                    <w:jc w:val="both"/>
                    <w:rPr>
                      <w:rFonts w:hint="eastAsia" w:eastAsia="宋体"/>
                      <w:szCs w:val="22"/>
                      <w:highlight w:val="none"/>
                      <w:lang w:eastAsia="zh-CN"/>
                    </w:rPr>
                  </w:pPr>
                  <w:r>
                    <w:rPr>
                      <w:rFonts w:hint="default"/>
                      <w:szCs w:val="22"/>
                      <w:highlight w:val="none"/>
                    </w:rPr>
                    <w:t>禁止新建</w:t>
                  </w:r>
                  <w:r>
                    <w:rPr>
                      <w:rFonts w:hint="eastAsia"/>
                      <w:szCs w:val="22"/>
                      <w:highlight w:val="none"/>
                      <w:lang w:eastAsia="zh-CN"/>
                    </w:rPr>
                    <w:t>；</w:t>
                  </w:r>
                </w:p>
                <w:p w14:paraId="7F8F1221">
                  <w:pPr>
                    <w:pStyle w:val="38"/>
                    <w:keepNext w:val="0"/>
                    <w:keepLines w:val="0"/>
                    <w:widowControl/>
                    <w:suppressLineNumbers w:val="0"/>
                    <w:bidi w:val="0"/>
                    <w:spacing w:before="0" w:beforeAutospacing="0" w:after="0" w:afterAutospacing="0"/>
                    <w:ind w:left="0" w:right="0"/>
                    <w:jc w:val="both"/>
                    <w:rPr>
                      <w:rFonts w:hint="eastAsia" w:eastAsia="宋体"/>
                      <w:szCs w:val="22"/>
                      <w:highlight w:val="none"/>
                      <w:lang w:eastAsia="zh-CN"/>
                    </w:rPr>
                  </w:pPr>
                  <w:r>
                    <w:rPr>
                      <w:rFonts w:hint="default"/>
                      <w:szCs w:val="22"/>
                      <w:highlight w:val="none"/>
                    </w:rPr>
                    <w:t>1、使用有机涂层的</w:t>
                  </w:r>
                  <w:r>
                    <w:rPr>
                      <w:rFonts w:hint="eastAsia"/>
                      <w:szCs w:val="22"/>
                      <w:highlight w:val="none"/>
                      <w:lang w:eastAsia="zh-CN"/>
                    </w:rPr>
                    <w:t>（</w:t>
                  </w:r>
                  <w:r>
                    <w:rPr>
                      <w:rFonts w:hint="default"/>
                      <w:szCs w:val="22"/>
                      <w:highlight w:val="none"/>
                    </w:rPr>
                    <w:t>喷塑、电泳及高端项目配套除外</w:t>
                  </w:r>
                  <w:r>
                    <w:rPr>
                      <w:rFonts w:hint="eastAsia"/>
                      <w:szCs w:val="22"/>
                      <w:highlight w:val="none"/>
                      <w:lang w:eastAsia="zh-CN"/>
                    </w:rPr>
                    <w:t>）</w:t>
                  </w:r>
                </w:p>
                <w:p w14:paraId="786FD02D">
                  <w:pPr>
                    <w:pStyle w:val="38"/>
                    <w:keepNext w:val="0"/>
                    <w:keepLines w:val="0"/>
                    <w:widowControl/>
                    <w:suppressLineNumbers w:val="0"/>
                    <w:bidi w:val="0"/>
                    <w:spacing w:before="0" w:beforeAutospacing="0" w:after="0" w:afterAutospacing="0"/>
                    <w:ind w:left="0" w:right="0"/>
                    <w:jc w:val="both"/>
                    <w:rPr>
                      <w:rFonts w:hint="default"/>
                      <w:szCs w:val="22"/>
                      <w:highlight w:val="none"/>
                    </w:rPr>
                  </w:pPr>
                  <w:r>
                    <w:rPr>
                      <w:rFonts w:hint="default"/>
                      <w:szCs w:val="22"/>
                      <w:highlight w:val="none"/>
                    </w:rPr>
                    <w:t>2、涉及熔炼、电镀工艺</w:t>
                  </w:r>
                </w:p>
                <w:p w14:paraId="04EA7144">
                  <w:pPr>
                    <w:pStyle w:val="38"/>
                    <w:keepNext w:val="0"/>
                    <w:keepLines w:val="0"/>
                    <w:widowControl/>
                    <w:suppressLineNumbers w:val="0"/>
                    <w:bidi w:val="0"/>
                    <w:spacing w:before="0" w:beforeAutospacing="0" w:after="0" w:afterAutospacing="0"/>
                    <w:ind w:left="0" w:right="0"/>
                    <w:jc w:val="both"/>
                    <w:rPr>
                      <w:rFonts w:hint="default"/>
                      <w:szCs w:val="22"/>
                      <w:highlight w:val="none"/>
                    </w:rPr>
                  </w:pPr>
                  <w:r>
                    <w:rPr>
                      <w:rFonts w:hint="default"/>
                      <w:szCs w:val="22"/>
                      <w:highlight w:val="none"/>
                    </w:rPr>
                    <w:t>3</w:t>
                  </w:r>
                  <w:r>
                    <w:rPr>
                      <w:rFonts w:hint="default"/>
                      <w:szCs w:val="22"/>
                      <w:highlight w:val="none"/>
                      <w:lang w:eastAsia="zh-CN"/>
                    </w:rPr>
                    <w:t>、</w:t>
                  </w:r>
                  <w:r>
                    <w:rPr>
                      <w:rFonts w:hint="default"/>
                      <w:szCs w:val="22"/>
                      <w:highlight w:val="none"/>
                    </w:rPr>
                    <w:t>涉及钝化工艺的热镀锌</w:t>
                  </w:r>
                </w:p>
                <w:p w14:paraId="763C76FE">
                  <w:pPr>
                    <w:pStyle w:val="38"/>
                    <w:keepNext w:val="0"/>
                    <w:keepLines w:val="0"/>
                    <w:widowControl/>
                    <w:suppressLineNumbers w:val="0"/>
                    <w:bidi w:val="0"/>
                    <w:spacing w:before="0" w:beforeAutospacing="0" w:after="0" w:afterAutospacing="0"/>
                    <w:ind w:left="0" w:right="0"/>
                    <w:jc w:val="both"/>
                    <w:rPr>
                      <w:rFonts w:hint="default"/>
                      <w:szCs w:val="22"/>
                      <w:highlight w:val="none"/>
                    </w:rPr>
                  </w:pPr>
                  <w:r>
                    <w:rPr>
                      <w:rFonts w:hint="default"/>
                      <w:szCs w:val="22"/>
                      <w:highlight w:val="none"/>
                      <w:lang w:val="en-US" w:eastAsia="zh-CN"/>
                    </w:rPr>
                    <w:t>4、</w:t>
                  </w:r>
                  <w:r>
                    <w:rPr>
                      <w:rFonts w:hint="default"/>
                      <w:szCs w:val="22"/>
                      <w:highlight w:val="none"/>
                    </w:rPr>
                    <w:t>油性漆使用量超过 10t/a 喷漆工艺</w:t>
                  </w:r>
                </w:p>
                <w:p w14:paraId="39F59260">
                  <w:pPr>
                    <w:pStyle w:val="38"/>
                    <w:keepNext w:val="0"/>
                    <w:keepLines w:val="0"/>
                    <w:widowControl/>
                    <w:suppressLineNumbers w:val="0"/>
                    <w:bidi w:val="0"/>
                    <w:spacing w:before="0" w:beforeAutospacing="0" w:after="0" w:afterAutospacing="0"/>
                    <w:ind w:left="0" w:right="0"/>
                    <w:jc w:val="both"/>
                    <w:rPr>
                      <w:rFonts w:hint="default"/>
                      <w:szCs w:val="22"/>
                      <w:highlight w:val="none"/>
                    </w:rPr>
                  </w:pPr>
                  <w:r>
                    <w:rPr>
                      <w:rFonts w:hint="default"/>
                      <w:szCs w:val="22"/>
                      <w:highlight w:val="none"/>
                      <w:lang w:val="en-US" w:eastAsia="zh-CN"/>
                    </w:rPr>
                    <w:t>5、</w:t>
                  </w:r>
                  <w:r>
                    <w:rPr>
                      <w:rFonts w:hint="default"/>
                      <w:szCs w:val="22"/>
                      <w:highlight w:val="none"/>
                    </w:rPr>
                    <w:t>使用火焰法除旧漆，使用干喷砂除锈</w:t>
                  </w:r>
                </w:p>
                <w:p w14:paraId="3FE63188">
                  <w:pPr>
                    <w:pStyle w:val="38"/>
                    <w:keepNext w:val="0"/>
                    <w:keepLines w:val="0"/>
                    <w:widowControl/>
                    <w:suppressLineNumbers w:val="0"/>
                    <w:bidi w:val="0"/>
                    <w:spacing w:before="0" w:beforeAutospacing="0" w:after="0" w:afterAutospacing="0"/>
                    <w:ind w:left="0" w:right="0"/>
                    <w:jc w:val="both"/>
                    <w:rPr>
                      <w:rFonts w:hint="default"/>
                      <w:szCs w:val="22"/>
                      <w:highlight w:val="none"/>
                    </w:rPr>
                  </w:pPr>
                  <w:r>
                    <w:rPr>
                      <w:rFonts w:hint="default"/>
                      <w:szCs w:val="22"/>
                      <w:highlight w:val="none"/>
                      <w:lang w:val="en-US" w:eastAsia="zh-CN"/>
                    </w:rPr>
                    <w:t>6、</w:t>
                  </w:r>
                  <w:r>
                    <w:rPr>
                      <w:rFonts w:hint="default"/>
                      <w:szCs w:val="22"/>
                      <w:highlight w:val="none"/>
                    </w:rPr>
                    <w:t>采用煤、油、生物质等非清洁能源</w:t>
                  </w:r>
                </w:p>
                <w:p w14:paraId="430B5DC0">
                  <w:pPr>
                    <w:pStyle w:val="38"/>
                    <w:keepNext w:val="0"/>
                    <w:keepLines w:val="0"/>
                    <w:widowControl/>
                    <w:suppressLineNumbers w:val="0"/>
                    <w:bidi w:val="0"/>
                    <w:spacing w:before="0" w:beforeAutospacing="0" w:after="0" w:afterAutospacing="0"/>
                    <w:ind w:left="0" w:right="0"/>
                    <w:jc w:val="both"/>
                    <w:rPr>
                      <w:rFonts w:hint="default"/>
                      <w:szCs w:val="22"/>
                      <w:highlight w:val="none"/>
                    </w:rPr>
                  </w:pPr>
                  <w:r>
                    <w:rPr>
                      <w:rFonts w:hint="default"/>
                      <w:szCs w:val="22"/>
                      <w:highlight w:val="none"/>
                      <w:lang w:val="en-US" w:eastAsia="zh-CN"/>
                    </w:rPr>
                    <w:t>7、</w:t>
                  </w:r>
                  <w:r>
                    <w:rPr>
                      <w:rFonts w:hint="default"/>
                      <w:szCs w:val="22"/>
                      <w:highlight w:val="none"/>
                    </w:rPr>
                    <w:t>铅酸蓄电池制造</w:t>
                  </w:r>
                </w:p>
                <w:p w14:paraId="29EB4FB2">
                  <w:pPr>
                    <w:pStyle w:val="38"/>
                    <w:keepNext w:val="0"/>
                    <w:keepLines w:val="0"/>
                    <w:widowControl/>
                    <w:suppressLineNumbers w:val="0"/>
                    <w:bidi w:val="0"/>
                    <w:spacing w:before="0" w:beforeAutospacing="0" w:after="0" w:afterAutospacing="0"/>
                    <w:ind w:left="0" w:right="0"/>
                    <w:jc w:val="both"/>
                    <w:rPr>
                      <w:rFonts w:hint="default"/>
                      <w:szCs w:val="22"/>
                      <w:highlight w:val="none"/>
                    </w:rPr>
                  </w:pPr>
                  <w:r>
                    <w:rPr>
                      <w:rFonts w:hint="default"/>
                      <w:szCs w:val="22"/>
                      <w:highlight w:val="none"/>
                    </w:rPr>
                    <w:t>8、印刷电路板</w:t>
                  </w:r>
                  <w:r>
                    <w:rPr>
                      <w:rFonts w:hint="eastAsia"/>
                      <w:szCs w:val="22"/>
                      <w:highlight w:val="none"/>
                      <w:lang w:eastAsia="zh-CN"/>
                    </w:rPr>
                    <w:t>（</w:t>
                  </w:r>
                  <w:r>
                    <w:rPr>
                      <w:rFonts w:hint="default"/>
                      <w:szCs w:val="22"/>
                      <w:highlight w:val="none"/>
                    </w:rPr>
                    <w:t>高密度印刷电路板和柔性电路板除外</w:t>
                  </w:r>
                  <w:r>
                    <w:rPr>
                      <w:rFonts w:hint="eastAsia"/>
                      <w:szCs w:val="22"/>
                      <w:highlight w:val="none"/>
                      <w:lang w:eastAsia="zh-CN"/>
                    </w:rPr>
                    <w:t>）</w:t>
                  </w:r>
                  <w:r>
                    <w:rPr>
                      <w:rFonts w:hint="default"/>
                      <w:szCs w:val="22"/>
                      <w:highlight w:val="none"/>
                    </w:rPr>
                    <w:t>现有生产能力允许企业在一定期限内采取措施改造升级</w:t>
                  </w:r>
                </w:p>
              </w:tc>
              <w:tc>
                <w:tcPr>
                  <w:tcW w:w="1693" w:type="pct"/>
                  <w:noWrap w:val="0"/>
                  <w:vAlign w:val="center"/>
                </w:tcPr>
                <w:p w14:paraId="18D04916">
                  <w:pPr>
                    <w:pStyle w:val="38"/>
                    <w:keepNext w:val="0"/>
                    <w:keepLines w:val="0"/>
                    <w:widowControl/>
                    <w:suppressLineNumbers w:val="0"/>
                    <w:bidi w:val="0"/>
                    <w:spacing w:before="0" w:beforeAutospacing="0" w:after="0" w:afterAutospacing="0"/>
                    <w:ind w:left="0" w:right="0"/>
                    <w:jc w:val="both"/>
                    <w:rPr>
                      <w:rFonts w:hint="eastAsia"/>
                      <w:szCs w:val="22"/>
                      <w:highlight w:val="none"/>
                      <w:lang w:val="en-US" w:eastAsia="zh-CN"/>
                    </w:rPr>
                  </w:pPr>
                  <w:r>
                    <w:rPr>
                      <w:rFonts w:hint="eastAsia"/>
                      <w:szCs w:val="22"/>
                      <w:highlight w:val="none"/>
                      <w:lang w:val="en-US" w:eastAsia="zh-CN"/>
                    </w:rPr>
                    <w:t>1、本项目不涉及有机涂层；</w:t>
                  </w:r>
                </w:p>
                <w:p w14:paraId="6D94D8D7">
                  <w:pPr>
                    <w:pStyle w:val="38"/>
                    <w:keepNext w:val="0"/>
                    <w:keepLines w:val="0"/>
                    <w:widowControl/>
                    <w:suppressLineNumbers w:val="0"/>
                    <w:bidi w:val="0"/>
                    <w:spacing w:before="0" w:beforeAutospacing="0" w:after="0" w:afterAutospacing="0"/>
                    <w:ind w:left="0" w:right="0"/>
                    <w:jc w:val="both"/>
                    <w:rPr>
                      <w:rFonts w:hint="eastAsia"/>
                      <w:szCs w:val="22"/>
                      <w:highlight w:val="none"/>
                      <w:lang w:val="en-US" w:eastAsia="zh-CN"/>
                    </w:rPr>
                  </w:pPr>
                  <w:r>
                    <w:rPr>
                      <w:rFonts w:hint="eastAsia"/>
                      <w:szCs w:val="22"/>
                      <w:highlight w:val="none"/>
                      <w:lang w:val="en-US" w:eastAsia="zh-CN"/>
                    </w:rPr>
                    <w:t>2、本项目不涉及熔炼、电镀工艺；</w:t>
                  </w:r>
                </w:p>
                <w:p w14:paraId="6ED27141">
                  <w:pPr>
                    <w:pStyle w:val="38"/>
                    <w:keepNext w:val="0"/>
                    <w:keepLines w:val="0"/>
                    <w:widowControl/>
                    <w:suppressLineNumbers w:val="0"/>
                    <w:bidi w:val="0"/>
                    <w:spacing w:before="0" w:beforeAutospacing="0" w:after="0" w:afterAutospacing="0"/>
                    <w:ind w:left="0" w:right="0"/>
                    <w:jc w:val="both"/>
                    <w:rPr>
                      <w:rFonts w:hint="eastAsia"/>
                      <w:szCs w:val="22"/>
                      <w:highlight w:val="none"/>
                      <w:lang w:val="en-US" w:eastAsia="zh-CN"/>
                    </w:rPr>
                  </w:pPr>
                  <w:r>
                    <w:rPr>
                      <w:rFonts w:hint="eastAsia"/>
                      <w:szCs w:val="22"/>
                      <w:highlight w:val="none"/>
                      <w:lang w:val="en-US" w:eastAsia="zh-CN"/>
                    </w:rPr>
                    <w:t>3、本项目不涉及钝化工艺的热镀锌；</w:t>
                  </w:r>
                </w:p>
                <w:p w14:paraId="58103181">
                  <w:pPr>
                    <w:pStyle w:val="38"/>
                    <w:keepNext w:val="0"/>
                    <w:keepLines w:val="0"/>
                    <w:widowControl/>
                    <w:suppressLineNumbers w:val="0"/>
                    <w:bidi w:val="0"/>
                    <w:spacing w:before="0" w:beforeAutospacing="0" w:after="0" w:afterAutospacing="0"/>
                    <w:ind w:left="0" w:right="0"/>
                    <w:jc w:val="both"/>
                    <w:rPr>
                      <w:rFonts w:hint="eastAsia"/>
                      <w:szCs w:val="22"/>
                      <w:highlight w:val="none"/>
                      <w:lang w:val="en-US" w:eastAsia="zh-CN"/>
                    </w:rPr>
                  </w:pPr>
                  <w:r>
                    <w:rPr>
                      <w:rFonts w:hint="eastAsia"/>
                      <w:szCs w:val="22"/>
                      <w:highlight w:val="none"/>
                      <w:lang w:val="en-US" w:eastAsia="zh-CN"/>
                    </w:rPr>
                    <w:t>4、本项目油性漆使用量为3.9t/a，不超过10t/a，符合要求；</w:t>
                  </w:r>
                </w:p>
                <w:p w14:paraId="7E98CB12">
                  <w:pPr>
                    <w:pStyle w:val="38"/>
                    <w:keepNext w:val="0"/>
                    <w:keepLines w:val="0"/>
                    <w:widowControl/>
                    <w:suppressLineNumbers w:val="0"/>
                    <w:bidi w:val="0"/>
                    <w:spacing w:before="0" w:beforeAutospacing="0" w:after="0" w:afterAutospacing="0"/>
                    <w:ind w:left="0" w:right="0"/>
                    <w:jc w:val="both"/>
                    <w:rPr>
                      <w:rFonts w:hint="eastAsia"/>
                      <w:szCs w:val="22"/>
                      <w:highlight w:val="none"/>
                      <w:lang w:val="en-US" w:eastAsia="zh-CN"/>
                    </w:rPr>
                  </w:pPr>
                  <w:r>
                    <w:rPr>
                      <w:rFonts w:hint="eastAsia"/>
                      <w:szCs w:val="22"/>
                      <w:highlight w:val="none"/>
                      <w:lang w:val="en-US" w:eastAsia="zh-CN"/>
                    </w:rPr>
                    <w:t>5、本项目不涉及火焰法除旧漆，不使用干喷砂除锈；</w:t>
                  </w:r>
                </w:p>
                <w:p w14:paraId="06EBBCB3">
                  <w:pPr>
                    <w:pStyle w:val="38"/>
                    <w:keepNext w:val="0"/>
                    <w:keepLines w:val="0"/>
                    <w:widowControl/>
                    <w:suppressLineNumbers w:val="0"/>
                    <w:bidi w:val="0"/>
                    <w:spacing w:before="0" w:beforeAutospacing="0" w:after="0" w:afterAutospacing="0"/>
                    <w:ind w:left="0" w:right="0"/>
                    <w:jc w:val="both"/>
                    <w:rPr>
                      <w:rFonts w:hint="eastAsia"/>
                      <w:szCs w:val="22"/>
                      <w:highlight w:val="none"/>
                      <w:lang w:val="en-US" w:eastAsia="zh-CN"/>
                    </w:rPr>
                  </w:pPr>
                  <w:r>
                    <w:rPr>
                      <w:rFonts w:hint="eastAsia"/>
                      <w:szCs w:val="22"/>
                      <w:highlight w:val="none"/>
                      <w:lang w:val="en-US" w:eastAsia="zh-CN"/>
                    </w:rPr>
                    <w:t>6、本项目使用电能作为能源；</w:t>
                  </w:r>
                </w:p>
                <w:p w14:paraId="2F4B09CD">
                  <w:pPr>
                    <w:pStyle w:val="38"/>
                    <w:keepNext w:val="0"/>
                    <w:keepLines w:val="0"/>
                    <w:widowControl/>
                    <w:suppressLineNumbers w:val="0"/>
                    <w:bidi w:val="0"/>
                    <w:spacing w:before="0" w:beforeAutospacing="0" w:after="0" w:afterAutospacing="0"/>
                    <w:ind w:left="0" w:right="0"/>
                    <w:jc w:val="both"/>
                    <w:rPr>
                      <w:rFonts w:hint="eastAsia"/>
                      <w:szCs w:val="22"/>
                      <w:highlight w:val="none"/>
                      <w:lang w:val="en-US" w:eastAsia="zh-CN"/>
                    </w:rPr>
                  </w:pPr>
                  <w:r>
                    <w:rPr>
                      <w:rFonts w:hint="eastAsia"/>
                      <w:szCs w:val="22"/>
                      <w:highlight w:val="none"/>
                      <w:lang w:val="en-US" w:eastAsia="zh-CN"/>
                    </w:rPr>
                    <w:t>7、本项目不涉及铅酸蓄电池制造；</w:t>
                  </w:r>
                </w:p>
                <w:p w14:paraId="684AE5A2">
                  <w:pPr>
                    <w:pStyle w:val="38"/>
                    <w:keepNext w:val="0"/>
                    <w:keepLines w:val="0"/>
                    <w:widowControl/>
                    <w:suppressLineNumbers w:val="0"/>
                    <w:bidi w:val="0"/>
                    <w:spacing w:before="0" w:beforeAutospacing="0" w:after="0" w:afterAutospacing="0"/>
                    <w:ind w:left="0" w:right="0"/>
                    <w:jc w:val="both"/>
                    <w:rPr>
                      <w:rFonts w:hint="default"/>
                      <w:szCs w:val="22"/>
                      <w:highlight w:val="none"/>
                      <w:lang w:val="en-US" w:eastAsia="zh-CN"/>
                    </w:rPr>
                  </w:pPr>
                  <w:r>
                    <w:rPr>
                      <w:rFonts w:hint="eastAsia"/>
                      <w:szCs w:val="22"/>
                      <w:highlight w:val="none"/>
                      <w:lang w:val="en-US" w:eastAsia="zh-CN"/>
                    </w:rPr>
                    <w:t>8、本项目不涉及印刷电路板</w:t>
                  </w:r>
                </w:p>
              </w:tc>
              <w:tc>
                <w:tcPr>
                  <w:tcW w:w="492" w:type="pct"/>
                  <w:noWrap w:val="0"/>
                  <w:vAlign w:val="center"/>
                </w:tcPr>
                <w:p w14:paraId="1ADD1FB3">
                  <w:pPr>
                    <w:pStyle w:val="38"/>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符合</w:t>
                  </w:r>
                </w:p>
              </w:tc>
            </w:tr>
            <w:tr w14:paraId="01D104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4" w:type="pct"/>
                  <w:noWrap w:val="0"/>
                  <w:vAlign w:val="center"/>
                </w:tcPr>
                <w:p w14:paraId="0869D1A9">
                  <w:pPr>
                    <w:pStyle w:val="38"/>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lang w:val="en-US" w:eastAsia="zh-CN"/>
                    </w:rPr>
                    <w:t>类别名称</w:t>
                  </w:r>
                </w:p>
              </w:tc>
              <w:tc>
                <w:tcPr>
                  <w:tcW w:w="2269" w:type="pct"/>
                  <w:gridSpan w:val="3"/>
                  <w:noWrap w:val="0"/>
                  <w:vAlign w:val="center"/>
                </w:tcPr>
                <w:p w14:paraId="12C7F67F">
                  <w:pPr>
                    <w:pStyle w:val="38"/>
                    <w:keepNext w:val="0"/>
                    <w:keepLines w:val="0"/>
                    <w:widowControl/>
                    <w:suppressLineNumbers w:val="0"/>
                    <w:bidi w:val="0"/>
                    <w:spacing w:before="0" w:beforeAutospacing="0" w:after="0" w:afterAutospacing="0"/>
                    <w:ind w:left="0" w:right="0"/>
                    <w:jc w:val="center"/>
                    <w:rPr>
                      <w:rFonts w:hint="default"/>
                      <w:szCs w:val="22"/>
                      <w:highlight w:val="none"/>
                      <w:lang w:val="en-US" w:eastAsia="zh-CN"/>
                    </w:rPr>
                  </w:pPr>
                  <w:r>
                    <w:rPr>
                      <w:rFonts w:hint="default"/>
                      <w:szCs w:val="22"/>
                      <w:highlight w:val="none"/>
                    </w:rPr>
                    <w:t>环境风险</w:t>
                  </w:r>
                  <w:r>
                    <w:rPr>
                      <w:rFonts w:hint="default"/>
                      <w:szCs w:val="22"/>
                      <w:highlight w:val="none"/>
                      <w:lang w:val="en-US" w:eastAsia="zh-CN"/>
                    </w:rPr>
                    <w:t>防控</w:t>
                  </w:r>
                </w:p>
              </w:tc>
              <w:tc>
                <w:tcPr>
                  <w:tcW w:w="1693" w:type="pct"/>
                  <w:noWrap w:val="0"/>
                  <w:vAlign w:val="center"/>
                </w:tcPr>
                <w:p w14:paraId="738FA6C1">
                  <w:pPr>
                    <w:pStyle w:val="38"/>
                    <w:keepNext w:val="0"/>
                    <w:keepLines w:val="0"/>
                    <w:widowControl/>
                    <w:suppressLineNumbers w:val="0"/>
                    <w:bidi w:val="0"/>
                    <w:spacing w:before="0" w:beforeAutospacing="0" w:after="0" w:afterAutospacing="0"/>
                    <w:ind w:left="0" w:right="0"/>
                    <w:jc w:val="center"/>
                    <w:rPr>
                      <w:rFonts w:hint="default"/>
                      <w:szCs w:val="22"/>
                      <w:highlight w:val="none"/>
                    </w:rPr>
                  </w:pPr>
                  <w:r>
                    <w:rPr>
                      <w:rFonts w:hint="default"/>
                      <w:szCs w:val="22"/>
                      <w:highlight w:val="none"/>
                    </w:rPr>
                    <w:t>本项目</w:t>
                  </w:r>
                </w:p>
              </w:tc>
              <w:tc>
                <w:tcPr>
                  <w:tcW w:w="492" w:type="pct"/>
                  <w:noWrap w:val="0"/>
                  <w:vAlign w:val="center"/>
                </w:tcPr>
                <w:p w14:paraId="288A8B2D">
                  <w:pPr>
                    <w:pStyle w:val="38"/>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符合性</w:t>
                  </w:r>
                </w:p>
              </w:tc>
            </w:tr>
            <w:tr w14:paraId="4E94D0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4" w:type="pct"/>
                  <w:noWrap w:val="0"/>
                  <w:vAlign w:val="center"/>
                </w:tcPr>
                <w:p w14:paraId="6C198645">
                  <w:pPr>
                    <w:pStyle w:val="38"/>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29橡胶和塑料制品业</w:t>
                  </w:r>
                </w:p>
              </w:tc>
              <w:tc>
                <w:tcPr>
                  <w:tcW w:w="2269" w:type="pct"/>
                  <w:gridSpan w:val="3"/>
                  <w:vMerge w:val="restart"/>
                  <w:noWrap w:val="0"/>
                  <w:vAlign w:val="center"/>
                </w:tcPr>
                <w:p w14:paraId="0250C0F4">
                  <w:pPr>
                    <w:pStyle w:val="38"/>
                    <w:keepNext w:val="0"/>
                    <w:keepLines w:val="0"/>
                    <w:widowControl/>
                    <w:suppressLineNumbers w:val="0"/>
                    <w:bidi w:val="0"/>
                    <w:spacing w:before="0" w:beforeAutospacing="0" w:after="0" w:afterAutospacing="0"/>
                    <w:ind w:left="0" w:right="0"/>
                    <w:jc w:val="both"/>
                    <w:rPr>
                      <w:rFonts w:hint="default"/>
                      <w:szCs w:val="22"/>
                      <w:highlight w:val="none"/>
                    </w:rPr>
                  </w:pPr>
                  <w:r>
                    <w:rPr>
                      <w:rFonts w:hint="default"/>
                      <w:szCs w:val="22"/>
                      <w:highlight w:val="none"/>
                    </w:rPr>
                    <w:t>1、必须规范配套应急池，建设企业、园区和周边水系三级环境风险防控工程，确保有效拦截、降污和倒流；受园区排污影响的周边水系应建设应急闸门，防止泄漏物和消防水等排入外环境。</w:t>
                  </w:r>
                </w:p>
                <w:p w14:paraId="3BF79630">
                  <w:pPr>
                    <w:pStyle w:val="38"/>
                    <w:keepNext w:val="0"/>
                    <w:keepLines w:val="0"/>
                    <w:widowControl/>
                    <w:suppressLineNumbers w:val="0"/>
                    <w:bidi w:val="0"/>
                    <w:spacing w:before="0" w:beforeAutospacing="0" w:after="0" w:afterAutospacing="0"/>
                    <w:ind w:left="0" w:right="0"/>
                    <w:jc w:val="both"/>
                    <w:rPr>
                      <w:rFonts w:hint="default"/>
                      <w:szCs w:val="22"/>
                      <w:highlight w:val="none"/>
                    </w:rPr>
                  </w:pPr>
                  <w:r>
                    <w:rPr>
                      <w:rFonts w:hint="default"/>
                      <w:szCs w:val="22"/>
                      <w:highlight w:val="none"/>
                    </w:rPr>
                    <w:t>2、开发区内污水处理设施应采取必要的防渗处理，不得污染地下水环境。</w:t>
                  </w:r>
                </w:p>
              </w:tc>
              <w:tc>
                <w:tcPr>
                  <w:tcW w:w="1693" w:type="pct"/>
                  <w:vMerge w:val="restart"/>
                  <w:noWrap w:val="0"/>
                  <w:vAlign w:val="center"/>
                </w:tcPr>
                <w:p w14:paraId="714C5D0C">
                  <w:pPr>
                    <w:pStyle w:val="38"/>
                    <w:keepNext w:val="0"/>
                    <w:keepLines w:val="0"/>
                    <w:widowControl/>
                    <w:suppressLineNumbers w:val="0"/>
                    <w:bidi w:val="0"/>
                    <w:spacing w:before="0" w:beforeAutospacing="0" w:after="0" w:afterAutospacing="0"/>
                    <w:ind w:left="0" w:right="0"/>
                    <w:jc w:val="both"/>
                    <w:rPr>
                      <w:rFonts w:hint="default"/>
                      <w:szCs w:val="22"/>
                      <w:highlight w:val="none"/>
                      <w:lang w:val="en-US" w:eastAsia="zh-CN"/>
                    </w:rPr>
                  </w:pPr>
                  <w:r>
                    <w:rPr>
                      <w:rFonts w:hint="default"/>
                      <w:szCs w:val="22"/>
                      <w:highlight w:val="none"/>
                      <w:lang w:val="en-US" w:eastAsia="zh-CN"/>
                    </w:rPr>
                    <w:t>项目不涉及生产废水排放，生活污水依托厂区内现有的化粪池预处理后排入市政污水管网。</w:t>
                  </w:r>
                </w:p>
              </w:tc>
              <w:tc>
                <w:tcPr>
                  <w:tcW w:w="492" w:type="pct"/>
                  <w:vMerge w:val="restart"/>
                  <w:noWrap w:val="0"/>
                  <w:vAlign w:val="center"/>
                </w:tcPr>
                <w:p w14:paraId="16953343">
                  <w:pPr>
                    <w:pStyle w:val="38"/>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符合</w:t>
                  </w:r>
                </w:p>
              </w:tc>
            </w:tr>
            <w:tr w14:paraId="3512B5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4" w:type="pct"/>
                  <w:noWrap w:val="0"/>
                  <w:vAlign w:val="center"/>
                </w:tcPr>
                <w:p w14:paraId="6BC2517E">
                  <w:pPr>
                    <w:pStyle w:val="38"/>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33金属制品业</w:t>
                  </w:r>
                </w:p>
              </w:tc>
              <w:tc>
                <w:tcPr>
                  <w:tcW w:w="2269" w:type="pct"/>
                  <w:gridSpan w:val="3"/>
                  <w:vMerge w:val="continue"/>
                  <w:noWrap w:val="0"/>
                  <w:vAlign w:val="center"/>
                </w:tcPr>
                <w:p w14:paraId="5966412F">
                  <w:pPr>
                    <w:pStyle w:val="38"/>
                    <w:keepNext w:val="0"/>
                    <w:keepLines w:val="0"/>
                    <w:widowControl/>
                    <w:suppressLineNumbers w:val="0"/>
                    <w:bidi w:val="0"/>
                    <w:spacing w:before="0" w:beforeAutospacing="0" w:after="0" w:afterAutospacing="0"/>
                    <w:ind w:left="0" w:right="0"/>
                    <w:jc w:val="both"/>
                    <w:rPr>
                      <w:rFonts w:hint="default"/>
                      <w:szCs w:val="22"/>
                      <w:highlight w:val="none"/>
                    </w:rPr>
                  </w:pPr>
                </w:p>
              </w:tc>
              <w:tc>
                <w:tcPr>
                  <w:tcW w:w="1693" w:type="pct"/>
                  <w:vMerge w:val="continue"/>
                  <w:noWrap w:val="0"/>
                  <w:vAlign w:val="center"/>
                </w:tcPr>
                <w:p w14:paraId="34037888">
                  <w:pPr>
                    <w:pStyle w:val="38"/>
                    <w:keepNext w:val="0"/>
                    <w:keepLines w:val="0"/>
                    <w:widowControl/>
                    <w:suppressLineNumbers w:val="0"/>
                    <w:bidi w:val="0"/>
                    <w:spacing w:before="0" w:beforeAutospacing="0" w:after="0" w:afterAutospacing="0"/>
                    <w:ind w:left="0" w:right="0"/>
                    <w:jc w:val="both"/>
                    <w:rPr>
                      <w:rFonts w:hint="default"/>
                      <w:szCs w:val="22"/>
                      <w:highlight w:val="none"/>
                      <w:lang w:val="en-US" w:eastAsia="zh-CN"/>
                    </w:rPr>
                  </w:pPr>
                </w:p>
              </w:tc>
              <w:tc>
                <w:tcPr>
                  <w:tcW w:w="492" w:type="pct"/>
                  <w:vMerge w:val="continue"/>
                  <w:noWrap w:val="0"/>
                  <w:vAlign w:val="center"/>
                </w:tcPr>
                <w:p w14:paraId="1B25535E">
                  <w:pPr>
                    <w:pStyle w:val="38"/>
                    <w:keepNext w:val="0"/>
                    <w:keepLines w:val="0"/>
                    <w:widowControl/>
                    <w:suppressLineNumbers w:val="0"/>
                    <w:bidi w:val="0"/>
                    <w:spacing w:before="0" w:beforeAutospacing="0" w:after="0" w:afterAutospacing="0"/>
                    <w:ind w:left="0" w:right="0"/>
                    <w:rPr>
                      <w:rFonts w:hint="default"/>
                      <w:szCs w:val="22"/>
                      <w:highlight w:val="none"/>
                    </w:rPr>
                  </w:pPr>
                </w:p>
              </w:tc>
            </w:tr>
            <w:tr w14:paraId="67FE34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4" w:type="pct"/>
                  <w:noWrap w:val="0"/>
                  <w:vAlign w:val="center"/>
                </w:tcPr>
                <w:p w14:paraId="79E0FF13">
                  <w:pPr>
                    <w:pStyle w:val="38"/>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lang w:val="en-US" w:eastAsia="zh-CN"/>
                    </w:rPr>
                    <w:t>类别名称</w:t>
                  </w:r>
                </w:p>
              </w:tc>
              <w:tc>
                <w:tcPr>
                  <w:tcW w:w="2269" w:type="pct"/>
                  <w:gridSpan w:val="3"/>
                  <w:noWrap w:val="0"/>
                  <w:vAlign w:val="center"/>
                </w:tcPr>
                <w:p w14:paraId="04C1F84C">
                  <w:pPr>
                    <w:pStyle w:val="38"/>
                    <w:keepNext w:val="0"/>
                    <w:keepLines w:val="0"/>
                    <w:widowControl/>
                    <w:suppressLineNumbers w:val="0"/>
                    <w:bidi w:val="0"/>
                    <w:spacing w:before="0" w:beforeAutospacing="0" w:after="0" w:afterAutospacing="0"/>
                    <w:ind w:left="0" w:right="0"/>
                    <w:jc w:val="center"/>
                    <w:rPr>
                      <w:rFonts w:hint="default"/>
                      <w:szCs w:val="22"/>
                      <w:highlight w:val="none"/>
                      <w:lang w:val="en-US" w:eastAsia="zh-CN"/>
                    </w:rPr>
                  </w:pPr>
                  <w:r>
                    <w:rPr>
                      <w:rFonts w:hint="default"/>
                      <w:szCs w:val="22"/>
                      <w:highlight w:val="none"/>
                    </w:rPr>
                    <w:t>污染物排放管</w:t>
                  </w:r>
                  <w:r>
                    <w:rPr>
                      <w:rFonts w:hint="default"/>
                      <w:szCs w:val="22"/>
                      <w:highlight w:val="none"/>
                      <w:lang w:val="en-US" w:eastAsia="zh-CN"/>
                    </w:rPr>
                    <w:t>控</w:t>
                  </w:r>
                </w:p>
              </w:tc>
              <w:tc>
                <w:tcPr>
                  <w:tcW w:w="1693" w:type="pct"/>
                  <w:noWrap w:val="0"/>
                  <w:vAlign w:val="center"/>
                </w:tcPr>
                <w:p w14:paraId="25E3EC47">
                  <w:pPr>
                    <w:pStyle w:val="38"/>
                    <w:keepNext w:val="0"/>
                    <w:keepLines w:val="0"/>
                    <w:widowControl/>
                    <w:suppressLineNumbers w:val="0"/>
                    <w:bidi w:val="0"/>
                    <w:spacing w:before="0" w:beforeAutospacing="0" w:after="0" w:afterAutospacing="0"/>
                    <w:ind w:left="0" w:right="0"/>
                    <w:jc w:val="center"/>
                    <w:rPr>
                      <w:rFonts w:hint="default"/>
                      <w:szCs w:val="22"/>
                      <w:highlight w:val="none"/>
                    </w:rPr>
                  </w:pPr>
                  <w:r>
                    <w:rPr>
                      <w:rFonts w:hint="default"/>
                      <w:szCs w:val="22"/>
                      <w:highlight w:val="none"/>
                    </w:rPr>
                    <w:t>本项目</w:t>
                  </w:r>
                </w:p>
              </w:tc>
              <w:tc>
                <w:tcPr>
                  <w:tcW w:w="492" w:type="pct"/>
                  <w:noWrap w:val="0"/>
                  <w:vAlign w:val="center"/>
                </w:tcPr>
                <w:p w14:paraId="2A329247">
                  <w:pPr>
                    <w:pStyle w:val="38"/>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default"/>
                      <w:szCs w:val="22"/>
                      <w:highlight w:val="none"/>
                    </w:rPr>
                    <w:t>符合性</w:t>
                  </w:r>
                </w:p>
              </w:tc>
            </w:tr>
            <w:tr w14:paraId="5DE769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4" w:type="pct"/>
                  <w:noWrap w:val="0"/>
                  <w:vAlign w:val="center"/>
                </w:tcPr>
                <w:p w14:paraId="77794E88">
                  <w:pPr>
                    <w:pStyle w:val="38"/>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29橡胶和塑料制品业</w:t>
                  </w:r>
                </w:p>
              </w:tc>
              <w:tc>
                <w:tcPr>
                  <w:tcW w:w="2269" w:type="pct"/>
                  <w:gridSpan w:val="3"/>
                  <w:vMerge w:val="restart"/>
                  <w:noWrap w:val="0"/>
                  <w:vAlign w:val="center"/>
                </w:tcPr>
                <w:p w14:paraId="4AA0EA69">
                  <w:pPr>
                    <w:pStyle w:val="38"/>
                    <w:keepNext w:val="0"/>
                    <w:keepLines w:val="0"/>
                    <w:widowControl/>
                    <w:suppressLineNumbers w:val="0"/>
                    <w:bidi w:val="0"/>
                    <w:spacing w:before="0" w:beforeAutospacing="0" w:after="0" w:afterAutospacing="0"/>
                    <w:ind w:left="0" w:right="0"/>
                    <w:jc w:val="both"/>
                    <w:rPr>
                      <w:rFonts w:hint="default"/>
                      <w:szCs w:val="22"/>
                      <w:highlight w:val="none"/>
                    </w:rPr>
                  </w:pPr>
                  <w:r>
                    <w:rPr>
                      <w:rFonts w:hint="default"/>
                      <w:szCs w:val="22"/>
                      <w:highlight w:val="none"/>
                    </w:rPr>
                    <w:t>1、新、改、扩建项目新增大气污染物</w:t>
                  </w:r>
                  <w:r>
                    <w:rPr>
                      <w:rFonts w:hint="eastAsia"/>
                      <w:szCs w:val="22"/>
                      <w:highlight w:val="none"/>
                      <w:lang w:val="en-US" w:eastAsia="zh-CN"/>
                    </w:rPr>
                    <w:t>（</w:t>
                  </w:r>
                  <w:r>
                    <w:rPr>
                      <w:rFonts w:hint="default"/>
                      <w:szCs w:val="22"/>
                      <w:highlight w:val="none"/>
                    </w:rPr>
                    <w:t>现阶段指SO</w:t>
                  </w:r>
                  <w:r>
                    <w:rPr>
                      <w:rFonts w:hint="default"/>
                      <w:szCs w:val="22"/>
                      <w:highlight w:val="none"/>
                      <w:vertAlign w:val="subscript"/>
                    </w:rPr>
                    <w:t>2</w:t>
                  </w:r>
                  <w:r>
                    <w:rPr>
                      <w:rFonts w:hint="default"/>
                      <w:szCs w:val="22"/>
                      <w:highlight w:val="none"/>
                    </w:rPr>
                    <w:t>、NOx</w:t>
                  </w:r>
                  <w:r>
                    <w:rPr>
                      <w:rFonts w:hint="eastAsia"/>
                      <w:szCs w:val="22"/>
                      <w:highlight w:val="none"/>
                      <w:lang w:val="en-US" w:eastAsia="zh-CN"/>
                    </w:rPr>
                    <w:t>）</w:t>
                  </w:r>
                  <w:r>
                    <w:rPr>
                      <w:rFonts w:hint="default"/>
                      <w:szCs w:val="22"/>
                      <w:highlight w:val="none"/>
                    </w:rPr>
                    <w:t>排放量实行1.5 倍削减替代</w:t>
                  </w:r>
                  <w:r>
                    <w:rPr>
                      <w:rFonts w:hint="eastAsia"/>
                      <w:szCs w:val="22"/>
                      <w:highlight w:val="none"/>
                      <w:lang w:val="en-US" w:eastAsia="zh-CN"/>
                    </w:rPr>
                    <w:t>（</w:t>
                  </w:r>
                  <w:r>
                    <w:rPr>
                      <w:rFonts w:hint="default"/>
                      <w:szCs w:val="22"/>
                      <w:highlight w:val="none"/>
                    </w:rPr>
                    <w:t>不含使用天然气、液化石油气等作为燃料的非火电锅炉和</w:t>
                  </w:r>
                </w:p>
                <w:p w14:paraId="3357AE09">
                  <w:pPr>
                    <w:pStyle w:val="38"/>
                    <w:keepNext w:val="0"/>
                    <w:keepLines w:val="0"/>
                    <w:widowControl/>
                    <w:suppressLineNumbers w:val="0"/>
                    <w:bidi w:val="0"/>
                    <w:spacing w:before="0" w:beforeAutospacing="0" w:after="0" w:afterAutospacing="0"/>
                    <w:ind w:left="0" w:right="0"/>
                    <w:jc w:val="both"/>
                    <w:rPr>
                      <w:rFonts w:hint="default"/>
                      <w:szCs w:val="22"/>
                      <w:highlight w:val="none"/>
                    </w:rPr>
                  </w:pPr>
                  <w:r>
                    <w:rPr>
                      <w:rFonts w:hint="default"/>
                      <w:szCs w:val="22"/>
                      <w:highlight w:val="none"/>
                    </w:rPr>
                    <w:t>工业炉窑</w:t>
                  </w:r>
                  <w:r>
                    <w:rPr>
                      <w:rFonts w:hint="eastAsia"/>
                      <w:szCs w:val="22"/>
                      <w:highlight w:val="none"/>
                      <w:lang w:val="en-US" w:eastAsia="zh-CN"/>
                    </w:rPr>
                    <w:t>）</w:t>
                  </w:r>
                  <w:r>
                    <w:rPr>
                      <w:rFonts w:hint="default"/>
                      <w:szCs w:val="22"/>
                      <w:highlight w:val="none"/>
                    </w:rPr>
                    <w:t>。</w:t>
                  </w:r>
                </w:p>
                <w:p w14:paraId="398C3C9B">
                  <w:pPr>
                    <w:pStyle w:val="38"/>
                    <w:keepNext w:val="0"/>
                    <w:keepLines w:val="0"/>
                    <w:widowControl/>
                    <w:suppressLineNumbers w:val="0"/>
                    <w:bidi w:val="0"/>
                    <w:spacing w:before="0" w:beforeAutospacing="0" w:after="0" w:afterAutospacing="0"/>
                    <w:ind w:left="0" w:right="0"/>
                    <w:jc w:val="both"/>
                    <w:rPr>
                      <w:rFonts w:hint="default"/>
                      <w:szCs w:val="22"/>
                      <w:highlight w:val="none"/>
                    </w:rPr>
                  </w:pPr>
                  <w:r>
                    <w:rPr>
                      <w:rFonts w:hint="default"/>
                      <w:szCs w:val="22"/>
                      <w:highlight w:val="none"/>
                    </w:rPr>
                    <w:t>2、新、改、扩建项目新增</w:t>
                  </w:r>
                  <w:r>
                    <w:rPr>
                      <w:rFonts w:hint="eastAsia"/>
                      <w:szCs w:val="22"/>
                      <w:highlight w:val="none"/>
                      <w:lang w:eastAsia="zh-CN"/>
                    </w:rPr>
                    <w:t>VOCs</w:t>
                  </w:r>
                  <w:r>
                    <w:rPr>
                      <w:rFonts w:hint="default"/>
                      <w:szCs w:val="22"/>
                      <w:highlight w:val="none"/>
                    </w:rPr>
                    <w:t xml:space="preserve"> 排放量实行倍量削减替代。</w:t>
                  </w:r>
                </w:p>
                <w:p w14:paraId="3272FF50">
                  <w:pPr>
                    <w:pStyle w:val="38"/>
                    <w:keepNext w:val="0"/>
                    <w:keepLines w:val="0"/>
                    <w:widowControl/>
                    <w:suppressLineNumbers w:val="0"/>
                    <w:bidi w:val="0"/>
                    <w:spacing w:before="0" w:beforeAutospacing="0" w:after="0" w:afterAutospacing="0"/>
                    <w:ind w:left="0" w:right="0"/>
                    <w:jc w:val="both"/>
                    <w:rPr>
                      <w:rFonts w:hint="default"/>
                      <w:szCs w:val="22"/>
                      <w:highlight w:val="none"/>
                    </w:rPr>
                  </w:pPr>
                  <w:r>
                    <w:rPr>
                      <w:rFonts w:hint="default"/>
                      <w:szCs w:val="22"/>
                      <w:highlight w:val="none"/>
                    </w:rPr>
                    <w:t>3、工业企业废水全部纳管进入</w:t>
                  </w:r>
                  <w:r>
                    <w:rPr>
                      <w:rFonts w:hint="eastAsia"/>
                      <w:szCs w:val="22"/>
                      <w:highlight w:val="none"/>
                      <w:lang w:eastAsia="zh-CN"/>
                    </w:rPr>
                    <w:t>污水处理厂</w:t>
                  </w:r>
                  <w:r>
                    <w:rPr>
                      <w:rFonts w:hint="default"/>
                      <w:szCs w:val="22"/>
                      <w:highlight w:val="none"/>
                    </w:rPr>
                    <w:t>集中处理后达标排放。</w:t>
                  </w:r>
                </w:p>
              </w:tc>
              <w:tc>
                <w:tcPr>
                  <w:tcW w:w="1693" w:type="pct"/>
                  <w:vMerge w:val="restart"/>
                  <w:noWrap w:val="0"/>
                  <w:vAlign w:val="center"/>
                </w:tcPr>
                <w:p w14:paraId="0B13174F">
                  <w:pPr>
                    <w:pStyle w:val="38"/>
                    <w:keepNext w:val="0"/>
                    <w:keepLines w:val="0"/>
                    <w:widowControl/>
                    <w:suppressLineNumbers w:val="0"/>
                    <w:bidi w:val="0"/>
                    <w:spacing w:before="0" w:beforeAutospacing="0" w:after="0" w:afterAutospacing="0"/>
                    <w:ind w:left="0" w:right="0"/>
                    <w:jc w:val="both"/>
                    <w:rPr>
                      <w:rFonts w:hint="default"/>
                      <w:szCs w:val="22"/>
                      <w:highlight w:val="none"/>
                      <w:lang w:val="en-US" w:eastAsia="zh-CN"/>
                    </w:rPr>
                  </w:pPr>
                  <w:r>
                    <w:rPr>
                      <w:rFonts w:hint="default"/>
                      <w:szCs w:val="22"/>
                      <w:highlight w:val="none"/>
                      <w:lang w:val="en-US" w:eastAsia="zh-CN"/>
                    </w:rPr>
                    <w:t>1、项目不涉及</w:t>
                  </w:r>
                  <w:r>
                    <w:rPr>
                      <w:rFonts w:hint="default"/>
                      <w:szCs w:val="22"/>
                      <w:highlight w:val="none"/>
                    </w:rPr>
                    <w:t>SO</w:t>
                  </w:r>
                  <w:r>
                    <w:rPr>
                      <w:rFonts w:hint="default"/>
                      <w:szCs w:val="22"/>
                      <w:highlight w:val="none"/>
                      <w:vertAlign w:val="subscript"/>
                    </w:rPr>
                    <w:t>2</w:t>
                  </w:r>
                  <w:r>
                    <w:rPr>
                      <w:rFonts w:hint="default"/>
                      <w:szCs w:val="22"/>
                      <w:highlight w:val="none"/>
                    </w:rPr>
                    <w:t>、NOx</w:t>
                  </w:r>
                  <w:r>
                    <w:rPr>
                      <w:rFonts w:hint="default"/>
                      <w:szCs w:val="22"/>
                      <w:highlight w:val="none"/>
                      <w:lang w:val="en-US" w:eastAsia="zh-CN"/>
                    </w:rPr>
                    <w:t>等污染物排放。</w:t>
                  </w:r>
                </w:p>
                <w:p w14:paraId="0BCDB616">
                  <w:pPr>
                    <w:pStyle w:val="38"/>
                    <w:keepNext w:val="0"/>
                    <w:keepLines w:val="0"/>
                    <w:widowControl/>
                    <w:suppressLineNumbers w:val="0"/>
                    <w:bidi w:val="0"/>
                    <w:spacing w:before="0" w:beforeAutospacing="0" w:after="0" w:afterAutospacing="0"/>
                    <w:ind w:left="0" w:right="0"/>
                    <w:jc w:val="both"/>
                    <w:rPr>
                      <w:rFonts w:hint="default"/>
                      <w:szCs w:val="22"/>
                      <w:highlight w:val="none"/>
                      <w:lang w:eastAsia="zh-CN"/>
                    </w:rPr>
                  </w:pPr>
                  <w:r>
                    <w:rPr>
                      <w:rFonts w:hint="default"/>
                      <w:szCs w:val="22"/>
                      <w:highlight w:val="none"/>
                      <w:lang w:val="en-US" w:eastAsia="zh-CN"/>
                    </w:rPr>
                    <w:t>2、</w:t>
                  </w:r>
                  <w:r>
                    <w:rPr>
                      <w:rFonts w:hint="default"/>
                      <w:szCs w:val="22"/>
                      <w:highlight w:val="none"/>
                    </w:rPr>
                    <w:t>项目排放的</w:t>
                  </w:r>
                  <w:r>
                    <w:rPr>
                      <w:rFonts w:hint="eastAsia"/>
                      <w:szCs w:val="22"/>
                      <w:highlight w:val="none"/>
                      <w:lang w:eastAsia="zh-CN"/>
                    </w:rPr>
                    <w:t>VOCs</w:t>
                  </w:r>
                  <w:r>
                    <w:rPr>
                      <w:rFonts w:hint="default"/>
                      <w:szCs w:val="22"/>
                      <w:highlight w:val="none"/>
                    </w:rPr>
                    <w:t>拟实行区域内倍量替代</w:t>
                  </w:r>
                  <w:r>
                    <w:rPr>
                      <w:rFonts w:hint="default"/>
                      <w:szCs w:val="22"/>
                      <w:highlight w:val="none"/>
                      <w:lang w:eastAsia="zh-CN"/>
                    </w:rPr>
                    <w:t>。</w:t>
                  </w:r>
                </w:p>
                <w:p w14:paraId="2D75E9ED">
                  <w:pPr>
                    <w:pStyle w:val="38"/>
                    <w:keepNext w:val="0"/>
                    <w:keepLines w:val="0"/>
                    <w:widowControl/>
                    <w:suppressLineNumbers w:val="0"/>
                    <w:bidi w:val="0"/>
                    <w:spacing w:before="0" w:beforeAutospacing="0" w:after="0" w:afterAutospacing="0"/>
                    <w:ind w:left="0" w:right="0"/>
                    <w:jc w:val="both"/>
                    <w:rPr>
                      <w:rFonts w:hint="default"/>
                      <w:szCs w:val="22"/>
                      <w:highlight w:val="none"/>
                      <w:lang w:val="en-US" w:eastAsia="zh-CN"/>
                    </w:rPr>
                  </w:pPr>
                  <w:r>
                    <w:rPr>
                      <w:rFonts w:hint="default"/>
                      <w:szCs w:val="22"/>
                      <w:highlight w:val="none"/>
                      <w:lang w:val="en-US" w:eastAsia="zh-CN"/>
                    </w:rPr>
                    <w:t>3、项目不涉及生产废水排放，生活污水依托厂区内现有的化粪池预处理后排入市政污水管网。</w:t>
                  </w:r>
                </w:p>
              </w:tc>
              <w:tc>
                <w:tcPr>
                  <w:tcW w:w="492" w:type="pct"/>
                  <w:vMerge w:val="restart"/>
                  <w:noWrap w:val="0"/>
                  <w:vAlign w:val="center"/>
                </w:tcPr>
                <w:p w14:paraId="3FF71DA1">
                  <w:pPr>
                    <w:pStyle w:val="38"/>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符合</w:t>
                  </w:r>
                </w:p>
              </w:tc>
            </w:tr>
            <w:tr w14:paraId="5A88AA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4" w:type="pct"/>
                  <w:noWrap w:val="0"/>
                  <w:vAlign w:val="center"/>
                </w:tcPr>
                <w:p w14:paraId="202C87C7">
                  <w:pPr>
                    <w:pStyle w:val="38"/>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33金属制品业</w:t>
                  </w:r>
                </w:p>
              </w:tc>
              <w:tc>
                <w:tcPr>
                  <w:tcW w:w="2269" w:type="pct"/>
                  <w:gridSpan w:val="3"/>
                  <w:vMerge w:val="continue"/>
                  <w:noWrap w:val="0"/>
                  <w:vAlign w:val="center"/>
                </w:tcPr>
                <w:p w14:paraId="5E9C330E">
                  <w:pPr>
                    <w:pStyle w:val="38"/>
                    <w:keepNext w:val="0"/>
                    <w:keepLines w:val="0"/>
                    <w:widowControl/>
                    <w:suppressLineNumbers w:val="0"/>
                    <w:bidi w:val="0"/>
                    <w:spacing w:before="0" w:beforeAutospacing="0" w:after="0" w:afterAutospacing="0"/>
                    <w:ind w:left="0" w:right="0"/>
                    <w:jc w:val="both"/>
                    <w:rPr>
                      <w:rFonts w:hint="default"/>
                      <w:szCs w:val="22"/>
                      <w:highlight w:val="none"/>
                    </w:rPr>
                  </w:pPr>
                </w:p>
              </w:tc>
              <w:tc>
                <w:tcPr>
                  <w:tcW w:w="1693" w:type="pct"/>
                  <w:vMerge w:val="continue"/>
                  <w:noWrap w:val="0"/>
                  <w:vAlign w:val="center"/>
                </w:tcPr>
                <w:p w14:paraId="65A8B83A">
                  <w:pPr>
                    <w:pStyle w:val="38"/>
                    <w:keepNext w:val="0"/>
                    <w:keepLines w:val="0"/>
                    <w:widowControl/>
                    <w:suppressLineNumbers w:val="0"/>
                    <w:bidi w:val="0"/>
                    <w:spacing w:before="0" w:beforeAutospacing="0" w:after="0" w:afterAutospacing="0"/>
                    <w:ind w:left="0" w:right="0"/>
                    <w:rPr>
                      <w:rFonts w:hint="default"/>
                      <w:szCs w:val="22"/>
                      <w:highlight w:val="none"/>
                      <w:lang w:val="en-US" w:eastAsia="zh-CN"/>
                    </w:rPr>
                  </w:pPr>
                </w:p>
              </w:tc>
              <w:tc>
                <w:tcPr>
                  <w:tcW w:w="492" w:type="pct"/>
                  <w:vMerge w:val="continue"/>
                  <w:noWrap w:val="0"/>
                  <w:vAlign w:val="center"/>
                </w:tcPr>
                <w:p w14:paraId="568D5042">
                  <w:pPr>
                    <w:pStyle w:val="38"/>
                    <w:keepNext w:val="0"/>
                    <w:keepLines w:val="0"/>
                    <w:widowControl/>
                    <w:suppressLineNumbers w:val="0"/>
                    <w:bidi w:val="0"/>
                    <w:spacing w:before="0" w:beforeAutospacing="0" w:after="0" w:afterAutospacing="0"/>
                    <w:ind w:left="0" w:right="0"/>
                    <w:rPr>
                      <w:rFonts w:hint="default"/>
                      <w:szCs w:val="22"/>
                      <w:highlight w:val="none"/>
                    </w:rPr>
                  </w:pPr>
                </w:p>
              </w:tc>
            </w:tr>
            <w:tr w14:paraId="3FD01C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4" w:type="pct"/>
                  <w:noWrap w:val="0"/>
                  <w:vAlign w:val="center"/>
                </w:tcPr>
                <w:p w14:paraId="4DAB265E">
                  <w:pPr>
                    <w:pStyle w:val="38"/>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lang w:val="en-US" w:eastAsia="zh-CN"/>
                    </w:rPr>
                    <w:t>类别名称</w:t>
                  </w:r>
                </w:p>
              </w:tc>
              <w:tc>
                <w:tcPr>
                  <w:tcW w:w="1134" w:type="pct"/>
                  <w:gridSpan w:val="2"/>
                  <w:noWrap w:val="0"/>
                  <w:vAlign w:val="center"/>
                </w:tcPr>
                <w:p w14:paraId="4175373A">
                  <w:pPr>
                    <w:pStyle w:val="38"/>
                    <w:keepNext w:val="0"/>
                    <w:keepLines w:val="0"/>
                    <w:widowControl/>
                    <w:suppressLineNumbers w:val="0"/>
                    <w:bidi w:val="0"/>
                    <w:spacing w:before="0" w:beforeAutospacing="0" w:after="0" w:afterAutospacing="0"/>
                    <w:ind w:left="0" w:right="0"/>
                    <w:jc w:val="center"/>
                    <w:rPr>
                      <w:rFonts w:hint="default" w:eastAsia="宋体"/>
                      <w:szCs w:val="22"/>
                      <w:highlight w:val="none"/>
                      <w:lang w:val="en-US" w:eastAsia="zh-CN"/>
                    </w:rPr>
                  </w:pPr>
                  <w:r>
                    <w:rPr>
                      <w:rFonts w:hint="eastAsia"/>
                      <w:szCs w:val="22"/>
                      <w:highlight w:val="none"/>
                      <w:lang w:val="en-US" w:eastAsia="zh-CN"/>
                    </w:rPr>
                    <w:t>限制清单</w:t>
                  </w:r>
                </w:p>
              </w:tc>
              <w:tc>
                <w:tcPr>
                  <w:tcW w:w="1135" w:type="pct"/>
                  <w:noWrap w:val="0"/>
                  <w:vAlign w:val="center"/>
                </w:tcPr>
                <w:p w14:paraId="33246F36">
                  <w:pPr>
                    <w:pStyle w:val="38"/>
                    <w:keepNext w:val="0"/>
                    <w:keepLines w:val="0"/>
                    <w:widowControl/>
                    <w:suppressLineNumbers w:val="0"/>
                    <w:bidi w:val="0"/>
                    <w:spacing w:before="0" w:beforeAutospacing="0" w:after="0" w:afterAutospacing="0"/>
                    <w:ind w:left="0" w:leftChars="0" w:right="0" w:rightChars="0"/>
                    <w:jc w:val="center"/>
                    <w:rPr>
                      <w:rFonts w:hint="default"/>
                      <w:szCs w:val="22"/>
                      <w:highlight w:val="none"/>
                    </w:rPr>
                  </w:pPr>
                  <w:r>
                    <w:rPr>
                      <w:rFonts w:hint="default"/>
                      <w:szCs w:val="22"/>
                      <w:highlight w:val="none"/>
                    </w:rPr>
                    <w:t>资源环境效率管控</w:t>
                  </w:r>
                </w:p>
              </w:tc>
              <w:tc>
                <w:tcPr>
                  <w:tcW w:w="1693" w:type="pct"/>
                  <w:noWrap w:val="0"/>
                  <w:vAlign w:val="center"/>
                </w:tcPr>
                <w:p w14:paraId="5F06B59C">
                  <w:pPr>
                    <w:pStyle w:val="38"/>
                    <w:keepNext w:val="0"/>
                    <w:keepLines w:val="0"/>
                    <w:widowControl/>
                    <w:suppressLineNumbers w:val="0"/>
                    <w:bidi w:val="0"/>
                    <w:spacing w:before="0" w:beforeAutospacing="0" w:after="0" w:afterAutospacing="0"/>
                    <w:ind w:left="0" w:right="0"/>
                    <w:jc w:val="center"/>
                    <w:rPr>
                      <w:rFonts w:hint="default"/>
                      <w:szCs w:val="22"/>
                      <w:highlight w:val="none"/>
                    </w:rPr>
                  </w:pPr>
                  <w:r>
                    <w:rPr>
                      <w:rFonts w:hint="default"/>
                      <w:szCs w:val="22"/>
                      <w:highlight w:val="none"/>
                    </w:rPr>
                    <w:t>本项目</w:t>
                  </w:r>
                </w:p>
              </w:tc>
              <w:tc>
                <w:tcPr>
                  <w:tcW w:w="492" w:type="pct"/>
                  <w:noWrap w:val="0"/>
                  <w:vAlign w:val="center"/>
                </w:tcPr>
                <w:p w14:paraId="4FCCA712">
                  <w:pPr>
                    <w:pStyle w:val="38"/>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符合性</w:t>
                  </w:r>
                </w:p>
              </w:tc>
            </w:tr>
            <w:tr w14:paraId="691CC3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44" w:type="pct"/>
                  <w:vMerge w:val="restart"/>
                  <w:noWrap w:val="0"/>
                  <w:vAlign w:val="center"/>
                </w:tcPr>
                <w:p w14:paraId="59664D2E">
                  <w:pPr>
                    <w:pStyle w:val="38"/>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29橡胶和塑料制品业</w:t>
                  </w:r>
                </w:p>
              </w:tc>
              <w:tc>
                <w:tcPr>
                  <w:tcW w:w="567" w:type="pct"/>
                  <w:noWrap w:val="0"/>
                  <w:vAlign w:val="center"/>
                </w:tcPr>
                <w:p w14:paraId="0F5FF8CC">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行业清单</w:t>
                  </w:r>
                </w:p>
              </w:tc>
              <w:tc>
                <w:tcPr>
                  <w:tcW w:w="567" w:type="pct"/>
                  <w:noWrap w:val="0"/>
                  <w:vAlign w:val="center"/>
                </w:tcPr>
                <w:p w14:paraId="25491246">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w:t>
                  </w:r>
                </w:p>
              </w:tc>
              <w:tc>
                <w:tcPr>
                  <w:tcW w:w="1135" w:type="pct"/>
                  <w:vMerge w:val="restart"/>
                  <w:noWrap w:val="0"/>
                  <w:vAlign w:val="center"/>
                </w:tcPr>
                <w:p w14:paraId="4869D09A">
                  <w:pPr>
                    <w:pStyle w:val="38"/>
                    <w:keepNext w:val="0"/>
                    <w:keepLines w:val="0"/>
                    <w:widowControl/>
                    <w:suppressLineNumbers w:val="0"/>
                    <w:bidi w:val="0"/>
                    <w:spacing w:before="0" w:beforeAutospacing="0" w:after="0" w:afterAutospacing="0"/>
                    <w:ind w:left="0" w:right="0"/>
                    <w:rPr>
                      <w:rFonts w:hint="default"/>
                      <w:szCs w:val="22"/>
                      <w:lang w:eastAsia="zh-CN"/>
                    </w:rPr>
                  </w:pPr>
                  <w:r>
                    <w:rPr>
                      <w:rFonts w:hint="default"/>
                      <w:szCs w:val="22"/>
                    </w:rPr>
                    <w:t>1、能耗不超过0.23吨标煤/万元工业增加值</w:t>
                  </w:r>
                  <w:r>
                    <w:rPr>
                      <w:rFonts w:hint="default"/>
                      <w:szCs w:val="22"/>
                      <w:lang w:eastAsia="zh-CN"/>
                    </w:rPr>
                    <w:t>；</w:t>
                  </w:r>
                </w:p>
                <w:p w14:paraId="14395408">
                  <w:pPr>
                    <w:pStyle w:val="38"/>
                    <w:keepNext w:val="0"/>
                    <w:keepLines w:val="0"/>
                    <w:widowControl/>
                    <w:suppressLineNumbers w:val="0"/>
                    <w:bidi w:val="0"/>
                    <w:spacing w:before="0" w:beforeAutospacing="0" w:after="0" w:afterAutospacing="0"/>
                    <w:ind w:left="0" w:right="0"/>
                    <w:rPr>
                      <w:rFonts w:hint="default"/>
                      <w:szCs w:val="22"/>
                      <w:lang w:eastAsia="zh-CN"/>
                    </w:rPr>
                  </w:pPr>
                  <w:r>
                    <w:rPr>
                      <w:rFonts w:hint="default"/>
                      <w:szCs w:val="22"/>
                    </w:rPr>
                    <w:t>2、水耗不超过1.19t/万元工业增加值</w:t>
                  </w:r>
                  <w:r>
                    <w:rPr>
                      <w:rFonts w:hint="default"/>
                      <w:szCs w:val="22"/>
                      <w:lang w:eastAsia="zh-CN"/>
                    </w:rPr>
                    <w:t>；</w:t>
                  </w:r>
                </w:p>
                <w:p w14:paraId="4A71FDED">
                  <w:pPr>
                    <w:pStyle w:val="38"/>
                    <w:keepNext w:val="0"/>
                    <w:keepLines w:val="0"/>
                    <w:widowControl/>
                    <w:suppressLineNumbers w:val="0"/>
                    <w:bidi w:val="0"/>
                    <w:spacing w:before="0" w:beforeAutospacing="0" w:after="0" w:afterAutospacing="0"/>
                    <w:ind w:left="0" w:right="0"/>
                    <w:rPr>
                      <w:rFonts w:hint="default"/>
                      <w:szCs w:val="22"/>
                      <w:lang w:eastAsia="zh-CN"/>
                    </w:rPr>
                  </w:pPr>
                  <w:r>
                    <w:rPr>
                      <w:rFonts w:hint="default"/>
                      <w:szCs w:val="22"/>
                    </w:rPr>
                    <w:t>3、污水排放量不超过</w:t>
                  </w:r>
                  <w:r>
                    <w:rPr>
                      <w:rFonts w:hint="default"/>
                      <w:szCs w:val="22"/>
                      <w:lang w:val="en-US" w:eastAsia="zh-CN"/>
                    </w:rPr>
                    <w:t>0</w:t>
                  </w:r>
                  <w:r>
                    <w:rPr>
                      <w:rFonts w:hint="default"/>
                      <w:szCs w:val="22"/>
                    </w:rPr>
                    <w:t>.46t/万元工业增加值</w:t>
                  </w:r>
                  <w:r>
                    <w:rPr>
                      <w:rFonts w:hint="default"/>
                      <w:szCs w:val="22"/>
                      <w:lang w:eastAsia="zh-CN"/>
                    </w:rPr>
                    <w:t>；</w:t>
                  </w:r>
                </w:p>
                <w:p w14:paraId="6BA7DA37">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4、</w:t>
                  </w:r>
                  <w:r>
                    <w:rPr>
                      <w:rFonts w:hint="eastAsia"/>
                      <w:szCs w:val="22"/>
                      <w:lang w:eastAsia="zh-CN"/>
                    </w:rPr>
                    <w:t>VOCs</w:t>
                  </w:r>
                  <w:r>
                    <w:rPr>
                      <w:rFonts w:hint="default"/>
                      <w:szCs w:val="22"/>
                    </w:rPr>
                    <w:t>排放量不超过0.46kg/万元工业增加值</w:t>
                  </w:r>
                  <w:r>
                    <w:rPr>
                      <w:rFonts w:hint="default"/>
                      <w:szCs w:val="22"/>
                      <w:lang w:eastAsia="zh-CN"/>
                    </w:rPr>
                    <w:t>。</w:t>
                  </w:r>
                </w:p>
              </w:tc>
              <w:tc>
                <w:tcPr>
                  <w:tcW w:w="1693" w:type="pct"/>
                  <w:vMerge w:val="restart"/>
                  <w:noWrap w:val="0"/>
                  <w:vAlign w:val="center"/>
                </w:tcPr>
                <w:p w14:paraId="60B77D46">
                  <w:pPr>
                    <w:pStyle w:val="38"/>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eastAsia"/>
                      <w:szCs w:val="22"/>
                      <w:highlight w:val="none"/>
                      <w:lang w:val="en-US" w:eastAsia="zh-CN"/>
                    </w:rPr>
                    <w:t>本项目主要从事</w:t>
                  </w:r>
                  <w:r>
                    <w:rPr>
                      <w:rFonts w:hint="eastAsia"/>
                      <w:szCs w:val="22"/>
                      <w:lang w:val="zh-CN"/>
                    </w:rPr>
                    <w:t>铝合金、塑胶件及钣金件加工生产，</w:t>
                  </w:r>
                  <w:r>
                    <w:rPr>
                      <w:rFonts w:hint="eastAsia"/>
                      <w:szCs w:val="22"/>
                      <w:lang w:val="en-US" w:eastAsia="zh-CN"/>
                    </w:rPr>
                    <w:t>生产工艺包括打磨、喷漆、烘干、加烤，</w:t>
                  </w:r>
                  <w:r>
                    <w:rPr>
                      <w:rFonts w:hint="eastAsia"/>
                      <w:szCs w:val="22"/>
                      <w:highlight w:val="none"/>
                      <w:lang w:val="en-US" w:eastAsia="zh-CN"/>
                    </w:rPr>
                    <w:t>不涉及</w:t>
                  </w:r>
                  <w:r>
                    <w:rPr>
                      <w:rFonts w:hint="eastAsia"/>
                      <w:szCs w:val="22"/>
                      <w:lang w:val="en-US" w:eastAsia="zh-CN"/>
                    </w:rPr>
                    <w:t>开炼、密炼、硫化工艺，不属于</w:t>
                  </w:r>
                  <w:r>
                    <w:rPr>
                      <w:rFonts w:hint="default"/>
                      <w:szCs w:val="22"/>
                      <w:lang w:eastAsia="zh-CN"/>
                    </w:rPr>
                    <w:t>再生橡胶制造、橡胶加工、橡胶制品翻新</w:t>
                  </w:r>
                  <w:r>
                    <w:rPr>
                      <w:rFonts w:hint="eastAsia"/>
                      <w:szCs w:val="22"/>
                      <w:lang w:eastAsia="zh-CN"/>
                    </w:rPr>
                    <w:t>、</w:t>
                  </w:r>
                  <w:r>
                    <w:rPr>
                      <w:rFonts w:hint="default"/>
                      <w:szCs w:val="22"/>
                      <w:lang w:eastAsia="zh-CN"/>
                    </w:rPr>
                    <w:t>废旧塑料再生</w:t>
                  </w:r>
                  <w:r>
                    <w:rPr>
                      <w:rFonts w:hint="eastAsia"/>
                      <w:szCs w:val="22"/>
                      <w:lang w:eastAsia="zh-CN"/>
                    </w:rPr>
                    <w:t>，</w:t>
                  </w:r>
                  <w:r>
                    <w:rPr>
                      <w:rFonts w:hint="eastAsia"/>
                      <w:szCs w:val="22"/>
                      <w:lang w:val="en-US" w:eastAsia="zh-CN"/>
                    </w:rPr>
                    <w:t>不涉及有机涂层使用、熔炼、电镀工艺，不涉及钝化工艺的热镀锌、油性漆用量3.9t/a，未超过10t/a。</w:t>
                  </w:r>
                </w:p>
              </w:tc>
              <w:tc>
                <w:tcPr>
                  <w:tcW w:w="492" w:type="pct"/>
                  <w:vMerge w:val="restart"/>
                  <w:noWrap w:val="0"/>
                  <w:vAlign w:val="center"/>
                </w:tcPr>
                <w:p w14:paraId="43E8ABD5">
                  <w:pPr>
                    <w:pStyle w:val="38"/>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符合</w:t>
                  </w:r>
                </w:p>
              </w:tc>
            </w:tr>
            <w:tr w14:paraId="66C17F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44" w:type="pct"/>
                  <w:vMerge w:val="continue"/>
                  <w:noWrap w:val="0"/>
                  <w:vAlign w:val="center"/>
                </w:tcPr>
                <w:p w14:paraId="08D301D4">
                  <w:pPr>
                    <w:pStyle w:val="38"/>
                    <w:keepNext w:val="0"/>
                    <w:keepLines w:val="0"/>
                    <w:widowControl/>
                    <w:suppressLineNumbers w:val="0"/>
                    <w:bidi w:val="0"/>
                    <w:spacing w:before="0" w:beforeAutospacing="0" w:after="0" w:afterAutospacing="0"/>
                    <w:ind w:left="0" w:right="0"/>
                    <w:jc w:val="both"/>
                    <w:rPr>
                      <w:rFonts w:hint="eastAsia"/>
                      <w:szCs w:val="22"/>
                    </w:rPr>
                  </w:pPr>
                </w:p>
              </w:tc>
              <w:tc>
                <w:tcPr>
                  <w:tcW w:w="567" w:type="pct"/>
                  <w:noWrap w:val="0"/>
                  <w:vAlign w:val="center"/>
                </w:tcPr>
                <w:p w14:paraId="2A43D094">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工艺清单</w:t>
                  </w:r>
                </w:p>
              </w:tc>
              <w:tc>
                <w:tcPr>
                  <w:tcW w:w="567" w:type="pct"/>
                  <w:noWrap w:val="0"/>
                  <w:vAlign w:val="center"/>
                </w:tcPr>
                <w:p w14:paraId="658C9F03">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涉及开炼、密炼、硫化工艺</w:t>
                  </w:r>
                </w:p>
              </w:tc>
              <w:tc>
                <w:tcPr>
                  <w:tcW w:w="1135" w:type="pct"/>
                  <w:vMerge w:val="continue"/>
                  <w:noWrap w:val="0"/>
                  <w:vAlign w:val="center"/>
                </w:tcPr>
                <w:p w14:paraId="06C90F15">
                  <w:pPr>
                    <w:pStyle w:val="38"/>
                    <w:keepNext w:val="0"/>
                    <w:keepLines w:val="0"/>
                    <w:widowControl/>
                    <w:suppressLineNumbers w:val="0"/>
                    <w:bidi w:val="0"/>
                    <w:spacing w:before="0" w:beforeAutospacing="0" w:after="0" w:afterAutospacing="0"/>
                    <w:ind w:left="0" w:right="0"/>
                    <w:rPr>
                      <w:rFonts w:hint="default"/>
                      <w:szCs w:val="22"/>
                      <w:lang w:eastAsia="zh-CN"/>
                    </w:rPr>
                  </w:pPr>
                </w:p>
              </w:tc>
              <w:tc>
                <w:tcPr>
                  <w:tcW w:w="1693" w:type="pct"/>
                  <w:vMerge w:val="continue"/>
                  <w:noWrap w:val="0"/>
                  <w:vAlign w:val="center"/>
                </w:tcPr>
                <w:p w14:paraId="7D914B36">
                  <w:pPr>
                    <w:pStyle w:val="38"/>
                    <w:keepNext w:val="0"/>
                    <w:keepLines w:val="0"/>
                    <w:widowControl/>
                    <w:suppressLineNumbers w:val="0"/>
                    <w:bidi w:val="0"/>
                    <w:spacing w:before="0" w:beforeAutospacing="0" w:after="0" w:afterAutospacing="0"/>
                    <w:ind w:left="0" w:right="0"/>
                    <w:jc w:val="both"/>
                    <w:rPr>
                      <w:rFonts w:hint="default"/>
                      <w:szCs w:val="22"/>
                      <w:highlight w:val="none"/>
                      <w:lang w:eastAsia="zh-CN"/>
                    </w:rPr>
                  </w:pPr>
                </w:p>
              </w:tc>
              <w:tc>
                <w:tcPr>
                  <w:tcW w:w="492" w:type="pct"/>
                  <w:vMerge w:val="continue"/>
                  <w:noWrap w:val="0"/>
                  <w:vAlign w:val="center"/>
                </w:tcPr>
                <w:p w14:paraId="7B620F26">
                  <w:pPr>
                    <w:pStyle w:val="38"/>
                    <w:keepNext w:val="0"/>
                    <w:keepLines w:val="0"/>
                    <w:widowControl/>
                    <w:suppressLineNumbers w:val="0"/>
                    <w:bidi w:val="0"/>
                    <w:spacing w:before="0" w:beforeAutospacing="0" w:after="0" w:afterAutospacing="0"/>
                    <w:ind w:left="0" w:right="0"/>
                    <w:jc w:val="both"/>
                    <w:rPr>
                      <w:rFonts w:hint="default"/>
                      <w:szCs w:val="22"/>
                      <w:highlight w:val="none"/>
                      <w:lang w:eastAsia="zh-CN"/>
                    </w:rPr>
                  </w:pPr>
                </w:p>
              </w:tc>
            </w:tr>
            <w:tr w14:paraId="5B4E7B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44" w:type="pct"/>
                  <w:vMerge w:val="continue"/>
                  <w:noWrap w:val="0"/>
                  <w:vAlign w:val="center"/>
                </w:tcPr>
                <w:p w14:paraId="06DC27A6">
                  <w:pPr>
                    <w:pStyle w:val="38"/>
                    <w:keepNext w:val="0"/>
                    <w:keepLines w:val="0"/>
                    <w:widowControl/>
                    <w:suppressLineNumbers w:val="0"/>
                    <w:bidi w:val="0"/>
                    <w:spacing w:before="0" w:beforeAutospacing="0" w:after="0" w:afterAutospacing="0"/>
                    <w:ind w:left="0" w:right="0"/>
                    <w:jc w:val="both"/>
                    <w:rPr>
                      <w:rFonts w:hint="default"/>
                      <w:szCs w:val="22"/>
                      <w:highlight w:val="none"/>
                      <w:lang w:eastAsia="zh-CN"/>
                    </w:rPr>
                  </w:pPr>
                </w:p>
              </w:tc>
              <w:tc>
                <w:tcPr>
                  <w:tcW w:w="567" w:type="pct"/>
                  <w:noWrap w:val="0"/>
                  <w:vAlign w:val="center"/>
                </w:tcPr>
                <w:p w14:paraId="11279C32">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产品清单</w:t>
                  </w:r>
                </w:p>
              </w:tc>
              <w:tc>
                <w:tcPr>
                  <w:tcW w:w="567" w:type="pct"/>
                  <w:noWrap w:val="0"/>
                  <w:vAlign w:val="center"/>
                </w:tcPr>
                <w:p w14:paraId="5400F628">
                  <w:pPr>
                    <w:pStyle w:val="38"/>
                    <w:keepNext w:val="0"/>
                    <w:keepLines w:val="0"/>
                    <w:widowControl/>
                    <w:suppressLineNumbers w:val="0"/>
                    <w:bidi w:val="0"/>
                    <w:spacing w:before="0" w:beforeAutospacing="0" w:after="0" w:afterAutospacing="0"/>
                    <w:ind w:left="0" w:right="0"/>
                    <w:rPr>
                      <w:rFonts w:hint="default"/>
                      <w:szCs w:val="22"/>
                      <w:lang w:eastAsia="zh-CN"/>
                    </w:rPr>
                  </w:pPr>
                  <w:r>
                    <w:rPr>
                      <w:rFonts w:hint="default"/>
                      <w:szCs w:val="22"/>
                      <w:lang w:eastAsia="zh-CN"/>
                    </w:rPr>
                    <w:t>1、再生橡胶制造、橡胶加工、橡胶制品翻新2、废旧塑料再生</w:t>
                  </w:r>
                </w:p>
              </w:tc>
              <w:tc>
                <w:tcPr>
                  <w:tcW w:w="1135" w:type="pct"/>
                  <w:vMerge w:val="continue"/>
                  <w:noWrap w:val="0"/>
                  <w:vAlign w:val="center"/>
                </w:tcPr>
                <w:p w14:paraId="36664190">
                  <w:pPr>
                    <w:pStyle w:val="38"/>
                    <w:keepNext w:val="0"/>
                    <w:keepLines w:val="0"/>
                    <w:widowControl/>
                    <w:suppressLineNumbers w:val="0"/>
                    <w:bidi w:val="0"/>
                    <w:spacing w:before="0" w:beforeAutospacing="0" w:after="0" w:afterAutospacing="0"/>
                    <w:ind w:left="0" w:right="0"/>
                    <w:rPr>
                      <w:rFonts w:hint="default"/>
                      <w:szCs w:val="22"/>
                      <w:lang w:eastAsia="zh-CN"/>
                    </w:rPr>
                  </w:pPr>
                </w:p>
              </w:tc>
              <w:tc>
                <w:tcPr>
                  <w:tcW w:w="1693" w:type="pct"/>
                  <w:vMerge w:val="continue"/>
                  <w:noWrap w:val="0"/>
                  <w:vAlign w:val="center"/>
                </w:tcPr>
                <w:p w14:paraId="5EF25760">
                  <w:pPr>
                    <w:pStyle w:val="38"/>
                    <w:keepNext w:val="0"/>
                    <w:keepLines w:val="0"/>
                    <w:widowControl/>
                    <w:suppressLineNumbers w:val="0"/>
                    <w:bidi w:val="0"/>
                    <w:spacing w:before="0" w:beforeAutospacing="0" w:after="0" w:afterAutospacing="0"/>
                    <w:ind w:left="0" w:right="0"/>
                    <w:jc w:val="both"/>
                    <w:rPr>
                      <w:rFonts w:hint="default"/>
                      <w:szCs w:val="22"/>
                      <w:highlight w:val="none"/>
                      <w:lang w:eastAsia="zh-CN"/>
                    </w:rPr>
                  </w:pPr>
                </w:p>
              </w:tc>
              <w:tc>
                <w:tcPr>
                  <w:tcW w:w="492" w:type="pct"/>
                  <w:vMerge w:val="continue"/>
                  <w:noWrap w:val="0"/>
                  <w:vAlign w:val="center"/>
                </w:tcPr>
                <w:p w14:paraId="18385A7D">
                  <w:pPr>
                    <w:pStyle w:val="38"/>
                    <w:keepNext w:val="0"/>
                    <w:keepLines w:val="0"/>
                    <w:widowControl/>
                    <w:suppressLineNumbers w:val="0"/>
                    <w:bidi w:val="0"/>
                    <w:spacing w:before="0" w:beforeAutospacing="0" w:after="0" w:afterAutospacing="0"/>
                    <w:ind w:left="0" w:right="0"/>
                    <w:jc w:val="both"/>
                    <w:rPr>
                      <w:rFonts w:hint="default"/>
                      <w:szCs w:val="22"/>
                      <w:highlight w:val="none"/>
                      <w:lang w:eastAsia="zh-CN"/>
                    </w:rPr>
                  </w:pPr>
                </w:p>
              </w:tc>
            </w:tr>
            <w:tr w14:paraId="30D084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4" w:type="pct"/>
                  <w:vMerge w:val="restart"/>
                  <w:noWrap w:val="0"/>
                  <w:vAlign w:val="center"/>
                </w:tcPr>
                <w:p w14:paraId="69CE4DCE">
                  <w:pPr>
                    <w:pStyle w:val="38"/>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33金属制品业</w:t>
                  </w:r>
                </w:p>
              </w:tc>
              <w:tc>
                <w:tcPr>
                  <w:tcW w:w="807" w:type="dxa"/>
                  <w:noWrap w:val="0"/>
                  <w:vAlign w:val="center"/>
                </w:tcPr>
                <w:p w14:paraId="3992BEC8">
                  <w:pPr>
                    <w:pStyle w:val="38"/>
                    <w:keepNext w:val="0"/>
                    <w:keepLines w:val="0"/>
                    <w:widowControl/>
                    <w:suppressLineNumbers w:val="0"/>
                    <w:bidi w:val="0"/>
                    <w:spacing w:before="0" w:beforeAutospacing="0" w:after="0" w:afterAutospacing="0"/>
                    <w:ind w:left="0" w:right="0"/>
                    <w:rPr>
                      <w:rFonts w:hint="default"/>
                      <w:szCs w:val="22"/>
                    </w:rPr>
                  </w:pPr>
                  <w:r>
                    <w:rPr>
                      <w:rFonts w:hint="eastAsia"/>
                      <w:szCs w:val="22"/>
                      <w:lang w:val="en-US" w:eastAsia="zh-CN"/>
                    </w:rPr>
                    <w:t>行业清单</w:t>
                  </w:r>
                </w:p>
              </w:tc>
              <w:tc>
                <w:tcPr>
                  <w:tcW w:w="567" w:type="pct"/>
                  <w:noWrap w:val="0"/>
                  <w:vAlign w:val="center"/>
                </w:tcPr>
                <w:p w14:paraId="5E81C63C">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w:t>
                  </w:r>
                </w:p>
              </w:tc>
              <w:tc>
                <w:tcPr>
                  <w:tcW w:w="1135" w:type="pct"/>
                  <w:vMerge w:val="restart"/>
                  <w:noWrap w:val="0"/>
                  <w:vAlign w:val="center"/>
                </w:tcPr>
                <w:p w14:paraId="279685EC">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能耗不超过 0.04 吨标煤/万元工业增加值</w:t>
                  </w:r>
                </w:p>
                <w:p w14:paraId="5839E477">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水耗不超过 1.19 t/万元工业增加值</w:t>
                  </w:r>
                </w:p>
                <w:p w14:paraId="4DFB651B">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污水排放量不超过 0.70t/万元工业增加值</w:t>
                  </w:r>
                </w:p>
                <w:p w14:paraId="2B4C0888">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4、</w:t>
                  </w:r>
                  <w:r>
                    <w:rPr>
                      <w:rFonts w:hint="eastAsia"/>
                      <w:szCs w:val="22"/>
                      <w:lang w:eastAsia="zh-CN"/>
                    </w:rPr>
                    <w:t>VOCs</w:t>
                  </w:r>
                  <w:r>
                    <w:rPr>
                      <w:rFonts w:hint="default"/>
                      <w:szCs w:val="22"/>
                    </w:rPr>
                    <w:t xml:space="preserve"> 排放量不超过0.43kg/万元工业增加值</w:t>
                  </w:r>
                </w:p>
              </w:tc>
              <w:tc>
                <w:tcPr>
                  <w:tcW w:w="1693" w:type="pct"/>
                  <w:vMerge w:val="continue"/>
                  <w:noWrap w:val="0"/>
                  <w:vAlign w:val="center"/>
                </w:tcPr>
                <w:p w14:paraId="5282A985">
                  <w:pPr>
                    <w:pStyle w:val="38"/>
                    <w:keepNext w:val="0"/>
                    <w:keepLines w:val="0"/>
                    <w:widowControl/>
                    <w:suppressLineNumbers w:val="0"/>
                    <w:bidi w:val="0"/>
                    <w:spacing w:before="0" w:beforeAutospacing="0" w:after="0" w:afterAutospacing="0"/>
                    <w:ind w:left="0" w:right="0"/>
                    <w:rPr>
                      <w:rFonts w:hint="default"/>
                      <w:szCs w:val="22"/>
                      <w:highlight w:val="none"/>
                    </w:rPr>
                  </w:pPr>
                </w:p>
              </w:tc>
              <w:tc>
                <w:tcPr>
                  <w:tcW w:w="492" w:type="pct"/>
                  <w:vMerge w:val="continue"/>
                  <w:noWrap w:val="0"/>
                  <w:vAlign w:val="center"/>
                </w:tcPr>
                <w:p w14:paraId="4C9C90FB">
                  <w:pPr>
                    <w:pStyle w:val="38"/>
                    <w:keepNext w:val="0"/>
                    <w:keepLines w:val="0"/>
                    <w:widowControl/>
                    <w:suppressLineNumbers w:val="0"/>
                    <w:bidi w:val="0"/>
                    <w:spacing w:before="0" w:beforeAutospacing="0" w:after="0" w:afterAutospacing="0"/>
                    <w:ind w:left="0" w:right="0"/>
                    <w:rPr>
                      <w:rFonts w:hint="default"/>
                      <w:szCs w:val="22"/>
                      <w:highlight w:val="none"/>
                    </w:rPr>
                  </w:pPr>
                </w:p>
              </w:tc>
            </w:tr>
            <w:tr w14:paraId="7E45A4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4" w:type="pct"/>
                  <w:vMerge w:val="continue"/>
                  <w:noWrap w:val="0"/>
                  <w:vAlign w:val="center"/>
                </w:tcPr>
                <w:p w14:paraId="51FF128A">
                  <w:pPr>
                    <w:pStyle w:val="38"/>
                    <w:keepNext w:val="0"/>
                    <w:keepLines w:val="0"/>
                    <w:widowControl/>
                    <w:suppressLineNumbers w:val="0"/>
                    <w:bidi w:val="0"/>
                    <w:spacing w:before="0" w:beforeAutospacing="0" w:after="0" w:afterAutospacing="0"/>
                    <w:ind w:left="0" w:right="0"/>
                    <w:jc w:val="both"/>
                    <w:rPr>
                      <w:rFonts w:hint="eastAsia"/>
                      <w:szCs w:val="22"/>
                    </w:rPr>
                  </w:pPr>
                </w:p>
              </w:tc>
              <w:tc>
                <w:tcPr>
                  <w:tcW w:w="807" w:type="dxa"/>
                  <w:noWrap w:val="0"/>
                  <w:vAlign w:val="center"/>
                </w:tcPr>
                <w:p w14:paraId="315CC205">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工艺清单</w:t>
                  </w:r>
                </w:p>
              </w:tc>
              <w:tc>
                <w:tcPr>
                  <w:tcW w:w="567" w:type="pct"/>
                  <w:noWrap w:val="0"/>
                  <w:vAlign w:val="center"/>
                </w:tcPr>
                <w:p w14:paraId="2831135E">
                  <w:pPr>
                    <w:pStyle w:val="38"/>
                    <w:keepNext w:val="0"/>
                    <w:keepLines w:val="0"/>
                    <w:widowControl/>
                    <w:suppressLineNumbers w:val="0"/>
                    <w:bidi w:val="0"/>
                    <w:spacing w:before="0" w:beforeAutospacing="0" w:after="0" w:afterAutospacing="0"/>
                    <w:ind w:left="0" w:right="0"/>
                    <w:rPr>
                      <w:rFonts w:hint="eastAsia" w:eastAsia="宋体"/>
                      <w:szCs w:val="22"/>
                      <w:lang w:eastAsia="zh-CN"/>
                    </w:rPr>
                  </w:pPr>
                  <w:r>
                    <w:rPr>
                      <w:rFonts w:hint="default"/>
                      <w:szCs w:val="22"/>
                    </w:rPr>
                    <w:t>1、使用有机涂层的</w:t>
                  </w:r>
                  <w:r>
                    <w:rPr>
                      <w:rFonts w:hint="eastAsia"/>
                      <w:szCs w:val="22"/>
                      <w:lang w:eastAsia="zh-CN"/>
                    </w:rPr>
                    <w:t>（</w:t>
                  </w:r>
                  <w:r>
                    <w:rPr>
                      <w:rFonts w:hint="default"/>
                      <w:szCs w:val="22"/>
                    </w:rPr>
                    <w:t>喷塑、电泳及高端项目配套除外</w:t>
                  </w:r>
                  <w:r>
                    <w:rPr>
                      <w:rFonts w:hint="eastAsia"/>
                      <w:szCs w:val="22"/>
                      <w:lang w:eastAsia="zh-CN"/>
                    </w:rPr>
                    <w:t>）</w:t>
                  </w:r>
                </w:p>
                <w:p w14:paraId="6CCD1790">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2、涉及熔炼、电镀工艺3、涉及钝化工艺的热镀锌4、油性漆使用量超过 10t/a喷漆工艺</w:t>
                  </w:r>
                </w:p>
              </w:tc>
              <w:tc>
                <w:tcPr>
                  <w:tcW w:w="1135" w:type="pct"/>
                  <w:vMerge w:val="continue"/>
                  <w:noWrap w:val="0"/>
                  <w:vAlign w:val="center"/>
                </w:tcPr>
                <w:p w14:paraId="6BFFBA19">
                  <w:pPr>
                    <w:pStyle w:val="38"/>
                    <w:keepNext w:val="0"/>
                    <w:keepLines w:val="0"/>
                    <w:widowControl/>
                    <w:suppressLineNumbers w:val="0"/>
                    <w:bidi w:val="0"/>
                    <w:spacing w:before="0" w:beforeAutospacing="0" w:after="0" w:afterAutospacing="0"/>
                    <w:ind w:left="0" w:right="0"/>
                    <w:rPr>
                      <w:rFonts w:hint="default"/>
                      <w:szCs w:val="22"/>
                    </w:rPr>
                  </w:pPr>
                </w:p>
              </w:tc>
              <w:tc>
                <w:tcPr>
                  <w:tcW w:w="1693" w:type="pct"/>
                  <w:vMerge w:val="continue"/>
                  <w:noWrap w:val="0"/>
                  <w:vAlign w:val="center"/>
                </w:tcPr>
                <w:p w14:paraId="3538B6AD">
                  <w:pPr>
                    <w:pStyle w:val="38"/>
                    <w:keepNext w:val="0"/>
                    <w:keepLines w:val="0"/>
                    <w:widowControl/>
                    <w:suppressLineNumbers w:val="0"/>
                    <w:bidi w:val="0"/>
                    <w:spacing w:before="0" w:beforeAutospacing="0" w:after="0" w:afterAutospacing="0"/>
                    <w:ind w:left="0" w:right="0"/>
                    <w:jc w:val="both"/>
                    <w:rPr>
                      <w:rFonts w:hint="default"/>
                      <w:szCs w:val="22"/>
                      <w:highlight w:val="none"/>
                    </w:rPr>
                  </w:pPr>
                </w:p>
              </w:tc>
              <w:tc>
                <w:tcPr>
                  <w:tcW w:w="492" w:type="pct"/>
                  <w:vMerge w:val="continue"/>
                  <w:noWrap w:val="0"/>
                  <w:vAlign w:val="center"/>
                </w:tcPr>
                <w:p w14:paraId="7EEBF335">
                  <w:pPr>
                    <w:pStyle w:val="38"/>
                    <w:keepNext w:val="0"/>
                    <w:keepLines w:val="0"/>
                    <w:widowControl/>
                    <w:suppressLineNumbers w:val="0"/>
                    <w:bidi w:val="0"/>
                    <w:spacing w:before="0" w:beforeAutospacing="0" w:after="0" w:afterAutospacing="0"/>
                    <w:ind w:left="0" w:right="0"/>
                    <w:jc w:val="both"/>
                    <w:rPr>
                      <w:rFonts w:hint="default"/>
                      <w:szCs w:val="22"/>
                      <w:highlight w:val="none"/>
                    </w:rPr>
                  </w:pPr>
                </w:p>
              </w:tc>
            </w:tr>
            <w:tr w14:paraId="2E42D1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44" w:type="pct"/>
                  <w:vMerge w:val="continue"/>
                  <w:noWrap w:val="0"/>
                  <w:vAlign w:val="center"/>
                </w:tcPr>
                <w:p w14:paraId="0D8F77E5">
                  <w:pPr>
                    <w:pStyle w:val="38"/>
                    <w:keepNext w:val="0"/>
                    <w:keepLines w:val="0"/>
                    <w:widowControl/>
                    <w:suppressLineNumbers w:val="0"/>
                    <w:bidi w:val="0"/>
                    <w:spacing w:before="0" w:beforeAutospacing="0" w:after="0" w:afterAutospacing="0"/>
                    <w:ind w:left="0" w:right="0"/>
                    <w:jc w:val="both"/>
                    <w:rPr>
                      <w:rFonts w:hint="default"/>
                      <w:szCs w:val="22"/>
                      <w:highlight w:val="none"/>
                    </w:rPr>
                  </w:pPr>
                </w:p>
              </w:tc>
              <w:tc>
                <w:tcPr>
                  <w:tcW w:w="807" w:type="dxa"/>
                  <w:noWrap w:val="0"/>
                  <w:vAlign w:val="center"/>
                </w:tcPr>
                <w:p w14:paraId="142EF0D7">
                  <w:pPr>
                    <w:pStyle w:val="38"/>
                    <w:keepNext w:val="0"/>
                    <w:keepLines w:val="0"/>
                    <w:widowControl/>
                    <w:suppressLineNumbers w:val="0"/>
                    <w:bidi w:val="0"/>
                    <w:spacing w:before="0" w:beforeAutospacing="0" w:after="0" w:afterAutospacing="0"/>
                    <w:ind w:left="0" w:right="0"/>
                    <w:rPr>
                      <w:rFonts w:hint="default"/>
                      <w:szCs w:val="22"/>
                    </w:rPr>
                  </w:pPr>
                  <w:r>
                    <w:rPr>
                      <w:rFonts w:hint="eastAsia"/>
                      <w:szCs w:val="22"/>
                      <w:lang w:val="en-US" w:eastAsia="zh-CN"/>
                    </w:rPr>
                    <w:t>产品清单</w:t>
                  </w:r>
                </w:p>
              </w:tc>
              <w:tc>
                <w:tcPr>
                  <w:tcW w:w="567" w:type="pct"/>
                  <w:noWrap w:val="0"/>
                  <w:vAlign w:val="center"/>
                </w:tcPr>
                <w:p w14:paraId="3F212FF9">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w:t>
                  </w:r>
                </w:p>
              </w:tc>
              <w:tc>
                <w:tcPr>
                  <w:tcW w:w="1135" w:type="pct"/>
                  <w:vMerge w:val="continue"/>
                  <w:noWrap w:val="0"/>
                  <w:vAlign w:val="center"/>
                </w:tcPr>
                <w:p w14:paraId="078CFC65">
                  <w:pPr>
                    <w:pStyle w:val="38"/>
                    <w:keepNext w:val="0"/>
                    <w:keepLines w:val="0"/>
                    <w:widowControl/>
                    <w:suppressLineNumbers w:val="0"/>
                    <w:bidi w:val="0"/>
                    <w:spacing w:before="0" w:beforeAutospacing="0" w:after="0" w:afterAutospacing="0"/>
                    <w:ind w:left="0" w:right="0"/>
                    <w:rPr>
                      <w:rFonts w:hint="default"/>
                      <w:szCs w:val="22"/>
                    </w:rPr>
                  </w:pPr>
                </w:p>
              </w:tc>
              <w:tc>
                <w:tcPr>
                  <w:tcW w:w="1693" w:type="pct"/>
                  <w:vMerge w:val="continue"/>
                  <w:noWrap w:val="0"/>
                  <w:vAlign w:val="center"/>
                </w:tcPr>
                <w:p w14:paraId="65DBD094">
                  <w:pPr>
                    <w:pStyle w:val="38"/>
                    <w:keepNext w:val="0"/>
                    <w:keepLines w:val="0"/>
                    <w:widowControl/>
                    <w:suppressLineNumbers w:val="0"/>
                    <w:bidi w:val="0"/>
                    <w:spacing w:before="0" w:beforeAutospacing="0" w:after="0" w:afterAutospacing="0"/>
                    <w:ind w:left="0" w:right="0"/>
                    <w:jc w:val="both"/>
                    <w:rPr>
                      <w:rFonts w:hint="default"/>
                      <w:szCs w:val="22"/>
                      <w:highlight w:val="none"/>
                    </w:rPr>
                  </w:pPr>
                </w:p>
              </w:tc>
              <w:tc>
                <w:tcPr>
                  <w:tcW w:w="492" w:type="pct"/>
                  <w:vMerge w:val="continue"/>
                  <w:noWrap w:val="0"/>
                  <w:vAlign w:val="center"/>
                </w:tcPr>
                <w:p w14:paraId="3374AF98">
                  <w:pPr>
                    <w:pStyle w:val="38"/>
                    <w:keepNext w:val="0"/>
                    <w:keepLines w:val="0"/>
                    <w:widowControl/>
                    <w:suppressLineNumbers w:val="0"/>
                    <w:bidi w:val="0"/>
                    <w:spacing w:before="0" w:beforeAutospacing="0" w:after="0" w:afterAutospacing="0"/>
                    <w:ind w:left="0" w:right="0"/>
                    <w:jc w:val="both"/>
                    <w:rPr>
                      <w:rFonts w:hint="default"/>
                      <w:szCs w:val="22"/>
                      <w:highlight w:val="none"/>
                    </w:rPr>
                  </w:pPr>
                </w:p>
              </w:tc>
            </w:tr>
          </w:tbl>
          <w:p w14:paraId="2CE7D6A2">
            <w:pPr>
              <w:pStyle w:val="39"/>
              <w:keepNext w:val="0"/>
              <w:keepLines w:val="0"/>
              <w:suppressLineNumbers w:val="0"/>
              <w:bidi w:val="0"/>
              <w:spacing w:before="0" w:beforeAutospacing="0" w:after="0" w:afterAutospacing="0"/>
              <w:ind w:left="0" w:right="0"/>
              <w:rPr>
                <w:rFonts w:hint="eastAsia" w:ascii="Times New Roman" w:hAnsi="Times New Roman" w:eastAsia="宋体" w:cs="Times New Roman"/>
                <w:b/>
                <w:bCs/>
                <w:color w:val="auto"/>
                <w:lang w:eastAsia="zh-CN"/>
              </w:rPr>
            </w:pPr>
            <w:r>
              <w:rPr>
                <w:rFonts w:hint="default"/>
              </w:rPr>
              <w:t>表</w:t>
            </w:r>
            <w:r>
              <w:rPr>
                <w:rFonts w:hint="eastAsia"/>
                <w:lang w:val="en-US" w:eastAsia="zh-CN"/>
              </w:rPr>
              <w:t xml:space="preserve">1.3-2 </w:t>
            </w:r>
            <w:r>
              <w:rPr>
                <w:rFonts w:hint="default"/>
                <w:lang w:val="en-GB"/>
              </w:rPr>
              <w:t>项目与规划环评审查意见的符合性分析</w:t>
            </w:r>
            <w:r>
              <w:rPr>
                <w:rFonts w:hint="eastAsia"/>
                <w:lang w:val="en-GB" w:eastAsia="zh-CN"/>
              </w:rPr>
              <w:t>（</w:t>
            </w:r>
            <w:r>
              <w:rPr>
                <w:rFonts w:hint="default"/>
                <w:lang w:val="en-GB"/>
              </w:rPr>
              <w:t>摘录</w:t>
            </w:r>
            <w:r>
              <w:rPr>
                <w:rFonts w:hint="eastAsia"/>
                <w:lang w:val="en-GB" w:eastAsia="zh-CN"/>
              </w:rPr>
              <w:t>）</w:t>
            </w:r>
          </w:p>
          <w:tbl>
            <w:tblPr>
              <w:tblStyle w:val="29"/>
              <w:tblW w:w="0" w:type="auto"/>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428"/>
              <w:gridCol w:w="3551"/>
              <w:gridCol w:w="2238"/>
              <w:gridCol w:w="906"/>
            </w:tblGrid>
            <w:tr w14:paraId="5F91AD7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0" w:hRule="atLeast"/>
              </w:trPr>
              <w:tc>
                <w:tcPr>
                  <w:tcW w:w="3998" w:type="dxa"/>
                  <w:gridSpan w:val="2"/>
                  <w:tcBorders>
                    <w:top w:val="single" w:color="auto" w:sz="4" w:space="0"/>
                    <w:bottom w:val="single" w:color="auto" w:sz="4" w:space="0"/>
                  </w:tcBorders>
                  <w:noWrap w:val="0"/>
                  <w:vAlign w:val="center"/>
                </w:tcPr>
                <w:p w14:paraId="4740FEA5">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关于《福清融侨经济技术开发区总体规划（2018-2035 年）环境影响报告书》的审查意见</w:t>
                  </w:r>
                  <w:r>
                    <w:rPr>
                      <w:rFonts w:hint="eastAsia"/>
                      <w:szCs w:val="22"/>
                      <w:lang w:eastAsia="zh-CN"/>
                    </w:rPr>
                    <w:t>（</w:t>
                  </w:r>
                  <w:r>
                    <w:rPr>
                      <w:rFonts w:hint="default"/>
                      <w:szCs w:val="22"/>
                    </w:rPr>
                    <w:t>环审</w:t>
                  </w:r>
                  <w:r>
                    <w:rPr>
                      <w:rFonts w:hint="eastAsia"/>
                      <w:szCs w:val="22"/>
                      <w:lang w:eastAsia="zh-CN"/>
                    </w:rPr>
                    <w:t>〔2020〕80号）</w:t>
                  </w:r>
                  <w:r>
                    <w:rPr>
                      <w:rFonts w:hint="default"/>
                      <w:szCs w:val="22"/>
                    </w:rPr>
                    <w:t>摘录</w:t>
                  </w:r>
                </w:p>
              </w:tc>
              <w:tc>
                <w:tcPr>
                  <w:tcW w:w="2250" w:type="dxa"/>
                  <w:tcBorders>
                    <w:top w:val="single" w:color="auto" w:sz="4" w:space="0"/>
                    <w:bottom w:val="single" w:color="auto" w:sz="4" w:space="0"/>
                  </w:tcBorders>
                  <w:noWrap w:val="0"/>
                  <w:vAlign w:val="center"/>
                </w:tcPr>
                <w:p w14:paraId="7186CE0D">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本项目情况</w:t>
                  </w:r>
                </w:p>
              </w:tc>
              <w:tc>
                <w:tcPr>
                  <w:tcW w:w="909" w:type="dxa"/>
                  <w:tcBorders>
                    <w:top w:val="single" w:color="auto" w:sz="4" w:space="0"/>
                    <w:bottom w:val="single" w:color="auto" w:sz="4" w:space="0"/>
                  </w:tcBorders>
                  <w:noWrap w:val="0"/>
                  <w:vAlign w:val="center"/>
                </w:tcPr>
                <w:p w14:paraId="3ADE11E9">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符合性</w:t>
                  </w:r>
                </w:p>
              </w:tc>
            </w:tr>
            <w:tr w14:paraId="3905EA7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10" w:hRule="atLeast"/>
              </w:trPr>
              <w:tc>
                <w:tcPr>
                  <w:tcW w:w="428" w:type="dxa"/>
                  <w:tcBorders>
                    <w:top w:val="single" w:color="auto" w:sz="4" w:space="0"/>
                  </w:tcBorders>
                  <w:noWrap w:val="0"/>
                  <w:vAlign w:val="center"/>
                </w:tcPr>
                <w:p w14:paraId="3CB242BD">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审查意见</w:t>
                  </w:r>
                </w:p>
              </w:tc>
              <w:tc>
                <w:tcPr>
                  <w:tcW w:w="3570" w:type="dxa"/>
                  <w:tcBorders>
                    <w:top w:val="single" w:color="auto" w:sz="4" w:space="0"/>
                  </w:tcBorders>
                  <w:noWrap w:val="0"/>
                  <w:vAlign w:val="center"/>
                </w:tcPr>
                <w:p w14:paraId="46DCEFFE">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严格入区项目生态环境准入……强化现有及入区企业挥发性有机物排放控制，禁止新增排放涉重金属污染物项目入区，禁止与主导行业不相关且污染物排放量大的项目入区。……</w:t>
                  </w:r>
                </w:p>
              </w:tc>
              <w:tc>
                <w:tcPr>
                  <w:tcW w:w="2250" w:type="dxa"/>
                  <w:tcBorders>
                    <w:top w:val="single" w:color="auto" w:sz="4" w:space="0"/>
                  </w:tcBorders>
                  <w:noWrap w:val="0"/>
                  <w:vAlign w:val="center"/>
                </w:tcPr>
                <w:p w14:paraId="10A6D5EC">
                  <w:pPr>
                    <w:pStyle w:val="38"/>
                    <w:keepNext w:val="0"/>
                    <w:keepLines w:val="0"/>
                    <w:widowControl/>
                    <w:suppressLineNumbers w:val="0"/>
                    <w:bidi w:val="0"/>
                    <w:spacing w:before="0" w:beforeAutospacing="0" w:after="0" w:afterAutospacing="0"/>
                    <w:ind w:left="0" w:right="0"/>
                    <w:rPr>
                      <w:rFonts w:hint="eastAsia" w:eastAsia="宋体"/>
                      <w:szCs w:val="22"/>
                      <w:lang w:eastAsia="zh-CN"/>
                    </w:rPr>
                  </w:pPr>
                  <w:r>
                    <w:rPr>
                      <w:rFonts w:hint="default"/>
                      <w:szCs w:val="22"/>
                    </w:rPr>
                    <w:t>本项目挥发性有机物排放量较小，对外环境影响较小</w:t>
                  </w:r>
                  <w:r>
                    <w:rPr>
                      <w:rFonts w:hint="eastAsia"/>
                      <w:szCs w:val="22"/>
                      <w:lang w:eastAsia="zh-CN"/>
                    </w:rPr>
                    <w:t>且</w:t>
                  </w:r>
                  <w:r>
                    <w:rPr>
                      <w:rFonts w:hint="default"/>
                      <w:szCs w:val="22"/>
                    </w:rPr>
                    <w:t>本项目不涉及重金属污染物的排放</w:t>
                  </w:r>
                  <w:r>
                    <w:rPr>
                      <w:rFonts w:hint="eastAsia"/>
                      <w:szCs w:val="22"/>
                      <w:lang w:eastAsia="zh-CN"/>
                    </w:rPr>
                    <w:t>。</w:t>
                  </w:r>
                </w:p>
              </w:tc>
              <w:tc>
                <w:tcPr>
                  <w:tcW w:w="909" w:type="dxa"/>
                  <w:tcBorders>
                    <w:top w:val="single" w:color="auto" w:sz="4" w:space="0"/>
                  </w:tcBorders>
                  <w:noWrap w:val="0"/>
                  <w:vAlign w:val="center"/>
                </w:tcPr>
                <w:p w14:paraId="085B8C91">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符合</w:t>
                  </w:r>
                </w:p>
              </w:tc>
            </w:tr>
          </w:tbl>
          <w:p w14:paraId="68EB1F34">
            <w:pPr>
              <w:keepNext w:val="0"/>
              <w:keepLines w:val="0"/>
              <w:suppressLineNumbers w:val="0"/>
              <w:bidi w:val="0"/>
              <w:spacing w:before="0" w:beforeAutospacing="0" w:after="0" w:afterAutospacing="0"/>
              <w:ind w:left="0" w:right="0"/>
              <w:rPr>
                <w:rFonts w:hint="eastAsia"/>
                <w:color w:val="auto"/>
              </w:rPr>
            </w:pPr>
            <w:r>
              <w:rPr>
                <w:rFonts w:hint="eastAsia"/>
              </w:rPr>
              <w:t>综上，项目符合《</w:t>
            </w:r>
            <w:r>
              <w:rPr>
                <w:rFonts w:hint="eastAsia"/>
                <w:lang w:val="en-GB"/>
              </w:rPr>
              <w:t>福清融侨经济技术开发区总体规划环境影响报告书</w:t>
            </w:r>
            <w:r>
              <w:rPr>
                <w:rFonts w:hint="eastAsia"/>
                <w:lang w:eastAsia="zh-CN"/>
              </w:rPr>
              <w:t>（</w:t>
            </w:r>
            <w:r>
              <w:rPr>
                <w:rFonts w:hint="eastAsia"/>
                <w:lang w:val="en-GB"/>
              </w:rPr>
              <w:t>2018</w:t>
            </w:r>
            <w:r>
              <w:rPr>
                <w:rFonts w:hint="eastAsia"/>
              </w:rPr>
              <w:t>-</w:t>
            </w:r>
            <w:r>
              <w:rPr>
                <w:rFonts w:hint="eastAsia"/>
                <w:lang w:val="en-GB"/>
              </w:rPr>
              <w:t>2035年</w:t>
            </w:r>
            <w:r>
              <w:rPr>
                <w:rFonts w:hint="eastAsia"/>
                <w:lang w:eastAsia="zh-CN"/>
              </w:rPr>
              <w:t>）</w:t>
            </w:r>
            <w:r>
              <w:rPr>
                <w:rFonts w:hint="eastAsia"/>
              </w:rPr>
              <w:t>》及其审查小组意见中的相关要求。</w:t>
            </w:r>
          </w:p>
        </w:tc>
      </w:tr>
      <w:tr w14:paraId="4FBB7A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531" w:type="dxa"/>
            <w:noWrap w:val="0"/>
            <w:vAlign w:val="center"/>
          </w:tcPr>
          <w:p w14:paraId="193D9E8D">
            <w:pPr>
              <w:pStyle w:val="40"/>
              <w:keepNext w:val="0"/>
              <w:keepLines w:val="0"/>
              <w:suppressLineNumbers w:val="0"/>
              <w:bidi w:val="0"/>
              <w:spacing w:before="0" w:beforeAutospacing="0" w:after="0" w:afterAutospacing="0"/>
              <w:ind w:left="0" w:right="0"/>
              <w:rPr>
                <w:rFonts w:hint="eastAsia"/>
              </w:rPr>
            </w:pPr>
            <w:r>
              <w:rPr>
                <w:rFonts w:hint="eastAsia"/>
              </w:rPr>
              <w:t>其他符合性分析</w:t>
            </w:r>
          </w:p>
        </w:tc>
        <w:tc>
          <w:tcPr>
            <w:tcW w:w="7339" w:type="dxa"/>
            <w:gridSpan w:val="3"/>
            <w:noWrap w:val="0"/>
            <w:vAlign w:val="center"/>
          </w:tcPr>
          <w:p w14:paraId="1DD9AE45">
            <w:pPr>
              <w:pStyle w:val="3"/>
              <w:keepNext w:val="0"/>
              <w:keepLines w:val="0"/>
              <w:suppressLineNumbers w:val="0"/>
              <w:bidi w:val="0"/>
              <w:spacing w:before="0" w:beforeAutospacing="0" w:after="0" w:afterAutospacing="0"/>
              <w:ind w:left="0" w:right="0"/>
              <w:rPr>
                <w:rFonts w:hint="default"/>
              </w:rPr>
            </w:pPr>
            <w:r>
              <w:rPr>
                <w:rStyle w:val="41"/>
                <w:rFonts w:hint="default"/>
                <w:b/>
                <w:bCs/>
              </w:rPr>
              <w:t>产业政策符合性分析</w:t>
            </w:r>
          </w:p>
          <w:p w14:paraId="225DB5EC">
            <w:pPr>
              <w:keepNext w:val="0"/>
              <w:keepLines w:val="0"/>
              <w:suppressLineNumbers w:val="0"/>
              <w:bidi w:val="0"/>
              <w:spacing w:before="0" w:beforeAutospacing="0" w:after="0" w:afterAutospacing="0"/>
              <w:ind w:left="0" w:right="0"/>
              <w:rPr>
                <w:rFonts w:hint="default"/>
              </w:rPr>
            </w:pPr>
            <w:r>
              <w:rPr>
                <w:rFonts w:hint="default"/>
              </w:rPr>
              <w:t>本项目主要从事</w:t>
            </w:r>
            <w:r>
              <w:rPr>
                <w:rFonts w:hint="eastAsia"/>
                <w:lang w:val="en-US" w:eastAsia="zh-CN"/>
              </w:rPr>
              <w:t>铝合金、塑胶件及钣金件加工生产</w:t>
            </w:r>
            <w:r>
              <w:rPr>
                <w:rFonts w:hint="default"/>
              </w:rPr>
              <w:t>，</w:t>
            </w:r>
            <w:r>
              <w:rPr>
                <w:rFonts w:hint="default"/>
                <w:color w:val="000000"/>
                <w:lang w:val="en-US" w:eastAsia="zh-CN"/>
              </w:rPr>
              <w:t>根据《产业结构调整指导目录（20</w:t>
            </w:r>
            <w:r>
              <w:rPr>
                <w:rFonts w:hint="eastAsia"/>
                <w:color w:val="000000"/>
                <w:lang w:val="en-US" w:eastAsia="zh-CN"/>
              </w:rPr>
              <w:t>24</w:t>
            </w:r>
            <w:r>
              <w:rPr>
                <w:rFonts w:hint="default"/>
                <w:color w:val="000000"/>
                <w:lang w:val="en-US" w:eastAsia="zh-CN"/>
              </w:rPr>
              <w:t>年本）》，本项目产品、生产工艺及设备均不属于产业政策中的限制和</w:t>
            </w:r>
            <w:r>
              <w:rPr>
                <w:rFonts w:hint="default"/>
                <w:color w:val="000000"/>
                <w:highlight w:val="none"/>
                <w:lang w:val="en-US" w:eastAsia="zh-CN"/>
              </w:rPr>
              <w:t>禁止类，符合国家产业政策</w:t>
            </w:r>
            <w:r>
              <w:rPr>
                <w:rFonts w:hint="eastAsia"/>
                <w:color w:val="000000"/>
                <w:highlight w:val="none"/>
                <w:lang w:val="en-US" w:eastAsia="zh-CN"/>
              </w:rPr>
              <w:t>。</w:t>
            </w:r>
            <w:r>
              <w:rPr>
                <w:rFonts w:hint="eastAsia"/>
                <w:highlight w:val="none"/>
                <w:lang w:val="en-US" w:eastAsia="zh-CN"/>
              </w:rPr>
              <w:t>该项目于2026年01月04日取得了福清市发展和改革局的备案（闽发改备〔2026〕A060034号，详见</w:t>
            </w:r>
            <w:r>
              <w:rPr>
                <w:rFonts w:hint="eastAsia"/>
                <w:highlight w:val="none"/>
                <w:lang w:val="en-US" w:eastAsia="zh-CN"/>
              </w:rPr>
              <w:fldChar w:fldCharType="begin"/>
            </w:r>
            <w:r>
              <w:rPr>
                <w:rFonts w:hint="eastAsia"/>
                <w:highlight w:val="none"/>
                <w:lang w:val="en-US" w:eastAsia="zh-CN"/>
              </w:rPr>
              <w:instrText xml:space="preserve"> REF _Ref22029 \h </w:instrText>
            </w:r>
            <w:r>
              <w:rPr>
                <w:rFonts w:hint="eastAsia"/>
                <w:highlight w:val="none"/>
                <w:lang w:val="en-US" w:eastAsia="zh-CN"/>
              </w:rPr>
              <w:fldChar w:fldCharType="separate"/>
            </w:r>
            <w:r>
              <w:rPr>
                <w:rFonts w:hint="eastAsia"/>
              </w:rPr>
              <w:t>附件 4</w:t>
            </w:r>
            <w:r>
              <w:rPr>
                <w:rFonts w:hint="eastAsia"/>
                <w:highlight w:val="none"/>
                <w:lang w:val="en-US" w:eastAsia="zh-CN"/>
              </w:rPr>
              <w:fldChar w:fldCharType="end"/>
            </w:r>
            <w:r>
              <w:rPr>
                <w:rFonts w:hint="eastAsia"/>
                <w:highlight w:val="none"/>
                <w:lang w:val="en-US" w:eastAsia="zh-CN"/>
              </w:rPr>
              <w:t>），</w:t>
            </w:r>
            <w:r>
              <w:rPr>
                <w:rFonts w:hint="default"/>
                <w:highlight w:val="none"/>
              </w:rPr>
              <w:t>该项目的建设符合国家当前的产业政策要求。</w:t>
            </w:r>
          </w:p>
          <w:p w14:paraId="36D6C2AD">
            <w:pPr>
              <w:pStyle w:val="3"/>
              <w:keepNext w:val="0"/>
              <w:keepLines w:val="0"/>
              <w:suppressLineNumbers w:val="0"/>
              <w:bidi w:val="0"/>
              <w:spacing w:before="0" w:beforeAutospacing="0" w:after="0" w:afterAutospacing="0"/>
              <w:ind w:left="0" w:right="0"/>
              <w:rPr>
                <w:rFonts w:hint="default"/>
              </w:rPr>
            </w:pPr>
            <w:r>
              <w:rPr>
                <w:rFonts w:hint="eastAsia"/>
                <w:color w:val="000000"/>
                <w:lang w:val="en-US" w:eastAsia="zh-CN"/>
              </w:rPr>
              <w:t>项目土地利用规划合理性</w:t>
            </w:r>
            <w:r>
              <w:rPr>
                <w:rFonts w:hint="default"/>
              </w:rPr>
              <w:t>分析</w:t>
            </w:r>
          </w:p>
          <w:p w14:paraId="1CDA2FB7">
            <w:pPr>
              <w:keepNext w:val="0"/>
              <w:keepLines w:val="0"/>
              <w:suppressLineNumbers w:val="0"/>
              <w:bidi w:val="0"/>
              <w:spacing w:before="0" w:beforeAutospacing="0" w:after="0" w:afterAutospacing="0"/>
              <w:ind w:left="0" w:right="0"/>
              <w:rPr>
                <w:rFonts w:hint="default"/>
              </w:rPr>
            </w:pPr>
            <w:r>
              <w:rPr>
                <w:rFonts w:hint="eastAsia"/>
                <w:lang w:val="en-US" w:eastAsia="zh-CN"/>
              </w:rPr>
              <w:t>根据建设单位提供的租赁合同（见</w:t>
            </w:r>
            <w:r>
              <w:rPr>
                <w:rFonts w:hint="eastAsia"/>
                <w:lang w:val="en-US" w:eastAsia="zh-CN"/>
              </w:rPr>
              <w:fldChar w:fldCharType="begin"/>
            </w:r>
            <w:r>
              <w:rPr>
                <w:rFonts w:hint="eastAsia"/>
                <w:lang w:val="en-US" w:eastAsia="zh-CN"/>
              </w:rPr>
              <w:instrText xml:space="preserve"> REF _Ref4970 \h </w:instrText>
            </w:r>
            <w:r>
              <w:rPr>
                <w:rFonts w:hint="eastAsia"/>
                <w:lang w:val="en-US" w:eastAsia="zh-CN"/>
              </w:rPr>
              <w:fldChar w:fldCharType="separate"/>
            </w:r>
            <w:r>
              <w:rPr>
                <w:rFonts w:hint="eastAsia"/>
              </w:rPr>
              <w:t>附件 7</w:t>
            </w:r>
            <w:r>
              <w:rPr>
                <w:rFonts w:hint="eastAsia"/>
                <w:lang w:val="en-US" w:eastAsia="zh-CN"/>
              </w:rPr>
              <w:fldChar w:fldCharType="end"/>
            </w:r>
            <w:r>
              <w:rPr>
                <w:rFonts w:hint="eastAsia"/>
                <w:lang w:val="en-US" w:eastAsia="zh-CN"/>
              </w:rPr>
              <w:t>），福清市三合电子科技有限公司</w:t>
            </w:r>
            <w:r>
              <w:rPr>
                <w:rFonts w:hint="default"/>
              </w:rPr>
              <w:t>租赁</w:t>
            </w:r>
            <w:r>
              <w:rPr>
                <w:rFonts w:hint="eastAsia"/>
                <w:lang w:val="en-US" w:eastAsia="zh-CN"/>
              </w:rPr>
              <w:t>福清洪添科技有限公司</w:t>
            </w:r>
            <w:r>
              <w:rPr>
                <w:rFonts w:hint="default"/>
              </w:rPr>
              <w:t>厂房作为生产用地。根据</w:t>
            </w:r>
            <w:r>
              <w:rPr>
                <w:rFonts w:hint="eastAsia"/>
                <w:lang w:eastAsia="zh-CN"/>
              </w:rPr>
              <w:t>福清洪添科技有限公司</w:t>
            </w:r>
            <w:r>
              <w:rPr>
                <w:rFonts w:hint="eastAsia"/>
                <w:lang w:val="en-US" w:eastAsia="zh-CN"/>
              </w:rPr>
              <w:t>产权</w:t>
            </w:r>
            <w:r>
              <w:rPr>
                <w:rFonts w:hint="default"/>
              </w:rPr>
              <w:t>证（见</w:t>
            </w:r>
            <w:r>
              <w:rPr>
                <w:rFonts w:hint="default"/>
                <w:lang w:val="en-US"/>
              </w:rPr>
              <w:fldChar w:fldCharType="begin"/>
            </w:r>
            <w:r>
              <w:rPr>
                <w:rFonts w:hint="default"/>
                <w:lang w:val="en-US"/>
              </w:rPr>
              <w:instrText xml:space="preserve"> REF _Ref5002 \h </w:instrText>
            </w:r>
            <w:r>
              <w:rPr>
                <w:rFonts w:hint="default"/>
                <w:lang w:val="en-US"/>
              </w:rPr>
              <w:fldChar w:fldCharType="separate"/>
            </w:r>
            <w:r>
              <w:rPr>
                <w:rFonts w:hint="eastAsia"/>
              </w:rPr>
              <w:t>附件 6</w:t>
            </w:r>
            <w:r>
              <w:rPr>
                <w:rFonts w:hint="default"/>
                <w:lang w:val="en-US"/>
              </w:rPr>
              <w:fldChar w:fldCharType="end"/>
            </w:r>
            <w:r>
              <w:rPr>
                <w:rFonts w:hint="default"/>
              </w:rPr>
              <w:t>）可知，</w:t>
            </w:r>
            <w:r>
              <w:rPr>
                <w:rFonts w:hint="eastAsia"/>
              </w:rPr>
              <w:t>土地用途为</w:t>
            </w:r>
            <w:r>
              <w:rPr>
                <w:rFonts w:hint="eastAsia"/>
                <w:lang w:val="en-US" w:eastAsia="zh-CN"/>
              </w:rPr>
              <w:t>工业用地</w:t>
            </w:r>
            <w:r>
              <w:rPr>
                <w:rFonts w:hint="eastAsia"/>
              </w:rPr>
              <w:t>，本项目主要</w:t>
            </w:r>
            <w:r>
              <w:rPr>
                <w:rFonts w:hint="eastAsia"/>
                <w:lang w:eastAsia="zh-CN"/>
              </w:rPr>
              <w:t>从事</w:t>
            </w:r>
            <w:r>
              <w:rPr>
                <w:rFonts w:hint="eastAsia"/>
                <w:lang w:val="en-US" w:eastAsia="zh-CN"/>
              </w:rPr>
              <w:t>铝合金、塑胶件及钣金件加工生产</w:t>
            </w:r>
            <w:r>
              <w:rPr>
                <w:rFonts w:hint="eastAsia"/>
              </w:rPr>
              <w:t>，属于工业企业，因此，项目选址符合《福清融侨经济技术开发区总体规划（2018-2035年）》要求，故项目选址合理。</w:t>
            </w:r>
          </w:p>
          <w:p w14:paraId="6309275D">
            <w:pPr>
              <w:pStyle w:val="3"/>
              <w:keepNext w:val="0"/>
              <w:keepLines w:val="0"/>
              <w:suppressLineNumbers w:val="0"/>
              <w:bidi w:val="0"/>
              <w:spacing w:before="0" w:beforeAutospacing="0" w:after="0" w:afterAutospacing="0"/>
              <w:ind w:left="0" w:right="0"/>
              <w:rPr>
                <w:rFonts w:hint="default"/>
              </w:rPr>
            </w:pPr>
            <w:r>
              <w:rPr>
                <w:rFonts w:hint="default"/>
              </w:rPr>
              <w:t>环境功能区划符合性分析</w:t>
            </w:r>
          </w:p>
          <w:p w14:paraId="66A23884">
            <w:pPr>
              <w:keepNext w:val="0"/>
              <w:keepLines w:val="0"/>
              <w:suppressLineNumbers w:val="0"/>
              <w:bidi w:val="0"/>
              <w:spacing w:before="0" w:beforeAutospacing="0" w:after="0" w:afterAutospacing="0"/>
              <w:ind w:left="0" w:right="0"/>
              <w:rPr>
                <w:rFonts w:hint="eastAsia"/>
                <w:b w:val="0"/>
                <w:bCs w:val="0"/>
                <w:iCs w:val="0"/>
              </w:rPr>
            </w:pPr>
            <w:r>
              <w:rPr>
                <w:rFonts w:hint="eastAsia"/>
                <w:b w:val="0"/>
                <w:bCs w:val="0"/>
                <w:iCs w:val="0"/>
              </w:rPr>
              <w:t>（1）废气</w:t>
            </w:r>
          </w:p>
          <w:p w14:paraId="690A66FD">
            <w:pPr>
              <w:keepNext w:val="0"/>
              <w:keepLines w:val="0"/>
              <w:suppressLineNumbers w:val="0"/>
              <w:bidi w:val="0"/>
              <w:spacing w:before="0" w:beforeAutospacing="0" w:after="0" w:afterAutospacing="0"/>
              <w:ind w:left="0" w:right="0"/>
              <w:rPr>
                <w:rFonts w:hint="eastAsia"/>
                <w:b w:val="0"/>
                <w:bCs w:val="0"/>
                <w:iCs w:val="0"/>
              </w:rPr>
            </w:pPr>
            <w:r>
              <w:rPr>
                <w:rFonts w:hint="eastAsia"/>
                <w:b w:val="0"/>
                <w:bCs w:val="0"/>
                <w:iCs w:val="0"/>
              </w:rPr>
              <w:t>项目运营期环境空气污染排放源强很低，对周围环境空气不会产生显著影响，符合</w:t>
            </w:r>
            <w:r>
              <w:rPr>
                <w:rFonts w:hint="eastAsia"/>
                <w:b w:val="0"/>
                <w:bCs w:val="0"/>
                <w:iCs w:val="0"/>
                <w:lang w:eastAsia="zh-CN"/>
              </w:rPr>
              <w:t>《环境空气质量标准》（GB 3095—2026）</w:t>
            </w:r>
            <w:r>
              <w:rPr>
                <w:rFonts w:hint="eastAsia"/>
                <w:b w:val="0"/>
                <w:bCs w:val="0"/>
                <w:iCs w:val="0"/>
              </w:rPr>
              <w:t>中二级标准的要求。</w:t>
            </w:r>
          </w:p>
          <w:p w14:paraId="0D9AC792">
            <w:pPr>
              <w:keepNext w:val="0"/>
              <w:keepLines w:val="0"/>
              <w:suppressLineNumbers w:val="0"/>
              <w:bidi w:val="0"/>
              <w:spacing w:before="0" w:beforeAutospacing="0" w:after="0" w:afterAutospacing="0"/>
              <w:ind w:left="0" w:right="0"/>
              <w:rPr>
                <w:rFonts w:hint="eastAsia"/>
                <w:b w:val="0"/>
                <w:bCs w:val="0"/>
                <w:iCs w:val="0"/>
              </w:rPr>
            </w:pPr>
            <w:r>
              <w:rPr>
                <w:rFonts w:hint="eastAsia"/>
                <w:b w:val="0"/>
                <w:bCs w:val="0"/>
                <w:iCs w:val="0"/>
              </w:rPr>
              <w:t>（2）废水</w:t>
            </w:r>
          </w:p>
          <w:p w14:paraId="3FC46EAF">
            <w:pPr>
              <w:keepNext w:val="0"/>
              <w:keepLines w:val="0"/>
              <w:suppressLineNumbers w:val="0"/>
              <w:bidi w:val="0"/>
              <w:spacing w:before="0" w:beforeAutospacing="0" w:after="0" w:afterAutospacing="0"/>
              <w:ind w:left="0" w:right="0"/>
              <w:rPr>
                <w:rFonts w:hint="eastAsia"/>
              </w:rPr>
            </w:pPr>
            <w:r>
              <w:rPr>
                <w:rFonts w:hint="eastAsia"/>
              </w:rPr>
              <w:t>项目职工生活污水经化粪池预处理达标后接入市政污水管网，由</w:t>
            </w:r>
            <w:r>
              <w:rPr>
                <w:rFonts w:hint="eastAsia"/>
                <w:lang w:eastAsia="zh-CN"/>
              </w:rPr>
              <w:t>福清市融元污水处理厂</w:t>
            </w:r>
            <w:r>
              <w:rPr>
                <w:rFonts w:hint="eastAsia"/>
              </w:rPr>
              <w:t>集中处理。因此，项目污水对周边水体环境造成影响较小。</w:t>
            </w:r>
          </w:p>
          <w:p w14:paraId="5A3CDD50">
            <w:pPr>
              <w:keepNext w:val="0"/>
              <w:keepLines w:val="0"/>
              <w:suppressLineNumbers w:val="0"/>
              <w:bidi w:val="0"/>
              <w:spacing w:before="0" w:beforeAutospacing="0" w:after="0" w:afterAutospacing="0"/>
              <w:ind w:left="0" w:right="0"/>
              <w:rPr>
                <w:rFonts w:hint="eastAsia"/>
                <w:b w:val="0"/>
                <w:bCs w:val="0"/>
                <w:iCs w:val="0"/>
              </w:rPr>
            </w:pPr>
            <w:r>
              <w:rPr>
                <w:rFonts w:hint="eastAsia"/>
                <w:b w:val="0"/>
                <w:bCs w:val="0"/>
                <w:iCs w:val="0"/>
              </w:rPr>
              <w:t>（3）噪声</w:t>
            </w:r>
          </w:p>
          <w:p w14:paraId="31F015CF">
            <w:pPr>
              <w:keepNext w:val="0"/>
              <w:keepLines w:val="0"/>
              <w:suppressLineNumbers w:val="0"/>
              <w:bidi w:val="0"/>
              <w:spacing w:before="0" w:beforeAutospacing="0" w:after="0" w:afterAutospacing="0"/>
              <w:ind w:left="0" w:right="0"/>
              <w:rPr>
                <w:rFonts w:hint="eastAsia"/>
              </w:rPr>
            </w:pPr>
            <w:r>
              <w:rPr>
                <w:rFonts w:hint="eastAsia"/>
                <w:b w:val="0"/>
                <w:bCs w:val="0"/>
                <w:iCs w:val="0"/>
              </w:rPr>
              <w:t>项目在采取一定的噪声污染防治措施后，项目产生的噪声不会对周围环境产生显著影响，项目所在区域的环境可满足《声环境质量标准》（GB3096-2008）的</w:t>
            </w:r>
            <w:r>
              <w:rPr>
                <w:rFonts w:hint="eastAsia"/>
                <w:b w:val="0"/>
                <w:bCs w:val="0"/>
                <w:iCs w:val="0"/>
                <w:lang w:val="en-US" w:eastAsia="zh-CN"/>
              </w:rPr>
              <w:t>3</w:t>
            </w:r>
            <w:r>
              <w:rPr>
                <w:rFonts w:hint="eastAsia"/>
                <w:b w:val="0"/>
                <w:bCs w:val="0"/>
                <w:iCs w:val="0"/>
              </w:rPr>
              <w:t>类标准。因此，项目建设符合环境功能规划</w:t>
            </w:r>
            <w:r>
              <w:rPr>
                <w:rFonts w:hint="eastAsia"/>
              </w:rPr>
              <w:t>。</w:t>
            </w:r>
          </w:p>
          <w:p w14:paraId="52D210D9">
            <w:pPr>
              <w:pStyle w:val="3"/>
              <w:keepNext w:val="0"/>
              <w:keepLines w:val="0"/>
              <w:suppressLineNumbers w:val="0"/>
              <w:bidi w:val="0"/>
              <w:spacing w:before="0" w:beforeAutospacing="0" w:after="0" w:afterAutospacing="0"/>
              <w:ind w:left="0" w:right="0"/>
              <w:rPr>
                <w:rFonts w:hint="default"/>
                <w:lang w:val="en-US" w:eastAsia="zh-CN"/>
              </w:rPr>
            </w:pPr>
            <w:bookmarkStart w:id="8" w:name="_Toc3746"/>
            <w:bookmarkStart w:id="9" w:name="_Toc27236"/>
            <w:bookmarkStart w:id="10" w:name="_Toc7228"/>
            <w:bookmarkStart w:id="11" w:name="_Toc16029"/>
            <w:bookmarkStart w:id="12" w:name="_Toc3067"/>
            <w:r>
              <w:rPr>
                <w:rFonts w:hint="eastAsia"/>
                <w:lang w:val="en-US" w:eastAsia="zh-CN"/>
              </w:rPr>
              <w:t>“</w:t>
            </w:r>
            <w:r>
              <w:rPr>
                <w:rFonts w:hint="default"/>
                <w:lang w:val="en-US" w:eastAsia="zh-CN"/>
              </w:rPr>
              <w:t>三线一单</w:t>
            </w:r>
            <w:r>
              <w:rPr>
                <w:rFonts w:hint="eastAsia"/>
                <w:lang w:val="en-US" w:eastAsia="zh-CN"/>
              </w:rPr>
              <w:t>”</w:t>
            </w:r>
            <w:r>
              <w:rPr>
                <w:rFonts w:hint="default"/>
                <w:lang w:val="en-US" w:eastAsia="zh-CN"/>
              </w:rPr>
              <w:t>控制要求的符合性分析</w:t>
            </w:r>
          </w:p>
          <w:p w14:paraId="7AA18062">
            <w:pPr>
              <w:keepNext w:val="0"/>
              <w:keepLines w:val="0"/>
              <w:suppressLineNumbers w:val="0"/>
              <w:bidi w:val="0"/>
              <w:spacing w:before="0" w:beforeAutospacing="0" w:after="0" w:afterAutospacing="0"/>
              <w:ind w:left="0" w:right="0"/>
              <w:rPr>
                <w:rFonts w:hint="default"/>
              </w:rPr>
            </w:pPr>
            <w:r>
              <w:rPr>
                <w:rFonts w:hint="default"/>
              </w:rPr>
              <w:t>根据《关于以改善环境质量为核心加强环境影响评价管理的通知》</w:t>
            </w:r>
            <w:r>
              <w:rPr>
                <w:rFonts w:hint="eastAsia"/>
                <w:lang w:eastAsia="zh-CN"/>
              </w:rPr>
              <w:t>（</w:t>
            </w:r>
            <w:r>
              <w:rPr>
                <w:rFonts w:hint="default"/>
              </w:rPr>
              <w:t>环评〔2016〕150号</w:t>
            </w:r>
            <w:r>
              <w:rPr>
                <w:rFonts w:hint="eastAsia"/>
                <w:lang w:eastAsia="zh-CN"/>
              </w:rPr>
              <w:t>）</w:t>
            </w:r>
            <w:r>
              <w:rPr>
                <w:rFonts w:hint="default"/>
              </w:rPr>
              <w:t>，</w:t>
            </w:r>
            <w:r>
              <w:rPr>
                <w:rFonts w:hint="eastAsia"/>
                <w:lang w:eastAsia="zh-CN"/>
              </w:rPr>
              <w:t>“</w:t>
            </w:r>
            <w:r>
              <w:rPr>
                <w:rFonts w:hint="default"/>
              </w:rPr>
              <w:t>三线一单</w:t>
            </w:r>
            <w:r>
              <w:rPr>
                <w:rFonts w:hint="eastAsia"/>
                <w:lang w:eastAsia="zh-CN"/>
              </w:rPr>
              <w:t>”</w:t>
            </w:r>
            <w:r>
              <w:rPr>
                <w:rFonts w:hint="default"/>
              </w:rPr>
              <w:t>即：</w:t>
            </w:r>
            <w:r>
              <w:rPr>
                <w:rFonts w:hint="eastAsia"/>
                <w:lang w:eastAsia="zh-CN"/>
              </w:rPr>
              <w:t>“</w:t>
            </w:r>
            <w:r>
              <w:rPr>
                <w:rFonts w:hint="default"/>
              </w:rPr>
              <w:t>生态保护红线、环境质量底线、资源利用上线和生态环境准入清单</w:t>
            </w:r>
            <w:r>
              <w:rPr>
                <w:rFonts w:hint="eastAsia"/>
                <w:lang w:eastAsia="zh-CN"/>
              </w:rPr>
              <w:t>”</w:t>
            </w:r>
            <w:r>
              <w:rPr>
                <w:rFonts w:hint="default"/>
              </w:rPr>
              <w:t>，项目建设应强化</w:t>
            </w:r>
            <w:r>
              <w:rPr>
                <w:rFonts w:hint="eastAsia"/>
                <w:lang w:eastAsia="zh-CN"/>
              </w:rPr>
              <w:t>“</w:t>
            </w:r>
            <w:r>
              <w:rPr>
                <w:rFonts w:hint="default"/>
              </w:rPr>
              <w:t>三线一单</w:t>
            </w:r>
            <w:r>
              <w:rPr>
                <w:rFonts w:hint="eastAsia"/>
                <w:lang w:eastAsia="zh-CN"/>
              </w:rPr>
              <w:t>”</w:t>
            </w:r>
            <w:r>
              <w:rPr>
                <w:rFonts w:hint="default"/>
              </w:rPr>
              <w:t>约束作用。</w:t>
            </w:r>
          </w:p>
          <w:p w14:paraId="3E265ACA">
            <w:pPr>
              <w:keepNext w:val="0"/>
              <w:keepLines w:val="0"/>
              <w:suppressLineNumbers w:val="0"/>
              <w:bidi w:val="0"/>
              <w:spacing w:before="0" w:beforeAutospacing="0" w:after="0" w:afterAutospacing="0"/>
              <w:ind w:left="0" w:right="0"/>
              <w:rPr>
                <w:rFonts w:hint="default"/>
              </w:rPr>
            </w:pPr>
            <w:r>
              <w:rPr>
                <w:rFonts w:hint="eastAsia"/>
                <w:lang w:eastAsia="zh-CN"/>
              </w:rPr>
              <w:t>（</w:t>
            </w:r>
            <w:r>
              <w:rPr>
                <w:rFonts w:hint="eastAsia"/>
                <w:lang w:val="en-US" w:eastAsia="zh-CN"/>
              </w:rPr>
              <w:t>1</w:t>
            </w:r>
            <w:r>
              <w:rPr>
                <w:rFonts w:hint="eastAsia"/>
                <w:lang w:eastAsia="zh-CN"/>
              </w:rPr>
              <w:t>）</w:t>
            </w:r>
            <w:r>
              <w:rPr>
                <w:rFonts w:hint="default"/>
              </w:rPr>
              <w:t>生态保护红线</w:t>
            </w:r>
          </w:p>
          <w:p w14:paraId="5380BBB1">
            <w:pPr>
              <w:keepNext w:val="0"/>
              <w:keepLines w:val="0"/>
              <w:suppressLineNumbers w:val="0"/>
              <w:bidi w:val="0"/>
              <w:spacing w:before="0" w:beforeAutospacing="0" w:after="0" w:afterAutospacing="0"/>
              <w:ind w:left="0" w:right="0"/>
              <w:rPr>
                <w:rFonts w:hint="default"/>
              </w:rPr>
            </w:pPr>
            <w:r>
              <w:rPr>
                <w:rFonts w:hint="default"/>
              </w:rPr>
              <w:t>对照《福建省生态保护红线划定方案》及其调整方案</w:t>
            </w:r>
            <w:r>
              <w:rPr>
                <w:rFonts w:hint="default"/>
                <w:lang w:eastAsia="zh-CN"/>
              </w:rPr>
              <w:t>、</w:t>
            </w:r>
            <w:r>
              <w:rPr>
                <w:rFonts w:hint="default"/>
                <w:lang w:val="en-GB"/>
              </w:rPr>
              <w:t>《福清市生态功能区划》</w:t>
            </w:r>
            <w:r>
              <w:rPr>
                <w:rFonts w:hint="eastAsia"/>
                <w:lang w:eastAsia="zh-CN"/>
              </w:rPr>
              <w:t>（</w:t>
            </w:r>
            <w:r>
              <w:rPr>
                <w:rFonts w:hint="default"/>
                <w:lang w:val="en-GB"/>
              </w:rPr>
              <w:t>2003年</w:t>
            </w:r>
            <w:r>
              <w:rPr>
                <w:rFonts w:hint="eastAsia"/>
                <w:lang w:eastAsia="zh-CN"/>
              </w:rPr>
              <w:t>）</w:t>
            </w:r>
            <w:r>
              <w:rPr>
                <w:rFonts w:hint="default"/>
              </w:rPr>
              <w:t>，本项目位于福建省福州市</w:t>
            </w:r>
            <w:r>
              <w:rPr>
                <w:rFonts w:hint="eastAsia"/>
                <w:lang w:eastAsia="zh-CN"/>
              </w:rPr>
              <w:t>福清融侨经济技术开发区（租赁福清洪添科技有限公司车间2第3层）</w:t>
            </w:r>
            <w:r>
              <w:rPr>
                <w:rFonts w:hint="default"/>
              </w:rPr>
              <w:t>。项目周边无国家公园、自然保护区、森林公园的生态保育区和核心景观区、风景名胜区的核心景区、地质公园的地质遗迹保护区、世界自然遗产的核心区和缓冲区、湿地公园的湿地保育区和恢复重建区、饮用水水源的一级保护区、水产种质资源保护区的核心区和其他需要特别保护或法律法规禁止开发建设的区域。因此，项目建设符合生态红线控制的要求。</w:t>
            </w:r>
          </w:p>
          <w:p w14:paraId="5539E83C">
            <w:pPr>
              <w:keepNext w:val="0"/>
              <w:keepLines w:val="0"/>
              <w:suppressLineNumbers w:val="0"/>
              <w:bidi w:val="0"/>
              <w:spacing w:before="0" w:beforeAutospacing="0" w:after="0" w:afterAutospacing="0"/>
              <w:ind w:left="0" w:right="0"/>
              <w:rPr>
                <w:rFonts w:hint="default"/>
              </w:rPr>
            </w:pPr>
            <w:r>
              <w:rPr>
                <w:rFonts w:hint="eastAsia"/>
                <w:lang w:eastAsia="zh-CN"/>
              </w:rPr>
              <w:t>（</w:t>
            </w:r>
            <w:r>
              <w:rPr>
                <w:rFonts w:hint="eastAsia"/>
                <w:lang w:val="en-US" w:eastAsia="zh-CN"/>
              </w:rPr>
              <w:t>2</w:t>
            </w:r>
            <w:r>
              <w:rPr>
                <w:rFonts w:hint="eastAsia"/>
                <w:lang w:eastAsia="zh-CN"/>
              </w:rPr>
              <w:t>）</w:t>
            </w:r>
            <w:r>
              <w:rPr>
                <w:rFonts w:hint="default"/>
              </w:rPr>
              <w:t>环境质量底线</w:t>
            </w:r>
          </w:p>
          <w:p w14:paraId="0362FCC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spacing w:val="0"/>
                <w:sz w:val="24"/>
                <w:szCs w:val="24"/>
                <w:highlight w:val="none"/>
                <w:u w:val="none"/>
                <w:lang w:eastAsia="zh-CN"/>
              </w:rPr>
            </w:pPr>
            <w:r>
              <w:rPr>
                <w:rFonts w:hint="default" w:ascii="Times New Roman" w:hAnsi="Times New Roman" w:eastAsia="宋体" w:cs="Times New Roman"/>
                <w:color w:val="auto"/>
                <w:spacing w:val="0"/>
                <w:sz w:val="24"/>
                <w:szCs w:val="24"/>
                <w:highlight w:val="none"/>
                <w:u w:val="none"/>
                <w:lang w:eastAsia="zh-CN"/>
              </w:rPr>
              <w:t>项目所在区域环境质量底线：环境空气质量目标为</w:t>
            </w:r>
            <w:r>
              <w:rPr>
                <w:rFonts w:hint="eastAsia" w:cs="Times New Roman"/>
                <w:color w:val="auto"/>
                <w:spacing w:val="0"/>
                <w:sz w:val="24"/>
                <w:szCs w:val="24"/>
                <w:highlight w:val="none"/>
                <w:u w:val="none"/>
                <w:lang w:eastAsia="zh-CN"/>
              </w:rPr>
              <w:t>《环境空气质量标准》（GB 3095—2026）</w:t>
            </w:r>
            <w:r>
              <w:rPr>
                <w:rFonts w:hint="default" w:ascii="Times New Roman" w:hAnsi="Times New Roman" w:eastAsia="宋体" w:cs="Times New Roman"/>
                <w:color w:val="auto"/>
                <w:spacing w:val="0"/>
                <w:sz w:val="24"/>
                <w:szCs w:val="24"/>
                <w:highlight w:val="none"/>
                <w:u w:val="none"/>
                <w:lang w:eastAsia="zh-CN"/>
              </w:rPr>
              <w:t>中的二级</w:t>
            </w:r>
            <w:r>
              <w:rPr>
                <w:rFonts w:hint="eastAsia" w:ascii="Times New Roman" w:hAnsi="Times New Roman" w:eastAsia="宋体" w:cs="Times New Roman"/>
                <w:color w:val="auto"/>
                <w:spacing w:val="0"/>
                <w:sz w:val="24"/>
                <w:szCs w:val="24"/>
                <w:highlight w:val="none"/>
                <w:u w:val="none"/>
                <w:lang w:eastAsia="zh-CN"/>
              </w:rPr>
              <w:t>标准</w:t>
            </w:r>
            <w:r>
              <w:rPr>
                <w:rFonts w:hint="default" w:ascii="Times New Roman" w:hAnsi="Times New Roman" w:eastAsia="宋体" w:cs="Times New Roman"/>
                <w:color w:val="auto"/>
                <w:spacing w:val="0"/>
                <w:sz w:val="24"/>
                <w:szCs w:val="24"/>
                <w:highlight w:val="none"/>
                <w:u w:val="none"/>
                <w:lang w:eastAsia="zh-CN"/>
              </w:rPr>
              <w:t>；</w:t>
            </w:r>
            <w:r>
              <w:rPr>
                <w:rFonts w:hint="eastAsia" w:ascii="Times New Roman" w:hAnsi="Times New Roman" w:eastAsia="宋体" w:cs="Times New Roman"/>
                <w:color w:val="auto"/>
                <w:spacing w:val="0"/>
                <w:sz w:val="24"/>
                <w:szCs w:val="24"/>
                <w:highlight w:val="none"/>
                <w:u w:val="none"/>
                <w:lang w:eastAsia="zh-CN"/>
              </w:rPr>
              <w:t>周边罗汉溪地表水环境质量目标为《地表水环境质量标准》（</w:t>
            </w:r>
            <w:r>
              <w:rPr>
                <w:rFonts w:hint="default" w:ascii="Times New Roman" w:hAnsi="Times New Roman" w:eastAsia="宋体" w:cs="Times New Roman"/>
                <w:color w:val="auto"/>
                <w:spacing w:val="0"/>
                <w:sz w:val="24"/>
                <w:szCs w:val="24"/>
                <w:highlight w:val="none"/>
                <w:u w:val="none"/>
                <w:lang w:eastAsia="zh-CN"/>
              </w:rPr>
              <w:t>GB3838-2002</w:t>
            </w:r>
            <w:r>
              <w:rPr>
                <w:rFonts w:hint="eastAsia" w:ascii="Times New Roman" w:hAnsi="Times New Roman" w:eastAsia="宋体" w:cs="Times New Roman"/>
                <w:color w:val="auto"/>
                <w:spacing w:val="0"/>
                <w:sz w:val="24"/>
                <w:szCs w:val="24"/>
                <w:highlight w:val="none"/>
                <w:u w:val="none"/>
                <w:lang w:eastAsia="zh-CN"/>
              </w:rPr>
              <w:t>）中Ⅳ类水质标准</w:t>
            </w:r>
            <w:r>
              <w:rPr>
                <w:rFonts w:hint="default" w:ascii="Times New Roman" w:hAnsi="Times New Roman" w:eastAsia="宋体" w:cs="Times New Roman"/>
                <w:color w:val="auto"/>
                <w:spacing w:val="0"/>
                <w:sz w:val="24"/>
                <w:szCs w:val="24"/>
                <w:highlight w:val="none"/>
                <w:u w:val="none"/>
                <w:lang w:eastAsia="zh-CN"/>
              </w:rPr>
              <w:t>；声环境质量目标为《声环境质量标准》（GB3096-2008）</w:t>
            </w:r>
            <w:r>
              <w:rPr>
                <w:rFonts w:hint="eastAsia" w:ascii="Times New Roman" w:hAnsi="Times New Roman" w:eastAsia="宋体" w:cs="Times New Roman"/>
                <w:color w:val="auto"/>
                <w:spacing w:val="0"/>
                <w:sz w:val="24"/>
                <w:szCs w:val="24"/>
                <w:highlight w:val="none"/>
                <w:u w:val="none"/>
                <w:lang w:eastAsia="zh-CN"/>
              </w:rPr>
              <w:t>3</w:t>
            </w:r>
            <w:r>
              <w:rPr>
                <w:rFonts w:hint="default" w:ascii="Times New Roman" w:hAnsi="Times New Roman" w:eastAsia="宋体" w:cs="Times New Roman"/>
                <w:color w:val="auto"/>
                <w:spacing w:val="0"/>
                <w:sz w:val="24"/>
                <w:szCs w:val="24"/>
                <w:highlight w:val="none"/>
                <w:u w:val="none"/>
                <w:lang w:eastAsia="zh-CN"/>
              </w:rPr>
              <w:t>类</w:t>
            </w:r>
            <w:r>
              <w:rPr>
                <w:rFonts w:hint="eastAsia" w:ascii="Times New Roman" w:hAnsi="Times New Roman" w:eastAsia="宋体" w:cs="Times New Roman"/>
                <w:color w:val="auto"/>
                <w:spacing w:val="0"/>
                <w:sz w:val="24"/>
                <w:szCs w:val="24"/>
                <w:highlight w:val="none"/>
                <w:u w:val="none"/>
                <w:lang w:eastAsia="zh-CN"/>
              </w:rPr>
              <w:t>。</w:t>
            </w:r>
          </w:p>
          <w:p w14:paraId="54488B8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pacing w:val="0"/>
                <w:sz w:val="24"/>
                <w:szCs w:val="24"/>
                <w:highlight w:val="none"/>
                <w:u w:val="none"/>
                <w:lang w:eastAsia="zh-CN"/>
              </w:rPr>
            </w:pPr>
            <w:r>
              <w:rPr>
                <w:rFonts w:hint="eastAsia" w:cs="Times New Roman"/>
                <w:color w:val="auto"/>
                <w:spacing w:val="0"/>
                <w:sz w:val="24"/>
                <w:szCs w:val="24"/>
                <w:highlight w:val="none"/>
                <w:u w:val="none"/>
                <w:lang w:val="en-US" w:eastAsia="zh-CN"/>
              </w:rPr>
              <w:t>本项目运营期生活污水经化粪池预处理后，排入市政污水管网纳入福清市融元污水处理厂</w:t>
            </w:r>
            <w:r>
              <w:rPr>
                <w:rFonts w:hint="eastAsia" w:ascii="Times New Roman" w:hAnsi="Times New Roman" w:eastAsia="宋体" w:cs="Times New Roman"/>
                <w:color w:val="auto"/>
                <w:spacing w:val="0"/>
                <w:sz w:val="24"/>
                <w:szCs w:val="24"/>
                <w:highlight w:val="none"/>
                <w:u w:val="none"/>
                <w:lang w:eastAsia="zh-CN"/>
              </w:rPr>
              <w:t>进行集中</w:t>
            </w:r>
            <w:r>
              <w:rPr>
                <w:rFonts w:hint="default" w:ascii="Times New Roman" w:hAnsi="Times New Roman" w:eastAsia="宋体" w:cs="Times New Roman"/>
                <w:color w:val="auto"/>
                <w:spacing w:val="0"/>
                <w:sz w:val="24"/>
                <w:szCs w:val="24"/>
                <w:highlight w:val="none"/>
                <w:u w:val="none"/>
                <w:lang w:eastAsia="zh-CN"/>
              </w:rPr>
              <w:t>处理</w:t>
            </w:r>
            <w:r>
              <w:rPr>
                <w:rFonts w:hint="eastAsia" w:ascii="Times New Roman" w:hAnsi="Times New Roman" w:eastAsia="宋体" w:cs="Times New Roman"/>
                <w:color w:val="auto"/>
                <w:spacing w:val="0"/>
                <w:sz w:val="24"/>
                <w:szCs w:val="24"/>
                <w:highlight w:val="none"/>
                <w:u w:val="none"/>
                <w:lang w:eastAsia="zh-CN"/>
              </w:rPr>
              <w:t>。产生的废水均不直接进入水体，</w:t>
            </w:r>
            <w:r>
              <w:rPr>
                <w:rFonts w:hint="default" w:ascii="Times New Roman" w:hAnsi="Times New Roman" w:eastAsia="宋体" w:cs="Times New Roman"/>
                <w:color w:val="auto"/>
                <w:spacing w:val="0"/>
                <w:sz w:val="24"/>
                <w:szCs w:val="24"/>
                <w:highlight w:val="none"/>
                <w:u w:val="none"/>
                <w:lang w:eastAsia="zh-CN"/>
              </w:rPr>
              <w:t>对区域水环境影响不大</w:t>
            </w:r>
            <w:r>
              <w:rPr>
                <w:rFonts w:hint="eastAsia" w:ascii="Times New Roman" w:hAnsi="Times New Roman" w:eastAsia="宋体" w:cs="Times New Roman"/>
                <w:color w:val="auto"/>
                <w:spacing w:val="0"/>
                <w:sz w:val="24"/>
                <w:szCs w:val="24"/>
                <w:highlight w:val="none"/>
                <w:u w:val="none"/>
                <w:lang w:eastAsia="zh-CN"/>
              </w:rPr>
              <w:t>。产生的废气采取相应的废气治理措施处理后达标排放，对周边环境的影响可接受。在采取隔声、降噪、减振以及合理布局等相应的噪声治理措施后</w:t>
            </w:r>
            <w:r>
              <w:rPr>
                <w:rFonts w:hint="default" w:ascii="Times New Roman" w:hAnsi="Times New Roman" w:eastAsia="宋体" w:cs="Times New Roman"/>
                <w:color w:val="auto"/>
                <w:spacing w:val="0"/>
                <w:sz w:val="24"/>
                <w:szCs w:val="24"/>
                <w:highlight w:val="none"/>
                <w:u w:val="none"/>
                <w:lang w:eastAsia="zh-CN"/>
              </w:rPr>
              <w:t>，</w:t>
            </w:r>
            <w:r>
              <w:rPr>
                <w:rFonts w:hint="eastAsia" w:ascii="Times New Roman" w:hAnsi="Times New Roman" w:eastAsia="宋体" w:cs="Times New Roman"/>
                <w:color w:val="auto"/>
                <w:spacing w:val="0"/>
                <w:sz w:val="24"/>
                <w:szCs w:val="24"/>
                <w:highlight w:val="none"/>
                <w:u w:val="none"/>
                <w:lang w:eastAsia="zh-CN"/>
              </w:rPr>
              <w:t>噪声源对</w:t>
            </w:r>
            <w:r>
              <w:rPr>
                <w:rFonts w:hint="default" w:ascii="Times New Roman" w:hAnsi="Times New Roman" w:eastAsia="宋体" w:cs="Times New Roman"/>
                <w:color w:val="auto"/>
                <w:spacing w:val="0"/>
                <w:sz w:val="24"/>
                <w:szCs w:val="24"/>
                <w:highlight w:val="none"/>
                <w:u w:val="none"/>
                <w:lang w:eastAsia="zh-CN"/>
              </w:rPr>
              <w:t>厂界的贡献值</w:t>
            </w:r>
            <w:r>
              <w:rPr>
                <w:rFonts w:hint="eastAsia" w:ascii="Times New Roman" w:hAnsi="Times New Roman" w:eastAsia="宋体" w:cs="Times New Roman"/>
                <w:color w:val="auto"/>
                <w:spacing w:val="0"/>
                <w:sz w:val="24"/>
                <w:szCs w:val="24"/>
                <w:highlight w:val="none"/>
                <w:u w:val="none"/>
                <w:lang w:eastAsia="zh-CN"/>
              </w:rPr>
              <w:t>可以满足噪声排放标准限值要求</w:t>
            </w:r>
            <w:r>
              <w:rPr>
                <w:rFonts w:hint="default" w:ascii="Times New Roman" w:hAnsi="Times New Roman" w:eastAsia="宋体" w:cs="Times New Roman"/>
                <w:color w:val="auto"/>
                <w:spacing w:val="0"/>
                <w:sz w:val="24"/>
                <w:szCs w:val="24"/>
                <w:highlight w:val="none"/>
                <w:u w:val="none"/>
                <w:lang w:eastAsia="zh-CN"/>
              </w:rPr>
              <w:t>。</w:t>
            </w:r>
            <w:r>
              <w:rPr>
                <w:rFonts w:hint="eastAsia" w:ascii="Times New Roman" w:hAnsi="Times New Roman" w:eastAsia="宋体" w:cs="Times New Roman"/>
                <w:color w:val="auto"/>
                <w:spacing w:val="0"/>
                <w:sz w:val="24"/>
                <w:szCs w:val="24"/>
                <w:highlight w:val="none"/>
                <w:u w:val="none"/>
                <w:lang w:eastAsia="zh-CN"/>
              </w:rPr>
              <w:t>全厂</w:t>
            </w:r>
            <w:r>
              <w:rPr>
                <w:rFonts w:hint="default" w:ascii="Times New Roman" w:hAnsi="Times New Roman" w:eastAsia="宋体" w:cs="Times New Roman"/>
                <w:color w:val="auto"/>
                <w:spacing w:val="0"/>
                <w:sz w:val="24"/>
                <w:szCs w:val="24"/>
                <w:highlight w:val="none"/>
                <w:u w:val="none"/>
                <w:lang w:eastAsia="zh-CN"/>
              </w:rPr>
              <w:t>各类固废均得到合理处置</w:t>
            </w:r>
            <w:r>
              <w:rPr>
                <w:rFonts w:hint="eastAsia" w:ascii="Times New Roman" w:hAnsi="Times New Roman" w:eastAsia="宋体" w:cs="Times New Roman"/>
                <w:color w:val="auto"/>
                <w:spacing w:val="0"/>
                <w:sz w:val="24"/>
                <w:szCs w:val="24"/>
                <w:highlight w:val="none"/>
                <w:u w:val="none"/>
                <w:lang w:eastAsia="zh-CN"/>
              </w:rPr>
              <w:t>，</w:t>
            </w:r>
            <w:r>
              <w:rPr>
                <w:rFonts w:hint="default" w:ascii="Times New Roman" w:hAnsi="Times New Roman" w:eastAsia="宋体" w:cs="Times New Roman"/>
                <w:color w:val="auto"/>
                <w:spacing w:val="0"/>
                <w:sz w:val="24"/>
                <w:szCs w:val="24"/>
                <w:highlight w:val="none"/>
                <w:u w:val="none"/>
                <w:lang w:eastAsia="zh-CN"/>
              </w:rPr>
              <w:t>不会对周边环境产生影响。</w:t>
            </w:r>
            <w:r>
              <w:rPr>
                <w:rFonts w:hint="eastAsia" w:ascii="Times New Roman" w:hAnsi="Times New Roman" w:eastAsia="宋体" w:cs="Times New Roman"/>
                <w:color w:val="auto"/>
                <w:spacing w:val="0"/>
                <w:sz w:val="24"/>
                <w:szCs w:val="24"/>
                <w:highlight w:val="none"/>
                <w:u w:val="none"/>
                <w:lang w:eastAsia="zh-CN"/>
              </w:rPr>
              <w:t>因此，在</w:t>
            </w:r>
            <w:r>
              <w:rPr>
                <w:rFonts w:hint="default" w:ascii="Times New Roman" w:hAnsi="Times New Roman" w:eastAsia="宋体" w:cs="Times New Roman"/>
                <w:color w:val="auto"/>
                <w:spacing w:val="0"/>
                <w:sz w:val="24"/>
                <w:szCs w:val="24"/>
                <w:highlight w:val="none"/>
                <w:u w:val="none"/>
                <w:lang w:eastAsia="zh-CN"/>
              </w:rPr>
              <w:t>采取相关</w:t>
            </w:r>
            <w:r>
              <w:rPr>
                <w:rFonts w:hint="eastAsia" w:ascii="Times New Roman" w:hAnsi="Times New Roman" w:eastAsia="宋体" w:cs="Times New Roman"/>
                <w:color w:val="auto"/>
                <w:spacing w:val="0"/>
                <w:sz w:val="24"/>
                <w:szCs w:val="24"/>
                <w:highlight w:val="none"/>
                <w:u w:val="none"/>
                <w:lang w:eastAsia="zh-CN"/>
              </w:rPr>
              <w:t>污染</w:t>
            </w:r>
            <w:r>
              <w:rPr>
                <w:rFonts w:hint="default" w:ascii="Times New Roman" w:hAnsi="Times New Roman" w:eastAsia="宋体" w:cs="Times New Roman"/>
                <w:color w:val="auto"/>
                <w:spacing w:val="0"/>
                <w:sz w:val="24"/>
                <w:szCs w:val="24"/>
                <w:highlight w:val="none"/>
                <w:u w:val="none"/>
                <w:lang w:eastAsia="zh-CN"/>
              </w:rPr>
              <w:t>防治</w:t>
            </w:r>
            <w:r>
              <w:rPr>
                <w:rFonts w:hint="eastAsia" w:ascii="Times New Roman" w:hAnsi="Times New Roman" w:eastAsia="宋体" w:cs="Times New Roman"/>
                <w:color w:val="auto"/>
                <w:spacing w:val="0"/>
                <w:sz w:val="24"/>
                <w:szCs w:val="24"/>
                <w:highlight w:val="none"/>
                <w:u w:val="none"/>
                <w:lang w:eastAsia="zh-CN"/>
              </w:rPr>
              <w:t>治理</w:t>
            </w:r>
            <w:r>
              <w:rPr>
                <w:rFonts w:hint="default" w:ascii="Times New Roman" w:hAnsi="Times New Roman" w:eastAsia="宋体" w:cs="Times New Roman"/>
                <w:color w:val="auto"/>
                <w:spacing w:val="0"/>
                <w:sz w:val="24"/>
                <w:szCs w:val="24"/>
                <w:highlight w:val="none"/>
                <w:u w:val="none"/>
                <w:lang w:eastAsia="zh-CN"/>
              </w:rPr>
              <w:t>措施后，项目排放的污染物不会突破区域的环境质量底线。因此，项目建设符合环境功能规划。</w:t>
            </w:r>
          </w:p>
          <w:p w14:paraId="538D343D">
            <w:pPr>
              <w:keepNext w:val="0"/>
              <w:keepLines w:val="0"/>
              <w:suppressLineNumbers w:val="0"/>
              <w:bidi w:val="0"/>
              <w:spacing w:before="0" w:beforeAutospacing="0" w:after="0" w:afterAutospacing="0"/>
              <w:ind w:left="0" w:right="0"/>
              <w:rPr>
                <w:rFonts w:hint="default"/>
              </w:rPr>
            </w:pPr>
            <w:r>
              <w:rPr>
                <w:rFonts w:hint="eastAsia"/>
                <w:lang w:eastAsia="zh-CN"/>
              </w:rPr>
              <w:t>（</w:t>
            </w:r>
            <w:r>
              <w:rPr>
                <w:rFonts w:hint="eastAsia"/>
                <w:lang w:val="en-US" w:eastAsia="zh-CN"/>
              </w:rPr>
              <w:t>3</w:t>
            </w:r>
            <w:r>
              <w:rPr>
                <w:rFonts w:hint="eastAsia"/>
                <w:lang w:eastAsia="zh-CN"/>
              </w:rPr>
              <w:t>）</w:t>
            </w:r>
            <w:r>
              <w:rPr>
                <w:rFonts w:hint="default"/>
              </w:rPr>
              <w:t>资源利用上线：项目用电为区域集中供应，项目的水、气等资源利用不会突破区域的资源利用上线。本项目使用电能作为主要消耗能源，电能属于清洁能源。</w:t>
            </w:r>
            <w:r>
              <w:rPr>
                <w:rFonts w:hint="eastAsia"/>
              </w:rPr>
              <w:t>项目资源的消耗量不大，不属于高耗能资源消耗型企业。项目建成运行后通过内部管理、设备选择、原辅材料的选用和管理、污染治理等多方面采取合理、可行、有效的防治措施，以</w:t>
            </w:r>
            <w:r>
              <w:rPr>
                <w:rFonts w:hint="eastAsia"/>
                <w:lang w:eastAsia="zh-CN"/>
              </w:rPr>
              <w:t>“</w:t>
            </w:r>
            <w:r>
              <w:rPr>
                <w:rFonts w:hint="eastAsia"/>
              </w:rPr>
              <w:t>节能、降耗、减污</w:t>
            </w:r>
            <w:r>
              <w:rPr>
                <w:rFonts w:hint="eastAsia"/>
                <w:lang w:eastAsia="zh-CN"/>
              </w:rPr>
              <w:t>”</w:t>
            </w:r>
            <w:r>
              <w:rPr>
                <w:rFonts w:hint="eastAsia"/>
              </w:rPr>
              <w:t>为目标，可有效控制污染及资源利用水平。项目不会突破区域资源利用</w:t>
            </w:r>
            <w:r>
              <w:rPr>
                <w:rFonts w:hint="eastAsia"/>
                <w:lang w:eastAsia="zh-CN"/>
              </w:rPr>
              <w:t>上限</w:t>
            </w:r>
          </w:p>
          <w:p w14:paraId="62769ABD">
            <w:pPr>
              <w:keepNext w:val="0"/>
              <w:keepLines w:val="0"/>
              <w:suppressLineNumbers w:val="0"/>
              <w:bidi w:val="0"/>
              <w:spacing w:before="0" w:beforeAutospacing="0" w:after="0" w:afterAutospacing="0"/>
              <w:ind w:left="0" w:right="0"/>
              <w:rPr>
                <w:rFonts w:hint="default"/>
              </w:rPr>
            </w:pPr>
            <w:r>
              <w:rPr>
                <w:rFonts w:hint="eastAsia"/>
                <w:lang w:eastAsia="zh-CN"/>
              </w:rPr>
              <w:t>（</w:t>
            </w:r>
            <w:r>
              <w:rPr>
                <w:rFonts w:hint="eastAsia"/>
                <w:lang w:val="en-US" w:eastAsia="zh-CN"/>
              </w:rPr>
              <w:t>4</w:t>
            </w:r>
            <w:r>
              <w:rPr>
                <w:rFonts w:hint="eastAsia"/>
                <w:lang w:eastAsia="zh-CN"/>
              </w:rPr>
              <w:t>）</w:t>
            </w:r>
            <w:r>
              <w:rPr>
                <w:rFonts w:hint="default"/>
              </w:rPr>
              <w:t>环境准入负面清单</w:t>
            </w:r>
          </w:p>
          <w:p w14:paraId="3715AEE5">
            <w:pPr>
              <w:keepNext w:val="0"/>
              <w:keepLines w:val="0"/>
              <w:suppressLineNumbers w:val="0"/>
              <w:bidi w:val="0"/>
              <w:spacing w:before="0" w:beforeAutospacing="0" w:after="0" w:afterAutospacing="0"/>
              <w:ind w:left="0" w:right="0"/>
              <w:rPr>
                <w:rFonts w:hint="default"/>
                <w:lang w:val="en-US" w:eastAsia="zh-CN"/>
              </w:rPr>
            </w:pPr>
            <w:r>
              <w:rPr>
                <w:rFonts w:hint="default"/>
              </w:rPr>
              <w:t>本项目不属于《</w:t>
            </w:r>
            <w:r>
              <w:rPr>
                <w:rFonts w:hint="default"/>
                <w:lang w:eastAsia="zh-CN"/>
              </w:rPr>
              <w:t>产业结构调整指导目录</w:t>
            </w:r>
            <w:r>
              <w:rPr>
                <w:rFonts w:hint="eastAsia"/>
                <w:lang w:eastAsia="zh-CN"/>
              </w:rPr>
              <w:t>（</w:t>
            </w:r>
            <w:r>
              <w:rPr>
                <w:rFonts w:hint="default"/>
                <w:lang w:val="en-US" w:eastAsia="zh-CN"/>
              </w:rPr>
              <w:t>2024</w:t>
            </w:r>
            <w:r>
              <w:rPr>
                <w:rFonts w:hint="eastAsia"/>
                <w:lang w:val="en-US" w:eastAsia="zh-CN"/>
              </w:rPr>
              <w:t>）</w:t>
            </w:r>
            <w:r>
              <w:rPr>
                <w:rFonts w:hint="default"/>
              </w:rPr>
              <w:t>》中限制或淘汰类；满足《市场准入负面清单草案</w:t>
            </w:r>
            <w:r>
              <w:rPr>
                <w:rFonts w:hint="eastAsia"/>
                <w:lang w:eastAsia="zh-CN"/>
              </w:rPr>
              <w:t>（</w:t>
            </w:r>
            <w:r>
              <w:rPr>
                <w:rFonts w:hint="default"/>
              </w:rPr>
              <w:t>试点版</w:t>
            </w:r>
            <w:r>
              <w:rPr>
                <w:rFonts w:hint="eastAsia"/>
                <w:lang w:eastAsia="zh-CN"/>
              </w:rPr>
              <w:t>）</w:t>
            </w:r>
            <w:r>
              <w:rPr>
                <w:rFonts w:hint="default"/>
              </w:rPr>
              <w:t>》</w:t>
            </w:r>
            <w:r>
              <w:rPr>
                <w:rFonts w:hint="eastAsia"/>
                <w:lang w:eastAsia="zh-CN"/>
              </w:rPr>
              <w:t>（</w:t>
            </w:r>
            <w:r>
              <w:rPr>
                <w:rFonts w:hint="default"/>
              </w:rPr>
              <w:t>发改经体〔2016〕442号</w:t>
            </w:r>
            <w:r>
              <w:rPr>
                <w:rFonts w:hint="eastAsia"/>
                <w:lang w:eastAsia="zh-CN"/>
              </w:rPr>
              <w:t>）</w:t>
            </w:r>
            <w:r>
              <w:rPr>
                <w:rFonts w:hint="default"/>
              </w:rPr>
              <w:t>；项目无行业准入条件；不属于《福建省人民政府关于加强重点流域水环境</w:t>
            </w:r>
            <w:r>
              <w:rPr>
                <w:rFonts w:hint="default"/>
                <w:lang w:eastAsia="zh-CN"/>
              </w:rPr>
              <w:t>综合</w:t>
            </w:r>
            <w:r>
              <w:rPr>
                <w:rFonts w:hint="default"/>
              </w:rPr>
              <w:t>整治的意见》中禁止的产业；满足《福建省工业建设项目投资强度控制指标》相关要求；</w:t>
            </w:r>
            <w:r>
              <w:rPr>
                <w:rFonts w:hint="default"/>
                <w:lang w:eastAsia="zh-CN"/>
              </w:rPr>
              <w:t>项目符合国家产业政策，符合《福建省人民政府关于实施</w:t>
            </w:r>
            <w:r>
              <w:rPr>
                <w:rFonts w:hint="eastAsia"/>
                <w:lang w:eastAsia="zh-CN"/>
              </w:rPr>
              <w:t>“</w:t>
            </w:r>
            <w:r>
              <w:rPr>
                <w:rFonts w:hint="default"/>
                <w:lang w:eastAsia="zh-CN"/>
              </w:rPr>
              <w:t>三线一单</w:t>
            </w:r>
            <w:r>
              <w:rPr>
                <w:rFonts w:hint="eastAsia"/>
                <w:lang w:eastAsia="zh-CN"/>
              </w:rPr>
              <w:t>”</w:t>
            </w:r>
            <w:r>
              <w:rPr>
                <w:rFonts w:hint="default"/>
                <w:lang w:eastAsia="zh-CN"/>
              </w:rPr>
              <w:t>生态环境分区管控的通知</w:t>
            </w:r>
            <w:r>
              <w:rPr>
                <w:rFonts w:hint="eastAsia"/>
                <w:lang w:eastAsia="zh-CN"/>
              </w:rPr>
              <w:t>（</w:t>
            </w:r>
            <w:r>
              <w:rPr>
                <w:rFonts w:hint="default"/>
                <w:lang w:eastAsia="zh-CN"/>
              </w:rPr>
              <w:t>闽政〔2020〕12号</w:t>
            </w:r>
            <w:r>
              <w:rPr>
                <w:rFonts w:hint="eastAsia"/>
                <w:lang w:eastAsia="zh-CN"/>
              </w:rPr>
              <w:t>）</w:t>
            </w:r>
            <w:r>
              <w:rPr>
                <w:rFonts w:hint="default"/>
                <w:lang w:eastAsia="zh-CN"/>
              </w:rPr>
              <w:t>》全省生态环境总体准入要求及</w:t>
            </w:r>
            <w:r>
              <w:rPr>
                <w:rFonts w:hint="default"/>
              </w:rPr>
              <w:t>《</w:t>
            </w:r>
            <w:r>
              <w:rPr>
                <w:rFonts w:hint="default"/>
                <w:lang w:val="en-GB" w:eastAsia="zh-CN"/>
              </w:rPr>
              <w:t>福州市人民政府关于实施</w:t>
            </w:r>
            <w:r>
              <w:rPr>
                <w:rFonts w:hint="eastAsia"/>
                <w:lang w:val="en-GB" w:eastAsia="zh-CN"/>
              </w:rPr>
              <w:t>“</w:t>
            </w:r>
            <w:r>
              <w:rPr>
                <w:rFonts w:hint="default"/>
                <w:lang w:val="en-GB" w:eastAsia="zh-CN"/>
              </w:rPr>
              <w:t>三线一单</w:t>
            </w:r>
            <w:r>
              <w:rPr>
                <w:rFonts w:hint="eastAsia"/>
                <w:lang w:val="en-GB" w:eastAsia="zh-CN"/>
              </w:rPr>
              <w:t>”</w:t>
            </w:r>
            <w:r>
              <w:rPr>
                <w:rFonts w:hint="default"/>
                <w:lang w:val="en-GB" w:eastAsia="zh-CN"/>
              </w:rPr>
              <w:t>生态分区管控的通知</w:t>
            </w:r>
            <w:r>
              <w:rPr>
                <w:rFonts w:hint="default"/>
              </w:rPr>
              <w:t>》</w:t>
            </w:r>
            <w:r>
              <w:rPr>
                <w:rFonts w:hint="eastAsia"/>
                <w:lang w:eastAsia="zh-CN"/>
              </w:rPr>
              <w:t>（</w:t>
            </w:r>
            <w:r>
              <w:rPr>
                <w:rFonts w:hint="default"/>
              </w:rPr>
              <w:t>榕政综〔2021〕178号</w:t>
            </w:r>
            <w:r>
              <w:rPr>
                <w:rFonts w:hint="eastAsia"/>
                <w:lang w:eastAsia="zh-CN"/>
              </w:rPr>
              <w:t>）</w:t>
            </w:r>
            <w:r>
              <w:rPr>
                <w:rFonts w:hint="default"/>
                <w:lang w:eastAsia="zh-CN"/>
              </w:rPr>
              <w:t>、</w:t>
            </w:r>
            <w:r>
              <w:rPr>
                <w:rFonts w:hint="default"/>
                <w:lang w:val="en-US" w:eastAsia="zh-CN"/>
              </w:rPr>
              <w:t>《</w:t>
            </w:r>
            <w:r>
              <w:rPr>
                <w:rFonts w:hint="eastAsia"/>
                <w:lang w:val="en-US" w:eastAsia="zh-CN"/>
              </w:rPr>
              <w:t>福州市生态环境局关于发布福州市2024年生产环境分区管控动态更新成果的通知</w:t>
            </w:r>
            <w:r>
              <w:rPr>
                <w:rFonts w:hint="default"/>
                <w:lang w:val="en-US" w:eastAsia="zh-CN"/>
              </w:rPr>
              <w:t>》</w:t>
            </w:r>
            <w:r>
              <w:rPr>
                <w:rFonts w:hint="eastAsia"/>
                <w:lang w:val="en-US" w:eastAsia="zh-CN"/>
              </w:rPr>
              <w:t>（榕环保综</w:t>
            </w:r>
            <w:r>
              <w:rPr>
                <w:rFonts w:hint="default"/>
              </w:rPr>
              <w:t>〔202</w:t>
            </w:r>
            <w:r>
              <w:rPr>
                <w:rFonts w:hint="eastAsia"/>
                <w:lang w:val="en-US" w:eastAsia="zh-CN"/>
              </w:rPr>
              <w:t>5</w:t>
            </w:r>
            <w:r>
              <w:rPr>
                <w:rFonts w:hint="default"/>
              </w:rPr>
              <w:t>〕</w:t>
            </w:r>
            <w:r>
              <w:rPr>
                <w:rFonts w:hint="eastAsia"/>
                <w:lang w:val="en-US" w:eastAsia="zh-CN"/>
              </w:rPr>
              <w:t>1号）</w:t>
            </w:r>
            <w:r>
              <w:rPr>
                <w:rFonts w:hint="default"/>
                <w:lang w:eastAsia="zh-CN"/>
              </w:rPr>
              <w:t>的要求；不属于《市场准入负面清单》</w:t>
            </w:r>
            <w:r>
              <w:rPr>
                <w:rFonts w:hint="eastAsia"/>
                <w:lang w:eastAsia="zh-CN"/>
              </w:rPr>
              <w:t>（</w:t>
            </w:r>
            <w:r>
              <w:rPr>
                <w:rFonts w:hint="default"/>
                <w:lang w:eastAsia="zh-CN"/>
              </w:rPr>
              <w:t>2020年版</w:t>
            </w:r>
            <w:r>
              <w:rPr>
                <w:rFonts w:hint="eastAsia"/>
                <w:lang w:eastAsia="zh-CN"/>
              </w:rPr>
              <w:t>）</w:t>
            </w:r>
            <w:r>
              <w:rPr>
                <w:rFonts w:hint="default"/>
                <w:lang w:eastAsia="zh-CN"/>
              </w:rPr>
              <w:t>中禁止准入类的项目。</w:t>
            </w:r>
          </w:p>
          <w:p w14:paraId="4BB404C7">
            <w:pPr>
              <w:pStyle w:val="3"/>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与省、市生态环境分区管控的要求的符合性分析</w:t>
            </w:r>
          </w:p>
          <w:p w14:paraId="451DB99F">
            <w:pPr>
              <w:keepNext w:val="0"/>
              <w:keepLines w:val="0"/>
              <w:suppressLineNumbers w:val="0"/>
              <w:bidi w:val="0"/>
              <w:spacing w:before="0" w:beforeAutospacing="0" w:after="0" w:afterAutospacing="0"/>
              <w:ind w:left="0" w:right="0"/>
              <w:rPr>
                <w:rFonts w:hint="eastAsia"/>
                <w:b w:val="0"/>
                <w:bCs w:val="0"/>
                <w:iCs w:val="0"/>
              </w:rPr>
            </w:pPr>
            <w:r>
              <w:rPr>
                <w:rFonts w:hint="eastAsia" w:ascii="Times New Roman" w:hAnsi="Times New Roman"/>
                <w:sz w:val="24"/>
                <w:szCs w:val="24"/>
                <w:lang w:val="en-US" w:eastAsia="zh-CN"/>
              </w:rPr>
              <w:t>根据《福州市人民政府办公厅关于印发〈福州市生态环境分区管控方案（2023年更新）〉的通知》（榕政办规〔2024〕20号）和《福州市生态环境局关于发布福州市2024年生态环境分区管控动态更新成果的通知》（榕环保综〔2025〕1号）</w:t>
            </w:r>
            <w:r>
              <w:rPr>
                <w:rFonts w:hint="eastAsia" w:ascii="Times New Roman" w:hAnsi="Times New Roman"/>
                <w:sz w:val="24"/>
                <w:szCs w:val="24"/>
                <w:highlight w:val="none"/>
                <w:lang w:val="en-US" w:eastAsia="zh-CN"/>
              </w:rPr>
              <w:t>以及</w:t>
            </w:r>
            <w:r>
              <w:rPr>
                <w:rFonts w:hint="default" w:ascii="Times New Roman" w:hAnsi="Times New Roman" w:eastAsia="宋体" w:cs="Times New Roman"/>
                <w:color w:val="auto"/>
                <w:sz w:val="24"/>
                <w:szCs w:val="24"/>
                <w:highlight w:val="none"/>
                <w:shd w:val="clear" w:color="auto" w:fill="auto"/>
                <w:lang w:val="en-US" w:eastAsia="zh-CN"/>
              </w:rPr>
              <w:t>《福建省生态环境分区管控综合查询报告》报告编</w:t>
            </w:r>
            <w:r>
              <w:rPr>
                <w:rFonts w:hint="default" w:ascii="Times New Roman" w:hAnsi="Times New Roman"/>
                <w:sz w:val="24"/>
                <w:szCs w:val="24"/>
                <w:highlight w:val="none"/>
                <w:lang w:val="en-US" w:eastAsia="zh-CN"/>
              </w:rPr>
              <w:t>号：</w:t>
            </w:r>
            <w:r>
              <w:rPr>
                <w:rFonts w:hint="eastAsia"/>
                <w:sz w:val="24"/>
                <w:szCs w:val="24"/>
                <w:highlight w:val="none"/>
                <w:lang w:val="en-US" w:eastAsia="zh-CN"/>
              </w:rPr>
              <w:t>FQGK1769394434226</w:t>
            </w:r>
            <w:r>
              <w:rPr>
                <w:rFonts w:hint="default" w:ascii="Times New Roman" w:hAnsi="Times New Roman"/>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b w:val="0"/>
                <w:bCs w:val="0"/>
                <w:color w:val="auto"/>
                <w:kern w:val="2"/>
                <w:sz w:val="24"/>
                <w:szCs w:val="24"/>
                <w:highlight w:val="none"/>
                <w:lang w:val="en-US" w:eastAsia="zh-CN" w:bidi="ar-SA"/>
              </w:rPr>
              <w:t>位于福清融侨经济技术开发区（租赁福清洪添科技有限公司车间2第3层）</w:t>
            </w:r>
            <w:r>
              <w:rPr>
                <w:rFonts w:hint="default" w:ascii="Times New Roman" w:hAnsi="Times New Roman" w:eastAsia="宋体" w:cs="Times New Roman"/>
                <w:color w:val="auto"/>
                <w:sz w:val="24"/>
                <w:szCs w:val="24"/>
                <w:highlight w:val="none"/>
                <w:lang w:val="en-US" w:eastAsia="zh-CN"/>
              </w:rPr>
              <w:t>，在</w:t>
            </w:r>
            <w:r>
              <w:rPr>
                <w:rFonts w:hint="eastAsia" w:cs="Times New Roman"/>
                <w:color w:val="auto"/>
                <w:sz w:val="24"/>
                <w:szCs w:val="24"/>
                <w:highlight w:val="none"/>
                <w:lang w:val="en-US" w:eastAsia="zh-CN"/>
              </w:rPr>
              <w:t>洪宽工业区</w:t>
            </w:r>
            <w:r>
              <w:rPr>
                <w:rFonts w:hint="eastAsia" w:ascii="Times New Roman" w:hAnsi="Times New Roman" w:cs="Times New Roman"/>
                <w:color w:val="auto"/>
                <w:sz w:val="24"/>
                <w:szCs w:val="24"/>
                <w:highlight w:val="none"/>
                <w:lang w:val="en-US" w:eastAsia="zh-CN"/>
              </w:rPr>
              <w:t>（工业园区）内</w:t>
            </w:r>
            <w:r>
              <w:rPr>
                <w:rFonts w:hint="eastAsia" w:cs="Times New Roman"/>
                <w:color w:val="auto"/>
                <w:sz w:val="24"/>
                <w:szCs w:val="24"/>
                <w:highlight w:val="none"/>
                <w:lang w:val="en-US" w:eastAsia="zh-CN"/>
              </w:rPr>
              <w:t>且</w:t>
            </w:r>
            <w:r>
              <w:rPr>
                <w:rFonts w:hint="default" w:ascii="Times New Roman" w:hAnsi="Times New Roman" w:eastAsia="宋体" w:cs="Times New Roman"/>
                <w:color w:val="auto"/>
                <w:sz w:val="24"/>
                <w:szCs w:val="24"/>
                <w:highlight w:val="none"/>
                <w:lang w:val="en-US" w:eastAsia="zh-CN"/>
              </w:rPr>
              <w:t>项目属于塑料零件及其他塑料制品制造</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金属表面处理及热处理加工，不属于</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福州市生态环境总体准入要求</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中</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空间</w:t>
            </w:r>
            <w:r>
              <w:rPr>
                <w:rFonts w:hint="default" w:ascii="Times New Roman" w:hAnsi="Times New Roman" w:eastAsia="宋体" w:cs="Times New Roman"/>
                <w:color w:val="auto"/>
                <w:sz w:val="24"/>
                <w:szCs w:val="24"/>
                <w:highlight w:val="none"/>
                <w:lang w:val="en-US" w:eastAsia="zh-CN"/>
              </w:rPr>
              <w:t>布局约束</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的工业区及特别规定的行业。</w:t>
            </w:r>
            <w:r>
              <w:rPr>
                <w:rFonts w:hint="default" w:ascii="Times New Roman" w:hAnsi="Times New Roman" w:eastAsia="宋体" w:cs="Times New Roman"/>
                <w:color w:val="auto"/>
                <w:sz w:val="24"/>
                <w:szCs w:val="24"/>
                <w:highlight w:val="none"/>
                <w:shd w:val="clear" w:color="auto" w:fill="auto"/>
                <w:lang w:val="en-US" w:eastAsia="zh-CN"/>
              </w:rPr>
              <w:t>全省生态环境总体准入要求符合性分析如下。</w:t>
            </w:r>
            <w:r>
              <w:rPr>
                <w:rFonts w:hint="default" w:ascii="Times New Roman" w:hAnsi="Times New Roman" w:eastAsia="宋体" w:cs="Times New Roman"/>
                <w:color w:val="auto"/>
                <w:sz w:val="24"/>
                <w:szCs w:val="24"/>
                <w:highlight w:val="none"/>
              </w:rPr>
              <w:t>相关要求分析见表</w:t>
            </w:r>
            <w:r>
              <w:rPr>
                <w:rFonts w:hint="eastAsia"/>
                <w:lang w:val="en-US" w:eastAsia="zh-CN"/>
              </w:rPr>
              <w:t>1.8-1</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与福州市生态环境总体准入要求进行对照分析，</w:t>
            </w:r>
            <w:r>
              <w:rPr>
                <w:rFonts w:hint="default" w:ascii="Times New Roman" w:hAnsi="Times New Roman" w:eastAsia="宋体" w:cs="Times New Roman"/>
                <w:color w:val="auto"/>
                <w:sz w:val="24"/>
                <w:szCs w:val="24"/>
                <w:highlight w:val="none"/>
              </w:rPr>
              <w:t>具体见表</w:t>
            </w:r>
            <w:r>
              <w:rPr>
                <w:rFonts w:hint="eastAsia"/>
                <w:lang w:val="en-US" w:eastAsia="zh-CN"/>
              </w:rPr>
              <w:t>1.8-2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sz w:val="24"/>
                <w:szCs w:val="24"/>
              </w:rPr>
              <w:t>与重点管控单元（环境管控单元编码</w:t>
            </w:r>
            <w:r>
              <w:rPr>
                <w:rFonts w:hint="eastAsia" w:ascii="Times New Roman" w:hAnsi="Times New Roman"/>
                <w:sz w:val="24"/>
                <w:szCs w:val="24"/>
                <w:lang w:val="en-US" w:eastAsia="zh-CN"/>
              </w:rPr>
              <w:t>：</w:t>
            </w:r>
            <w:r>
              <w:rPr>
                <w:rFonts w:hint="eastAsia"/>
                <w:sz w:val="24"/>
                <w:szCs w:val="24"/>
                <w:lang w:val="en-US" w:eastAsia="zh-CN"/>
              </w:rPr>
              <w:t>ZH35018120003</w:t>
            </w:r>
            <w:r>
              <w:rPr>
                <w:rFonts w:hint="default" w:ascii="Times New Roman" w:hAnsi="Times New Roman"/>
                <w:sz w:val="24"/>
                <w:szCs w:val="24"/>
                <w:lang w:val="en-US" w:eastAsia="zh-CN"/>
              </w:rPr>
              <w:t>）</w:t>
            </w:r>
            <w:r>
              <w:rPr>
                <w:rFonts w:hint="default" w:ascii="Times New Roman" w:hAnsi="Times New Roman" w:eastAsia="宋体" w:cs="Times New Roman"/>
                <w:sz w:val="24"/>
                <w:szCs w:val="24"/>
                <w:highlight w:val="none"/>
              </w:rPr>
              <w:t>准入要求符合性分析见表1</w:t>
            </w:r>
            <w:r>
              <w:rPr>
                <w:rFonts w:hint="default" w:ascii="Times New Roman" w:hAnsi="Times New Roman" w:eastAsia="宋体" w:cs="Times New Roman"/>
                <w:sz w:val="24"/>
                <w:szCs w:val="24"/>
                <w:highlight w:val="none"/>
                <w:lang w:val="en-US" w:eastAsia="zh-CN"/>
              </w:rPr>
              <w:t>.</w:t>
            </w:r>
            <w:r>
              <w:rPr>
                <w:rFonts w:hint="eastAsia" w:cs="Times New Roman"/>
                <w:sz w:val="24"/>
                <w:szCs w:val="24"/>
                <w:highlight w:val="none"/>
                <w:lang w:val="en-US" w:eastAsia="zh-CN"/>
              </w:rPr>
              <w:t>8-3</w:t>
            </w:r>
            <w:r>
              <w:rPr>
                <w:rFonts w:hint="default" w:ascii="Times New Roman" w:hAnsi="Times New Roman" w:eastAsia="宋体" w:cs="Times New Roman"/>
                <w:sz w:val="24"/>
                <w:szCs w:val="24"/>
                <w:highlight w:val="none"/>
              </w:rPr>
              <w:t>。福建省生态环境分区管控数据应用平台查询结果截图</w:t>
            </w:r>
            <w:r>
              <w:rPr>
                <w:rFonts w:hint="eastAsia" w:ascii="Times New Roman" w:hAnsi="Times New Roman" w:cs="Times New Roman"/>
                <w:sz w:val="24"/>
                <w:szCs w:val="24"/>
                <w:highlight w:val="none"/>
                <w:lang w:eastAsia="zh-CN"/>
              </w:rPr>
              <w:t>、</w:t>
            </w:r>
            <w:r>
              <w:rPr>
                <w:rFonts w:hint="default" w:ascii="Times New Roman" w:hAnsi="Times New Roman" w:eastAsia="宋体" w:cs="Times New Roman"/>
                <w:sz w:val="24"/>
                <w:szCs w:val="24"/>
                <w:highlight w:val="none"/>
              </w:rPr>
              <w:t>福建省生态环境分区管控综</w:t>
            </w:r>
            <w:r>
              <w:rPr>
                <w:rFonts w:hint="default" w:ascii="Times New Roman" w:hAnsi="Times New Roman" w:eastAsia="宋体" w:cs="Times New Roman"/>
                <w:b w:val="0"/>
                <w:bCs w:val="0"/>
                <w:sz w:val="24"/>
                <w:szCs w:val="24"/>
                <w:highlight w:val="none"/>
              </w:rPr>
              <w:t>合查询报告详见</w:t>
            </w:r>
            <w:r>
              <w:rPr>
                <w:rFonts w:hint="default" w:ascii="Times New Roman" w:hAnsi="Times New Roman" w:eastAsia="宋体" w:cs="Times New Roman"/>
                <w:b w:val="0"/>
                <w:bCs w:val="0"/>
                <w:sz w:val="24"/>
                <w:szCs w:val="24"/>
                <w:highlight w:val="none"/>
                <w:lang w:val="en-US"/>
              </w:rPr>
              <w:fldChar w:fldCharType="begin"/>
            </w:r>
            <w:r>
              <w:rPr>
                <w:rFonts w:hint="default" w:ascii="Times New Roman" w:hAnsi="Times New Roman" w:eastAsia="宋体" w:cs="Times New Roman"/>
                <w:b w:val="0"/>
                <w:bCs w:val="0"/>
                <w:sz w:val="24"/>
                <w:szCs w:val="24"/>
                <w:highlight w:val="none"/>
                <w:lang w:val="en-US"/>
              </w:rPr>
              <w:instrText xml:space="preserve"> REF _Ref5378 \h </w:instrText>
            </w:r>
            <w:r>
              <w:rPr>
                <w:rFonts w:hint="default" w:ascii="Times New Roman" w:hAnsi="Times New Roman" w:eastAsia="宋体" w:cs="Times New Roman"/>
                <w:b w:val="0"/>
                <w:bCs w:val="0"/>
                <w:sz w:val="24"/>
                <w:szCs w:val="24"/>
                <w:highlight w:val="none"/>
                <w:lang w:val="en-US"/>
              </w:rPr>
              <w:fldChar w:fldCharType="separate"/>
            </w:r>
            <w:r>
              <w:rPr>
                <w:rFonts w:hint="eastAsia"/>
              </w:rPr>
              <w:t>附件 5</w:t>
            </w:r>
            <w:r>
              <w:rPr>
                <w:rFonts w:hint="default" w:ascii="Times New Roman" w:hAnsi="Times New Roman" w:eastAsia="宋体" w:cs="Times New Roman"/>
                <w:b w:val="0"/>
                <w:bCs w:val="0"/>
                <w:sz w:val="24"/>
                <w:szCs w:val="24"/>
                <w:highlight w:val="none"/>
                <w:lang w:val="en-US"/>
              </w:rPr>
              <w:fldChar w:fldCharType="end"/>
            </w:r>
            <w:r>
              <w:rPr>
                <w:rFonts w:hint="default" w:ascii="Times New Roman" w:hAnsi="Times New Roman" w:eastAsia="宋体" w:cs="Times New Roman"/>
                <w:color w:val="auto"/>
                <w:spacing w:val="0"/>
                <w:w w:val="100"/>
                <w:position w:val="0"/>
                <w:sz w:val="24"/>
                <w:szCs w:val="24"/>
                <w:u w:val="none"/>
              </w:rPr>
              <w:t>。</w:t>
            </w:r>
          </w:p>
          <w:p w14:paraId="0253010A">
            <w:pPr>
              <w:pStyle w:val="39"/>
              <w:keepNext w:val="0"/>
              <w:keepLines w:val="0"/>
              <w:suppressLineNumbers w:val="0"/>
              <w:bidi w:val="0"/>
              <w:spacing w:before="0" w:beforeAutospacing="0" w:after="0" w:afterAutospacing="0"/>
              <w:ind w:left="0" w:right="0"/>
              <w:rPr>
                <w:rFonts w:hint="default"/>
              </w:rPr>
            </w:pPr>
            <w:r>
              <w:rPr>
                <w:rFonts w:hint="default"/>
              </w:rPr>
              <w:t>表1</w:t>
            </w:r>
            <w:r>
              <w:rPr>
                <w:rFonts w:hint="eastAsia"/>
                <w:lang w:val="en-US" w:eastAsia="zh-CN"/>
              </w:rPr>
              <w:t>.8-1</w:t>
            </w:r>
            <w:r>
              <w:rPr>
                <w:rFonts w:hint="default"/>
              </w:rPr>
              <w:t xml:space="preserve"> 与全省生态环境总体准入要求的符合性分析</w:t>
            </w:r>
          </w:p>
          <w:tbl>
            <w:tblPr>
              <w:tblStyle w:val="29"/>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551"/>
              <w:gridCol w:w="469"/>
              <w:gridCol w:w="3519"/>
              <w:gridCol w:w="1838"/>
              <w:gridCol w:w="746"/>
            </w:tblGrid>
            <w:tr w14:paraId="1A53FD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553" w:type="dxa"/>
                  <w:noWrap w:val="0"/>
                  <w:vAlign w:val="center"/>
                </w:tcPr>
                <w:p w14:paraId="495B01D2">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适用范围</w:t>
                  </w:r>
                </w:p>
              </w:tc>
              <w:tc>
                <w:tcPr>
                  <w:tcW w:w="4011" w:type="dxa"/>
                  <w:gridSpan w:val="2"/>
                  <w:noWrap w:val="0"/>
                  <w:vAlign w:val="center"/>
                </w:tcPr>
                <w:p w14:paraId="1DD1CD4A">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准入要求</w:t>
                  </w:r>
                </w:p>
              </w:tc>
              <w:tc>
                <w:tcPr>
                  <w:tcW w:w="1847" w:type="dxa"/>
                  <w:noWrap w:val="0"/>
                  <w:vAlign w:val="center"/>
                </w:tcPr>
                <w:p w14:paraId="238B2855">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本项目情况</w:t>
                  </w:r>
                </w:p>
              </w:tc>
              <w:tc>
                <w:tcPr>
                  <w:tcW w:w="749" w:type="dxa"/>
                  <w:noWrap w:val="0"/>
                  <w:vAlign w:val="center"/>
                </w:tcPr>
                <w:p w14:paraId="6C708A6D">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符合性</w:t>
                  </w:r>
                </w:p>
              </w:tc>
            </w:tr>
            <w:tr w14:paraId="5CDF0F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69" w:hRule="atLeast"/>
                <w:jc w:val="center"/>
              </w:trPr>
              <w:tc>
                <w:tcPr>
                  <w:tcW w:w="553" w:type="dxa"/>
                  <w:vMerge w:val="restart"/>
                  <w:noWrap w:val="0"/>
                  <w:vAlign w:val="center"/>
                </w:tcPr>
                <w:p w14:paraId="50075F54">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全省陆域</w:t>
                  </w:r>
                </w:p>
              </w:tc>
              <w:tc>
                <w:tcPr>
                  <w:tcW w:w="470" w:type="dxa"/>
                  <w:noWrap w:val="0"/>
                  <w:vAlign w:val="center"/>
                </w:tcPr>
                <w:p w14:paraId="2AB69A7A">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空间布局约束</w:t>
                  </w:r>
                </w:p>
              </w:tc>
              <w:tc>
                <w:tcPr>
                  <w:tcW w:w="3541" w:type="dxa"/>
                  <w:noWrap w:val="0"/>
                  <w:vAlign w:val="center"/>
                </w:tcPr>
                <w:p w14:paraId="4DF0A2E7">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1、石化、汽车、船舶、冶金、水泥、制浆造纸、印染等重点产业，要符合全省规划布局要求。</w:t>
                  </w:r>
                </w:p>
                <w:p w14:paraId="13249A81">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2、严控钢铁、水泥、平板玻璃等产能过剩行业新增产能，新增产能应实施产能等量或减量置换。</w:t>
                  </w:r>
                </w:p>
                <w:p w14:paraId="68DD4E65">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3、除列入国家规划的大型煤电和符合相关要求的等容量替代项目，以及以供热为主的热电联产项目外，原则上不再建设新的煤电项目。</w:t>
                  </w:r>
                </w:p>
                <w:p w14:paraId="12D5B0CC">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4、氟化工产业应集中布局在《关于促进我省氟化工产业绿色高效发展的若干意见》中确定的园区，在上述园区之外不再新建氟化工项目，园区之外现有氟化工项目不再扩大规模。</w:t>
                  </w:r>
                </w:p>
                <w:p w14:paraId="5D1C4D6F">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5、禁止在水环境质量不能稳定达标的区域内，建设新增相应不达标污染物指标排放量的工业项目。</w:t>
                  </w:r>
                </w:p>
              </w:tc>
              <w:tc>
                <w:tcPr>
                  <w:tcW w:w="1847" w:type="dxa"/>
                  <w:noWrap w:val="0"/>
                  <w:vAlign w:val="center"/>
                </w:tcPr>
                <w:p w14:paraId="49C02D3D">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本项目主要从事铝合金、塑胶件及钣金件加工生产，项目所在区域水环境质量能稳定达标，项目建设与空间布局约束要求不相冲突</w:t>
                  </w:r>
                </w:p>
              </w:tc>
              <w:tc>
                <w:tcPr>
                  <w:tcW w:w="749" w:type="dxa"/>
                  <w:noWrap w:val="0"/>
                  <w:vAlign w:val="center"/>
                </w:tcPr>
                <w:p w14:paraId="69BEDEAE">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符合</w:t>
                  </w:r>
                </w:p>
              </w:tc>
            </w:tr>
            <w:tr w14:paraId="62F99A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553" w:type="dxa"/>
                  <w:vMerge w:val="continue"/>
                  <w:noWrap w:val="0"/>
                  <w:vAlign w:val="center"/>
                </w:tcPr>
                <w:p w14:paraId="10DE1306">
                  <w:pPr>
                    <w:pStyle w:val="38"/>
                    <w:keepNext w:val="0"/>
                    <w:keepLines w:val="0"/>
                    <w:widowControl/>
                    <w:suppressLineNumbers w:val="0"/>
                    <w:bidi w:val="0"/>
                    <w:spacing w:before="0" w:beforeAutospacing="0" w:after="0" w:afterAutospacing="0"/>
                    <w:ind w:left="0" w:right="0"/>
                    <w:rPr>
                      <w:rFonts w:hint="eastAsia"/>
                      <w:szCs w:val="22"/>
                    </w:rPr>
                  </w:pPr>
                </w:p>
              </w:tc>
              <w:tc>
                <w:tcPr>
                  <w:tcW w:w="470" w:type="dxa"/>
                  <w:noWrap w:val="0"/>
                  <w:vAlign w:val="center"/>
                </w:tcPr>
                <w:p w14:paraId="19124464">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污染物排放管控</w:t>
                  </w:r>
                </w:p>
              </w:tc>
              <w:tc>
                <w:tcPr>
                  <w:tcW w:w="3541" w:type="dxa"/>
                  <w:noWrap w:val="0"/>
                  <w:vAlign w:val="center"/>
                </w:tcPr>
                <w:p w14:paraId="6245E25B">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1、建设项目新增的主要污染物排放量应按要求实行等量或倍量替代。涉及总磷排放的建设项目应按照要求实行总磷排放量倍量或等量削减替代。涉及重金属重点行业建设项目新增的重点重金属污染物应按要求实行</w:t>
                  </w:r>
                  <w:r>
                    <w:rPr>
                      <w:rFonts w:hint="eastAsia"/>
                      <w:szCs w:val="22"/>
                      <w:lang w:eastAsia="zh-CN"/>
                    </w:rPr>
                    <w:t>“</w:t>
                  </w:r>
                  <w:r>
                    <w:rPr>
                      <w:rFonts w:hint="eastAsia"/>
                      <w:szCs w:val="22"/>
                    </w:rPr>
                    <w:t>减量置换</w:t>
                  </w:r>
                  <w:r>
                    <w:rPr>
                      <w:rFonts w:hint="eastAsia"/>
                      <w:szCs w:val="22"/>
                      <w:lang w:eastAsia="zh-CN"/>
                    </w:rPr>
                    <w:t>”</w:t>
                  </w:r>
                  <w:r>
                    <w:rPr>
                      <w:rFonts w:hint="eastAsia"/>
                      <w:szCs w:val="22"/>
                    </w:rPr>
                    <w:t>或等量替换。涉新增</w:t>
                  </w:r>
                  <w:r>
                    <w:rPr>
                      <w:rFonts w:hint="eastAsia"/>
                      <w:szCs w:val="22"/>
                      <w:lang w:eastAsia="zh-CN"/>
                    </w:rPr>
                    <w:t>VOCs</w:t>
                  </w:r>
                  <w:r>
                    <w:rPr>
                      <w:rFonts w:hint="eastAsia"/>
                      <w:szCs w:val="22"/>
                    </w:rPr>
                    <w:t>排放项目，</w:t>
                  </w:r>
                  <w:r>
                    <w:rPr>
                      <w:rFonts w:hint="eastAsia"/>
                      <w:szCs w:val="22"/>
                      <w:lang w:eastAsia="zh-CN"/>
                    </w:rPr>
                    <w:t>VOCs</w:t>
                  </w:r>
                  <w:r>
                    <w:rPr>
                      <w:rFonts w:hint="eastAsia"/>
                      <w:szCs w:val="22"/>
                    </w:rPr>
                    <w:t>排放实行区域内等量替代。福州、厦门、漳州、泉州、莆田、宁德等6个重点控制区可实施倍量替代。</w:t>
                  </w:r>
                </w:p>
                <w:p w14:paraId="73721D42">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2、新建水泥、有色金属项目应执行大气污染物特别排放限值，钢铁项目应执行超低排放指标要求，火电项目应达到超低排放限值。</w:t>
                  </w:r>
                </w:p>
                <w:p w14:paraId="4E9B9176">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3、尾水排入近岸海域汇水区域、</w:t>
                  </w:r>
                  <w:r>
                    <w:rPr>
                      <w:rFonts w:hint="eastAsia"/>
                      <w:szCs w:val="22"/>
                      <w:lang w:eastAsia="zh-CN"/>
                    </w:rPr>
                    <w:t>“</w:t>
                  </w:r>
                  <w:r>
                    <w:rPr>
                      <w:rFonts w:hint="eastAsia"/>
                      <w:szCs w:val="22"/>
                    </w:rPr>
                    <w:t>六江两溪</w:t>
                  </w:r>
                  <w:r>
                    <w:rPr>
                      <w:rFonts w:hint="eastAsia"/>
                      <w:szCs w:val="22"/>
                      <w:lang w:eastAsia="zh-CN"/>
                    </w:rPr>
                    <w:t>”</w:t>
                  </w:r>
                  <w:r>
                    <w:rPr>
                      <w:rFonts w:hint="eastAsia"/>
                      <w:szCs w:val="22"/>
                    </w:rPr>
                    <w:t>流域以及湖泊、水库等封闭、半封闭水域的城镇污水处理设施执行不低于一级 A 排放标准。</w:t>
                  </w:r>
                </w:p>
              </w:tc>
              <w:tc>
                <w:tcPr>
                  <w:tcW w:w="1847" w:type="dxa"/>
                  <w:noWrap w:val="0"/>
                  <w:vAlign w:val="center"/>
                </w:tcPr>
                <w:p w14:paraId="28ADE4B3">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1、项目位于</w:t>
                  </w:r>
                  <w:r>
                    <w:rPr>
                      <w:rFonts w:hint="eastAsia"/>
                      <w:szCs w:val="22"/>
                      <w:lang w:eastAsia="zh-CN"/>
                    </w:rPr>
                    <w:t>福建省福州市福清融侨经济技术开发区内</w:t>
                  </w:r>
                  <w:r>
                    <w:rPr>
                      <w:rFonts w:hint="eastAsia"/>
                      <w:szCs w:val="22"/>
                    </w:rPr>
                    <w:t>，属于其规定的污染物管控区域。项目涉及</w:t>
                  </w:r>
                  <w:r>
                    <w:rPr>
                      <w:rFonts w:hint="eastAsia"/>
                      <w:szCs w:val="22"/>
                      <w:lang w:eastAsia="zh-CN"/>
                    </w:rPr>
                    <w:t>VOCs</w:t>
                  </w:r>
                  <w:r>
                    <w:rPr>
                      <w:rFonts w:hint="eastAsia"/>
                      <w:szCs w:val="22"/>
                    </w:rPr>
                    <w:t>排放，需实施倍量替代。</w:t>
                  </w:r>
                </w:p>
                <w:p w14:paraId="08E63D9B">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2、项目主要从事铝合金、塑胶件及钣金件加工生产，不属于水泥、有色金属、钢铁、火电项目。</w:t>
                  </w:r>
                </w:p>
                <w:p w14:paraId="3A427D2A">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3、项目无生产废水产生；生活污水经化粪池预处理后，排入市政污水管网，尾水排放达一级A排放标准</w:t>
                  </w:r>
                </w:p>
              </w:tc>
              <w:tc>
                <w:tcPr>
                  <w:tcW w:w="749" w:type="dxa"/>
                  <w:noWrap w:val="0"/>
                  <w:vAlign w:val="center"/>
                </w:tcPr>
                <w:p w14:paraId="62E91C22">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符合</w:t>
                  </w:r>
                </w:p>
              </w:tc>
            </w:tr>
          </w:tbl>
          <w:p w14:paraId="375FBD70">
            <w:pPr>
              <w:keepNext w:val="0"/>
              <w:keepLines w:val="0"/>
              <w:suppressLineNumbers w:val="0"/>
              <w:bidi w:val="0"/>
              <w:spacing w:before="0" w:beforeAutospacing="0" w:after="0" w:afterAutospacing="0"/>
              <w:ind w:left="0" w:right="0"/>
              <w:rPr>
                <w:rFonts w:hint="eastAsia"/>
              </w:rPr>
            </w:pPr>
            <w:r>
              <w:rPr>
                <w:rFonts w:hint="eastAsia"/>
                <w:lang w:eastAsia="zh-CN"/>
              </w:rPr>
              <w:t>（</w:t>
            </w:r>
            <w:r>
              <w:rPr>
                <w:rFonts w:hint="eastAsia"/>
              </w:rPr>
              <w:t>2</w:t>
            </w:r>
            <w:r>
              <w:rPr>
                <w:rFonts w:hint="eastAsia"/>
                <w:lang w:eastAsia="zh-CN"/>
              </w:rPr>
              <w:t>）</w:t>
            </w:r>
            <w:r>
              <w:rPr>
                <w:rFonts w:hint="eastAsia"/>
              </w:rPr>
              <w:t>与</w:t>
            </w:r>
            <w:r>
              <w:rPr>
                <w:rFonts w:hint="eastAsia"/>
                <w:b w:val="0"/>
                <w:bCs w:val="0"/>
                <w:iCs w:val="0"/>
              </w:rPr>
              <w:t>《福州市生态环境局关于发布福州市2024年生态环境分区管控动态更新成果的通知》（榕</w:t>
            </w:r>
            <w:r>
              <w:rPr>
                <w:rFonts w:hint="eastAsia"/>
                <w:b w:val="0"/>
                <w:bCs w:val="0"/>
                <w:iCs w:val="0"/>
                <w:lang w:val="en-US" w:eastAsia="zh-CN"/>
              </w:rPr>
              <w:t>环保综</w:t>
            </w:r>
            <w:r>
              <w:rPr>
                <w:rFonts w:hint="eastAsia"/>
                <w:b w:val="0"/>
                <w:bCs w:val="0"/>
                <w:iCs w:val="0"/>
              </w:rPr>
              <w:t>〔202</w:t>
            </w:r>
            <w:r>
              <w:rPr>
                <w:rFonts w:hint="eastAsia"/>
                <w:b w:val="0"/>
                <w:bCs w:val="0"/>
                <w:iCs w:val="0"/>
                <w:lang w:val="en-US" w:eastAsia="zh-CN"/>
              </w:rPr>
              <w:t>5</w:t>
            </w:r>
            <w:r>
              <w:rPr>
                <w:rFonts w:hint="eastAsia"/>
                <w:b w:val="0"/>
                <w:bCs w:val="0"/>
                <w:iCs w:val="0"/>
              </w:rPr>
              <w:t>〕</w:t>
            </w:r>
            <w:r>
              <w:rPr>
                <w:rFonts w:hint="eastAsia"/>
                <w:b w:val="0"/>
                <w:bCs w:val="0"/>
                <w:iCs w:val="0"/>
                <w:lang w:val="en-US" w:eastAsia="zh-CN"/>
              </w:rPr>
              <w:t>1</w:t>
            </w:r>
            <w:r>
              <w:rPr>
                <w:rFonts w:hint="eastAsia"/>
                <w:b w:val="0"/>
                <w:bCs w:val="0"/>
                <w:iCs w:val="0"/>
              </w:rPr>
              <w:t>号）</w:t>
            </w:r>
            <w:r>
              <w:rPr>
                <w:rFonts w:hint="eastAsia"/>
              </w:rPr>
              <w:t>符合性分析</w:t>
            </w:r>
          </w:p>
          <w:p w14:paraId="61EEDE1A">
            <w:pPr>
              <w:keepNext w:val="0"/>
              <w:keepLines w:val="0"/>
              <w:suppressLineNumbers w:val="0"/>
              <w:bidi w:val="0"/>
              <w:spacing w:before="0" w:beforeAutospacing="0" w:after="0" w:afterAutospacing="0"/>
              <w:ind w:left="0" w:right="0"/>
              <w:rPr>
                <w:rFonts w:hint="eastAsia"/>
              </w:rPr>
            </w:pPr>
            <w:r>
              <w:rPr>
                <w:rFonts w:hint="eastAsia"/>
                <w:b w:val="0"/>
                <w:bCs w:val="0"/>
                <w:iCs w:val="0"/>
              </w:rPr>
              <w:t>根据《福州市生态环境局关于发布福州市2024年生态环境分区管控动态更新成果的通知》（榕</w:t>
            </w:r>
            <w:r>
              <w:rPr>
                <w:rFonts w:hint="eastAsia"/>
                <w:b w:val="0"/>
                <w:bCs w:val="0"/>
                <w:iCs w:val="0"/>
                <w:lang w:val="en-US" w:eastAsia="zh-CN"/>
              </w:rPr>
              <w:t>环保综</w:t>
            </w:r>
            <w:r>
              <w:rPr>
                <w:rFonts w:hint="eastAsia"/>
                <w:b w:val="0"/>
                <w:bCs w:val="0"/>
                <w:iCs w:val="0"/>
              </w:rPr>
              <w:t>〔202</w:t>
            </w:r>
            <w:r>
              <w:rPr>
                <w:rFonts w:hint="eastAsia"/>
                <w:b w:val="0"/>
                <w:bCs w:val="0"/>
                <w:iCs w:val="0"/>
                <w:lang w:val="en-US" w:eastAsia="zh-CN"/>
              </w:rPr>
              <w:t>5</w:t>
            </w:r>
            <w:r>
              <w:rPr>
                <w:rFonts w:hint="eastAsia"/>
                <w:b w:val="0"/>
                <w:bCs w:val="0"/>
                <w:iCs w:val="0"/>
              </w:rPr>
              <w:t>〕</w:t>
            </w:r>
            <w:r>
              <w:rPr>
                <w:rFonts w:hint="eastAsia"/>
                <w:b w:val="0"/>
                <w:bCs w:val="0"/>
                <w:iCs w:val="0"/>
                <w:lang w:val="en-US" w:eastAsia="zh-CN"/>
              </w:rPr>
              <w:t>1</w:t>
            </w:r>
            <w:r>
              <w:rPr>
                <w:rFonts w:hint="eastAsia"/>
                <w:b w:val="0"/>
                <w:bCs w:val="0"/>
                <w:iCs w:val="0"/>
              </w:rPr>
              <w:t>号）中对</w:t>
            </w:r>
            <w:r>
              <w:rPr>
                <w:rFonts w:hint="eastAsia"/>
                <w:b w:val="0"/>
                <w:bCs w:val="0"/>
                <w:iCs w:val="0"/>
                <w:lang w:eastAsia="zh-CN"/>
              </w:rPr>
              <w:t>“</w:t>
            </w:r>
            <w:r>
              <w:rPr>
                <w:rFonts w:hint="eastAsia"/>
                <w:b w:val="0"/>
                <w:bCs w:val="0"/>
                <w:iCs w:val="0"/>
              </w:rPr>
              <w:t>生态分区管控的要求</w:t>
            </w:r>
            <w:r>
              <w:rPr>
                <w:rFonts w:hint="eastAsia"/>
                <w:b w:val="0"/>
                <w:bCs w:val="0"/>
                <w:iCs w:val="0"/>
                <w:lang w:eastAsia="zh-CN"/>
              </w:rPr>
              <w:t>”</w:t>
            </w:r>
            <w:r>
              <w:rPr>
                <w:rFonts w:hint="eastAsia"/>
              </w:rPr>
              <w:t>。具体分析见表</w:t>
            </w:r>
            <w:r>
              <w:rPr>
                <w:rFonts w:hint="eastAsia"/>
                <w:lang w:val="en-US" w:eastAsia="zh-CN"/>
              </w:rPr>
              <w:t>1.8-2、表1.8-3</w:t>
            </w:r>
            <w:r>
              <w:rPr>
                <w:rFonts w:hint="eastAsia"/>
              </w:rPr>
              <w:t>。</w:t>
            </w:r>
          </w:p>
          <w:p w14:paraId="2522C740">
            <w:pPr>
              <w:pStyle w:val="39"/>
              <w:keepNext w:val="0"/>
              <w:keepLines w:val="0"/>
              <w:suppressLineNumbers w:val="0"/>
              <w:bidi w:val="0"/>
              <w:spacing w:before="0" w:beforeAutospacing="0" w:after="0" w:afterAutospacing="0"/>
              <w:ind w:left="0" w:right="0"/>
              <w:rPr>
                <w:rFonts w:hint="eastAsia"/>
              </w:rPr>
            </w:pPr>
            <w:r>
              <w:rPr>
                <w:rFonts w:hint="eastAsia"/>
              </w:rPr>
              <w:t>表</w:t>
            </w:r>
            <w:r>
              <w:rPr>
                <w:rFonts w:hint="eastAsia"/>
                <w:lang w:val="en-US" w:eastAsia="zh-CN"/>
              </w:rPr>
              <w:t>1.8-2</w:t>
            </w:r>
            <w:r>
              <w:rPr>
                <w:rFonts w:hint="eastAsia"/>
              </w:rPr>
              <w:t xml:space="preserve"> 与福州市生态环境总体准入要求的符合性分析</w:t>
            </w:r>
          </w:p>
          <w:tbl>
            <w:tblPr>
              <w:tblStyle w:val="29"/>
              <w:tblW w:w="68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495"/>
              <w:gridCol w:w="2500"/>
              <w:gridCol w:w="3345"/>
            </w:tblGrid>
            <w:tr w14:paraId="5670AC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Borders>
                    <w:tl2br w:val="nil"/>
                    <w:tr2bl w:val="nil"/>
                  </w:tcBorders>
                  <w:vAlign w:val="center"/>
                </w:tcPr>
                <w:p w14:paraId="190C802D">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适用范围</w:t>
                  </w:r>
                </w:p>
              </w:tc>
              <w:tc>
                <w:tcPr>
                  <w:tcW w:w="495" w:type="dxa"/>
                  <w:tcBorders>
                    <w:tl2br w:val="nil"/>
                    <w:tr2bl w:val="nil"/>
                  </w:tcBorders>
                  <w:vAlign w:val="center"/>
                </w:tcPr>
                <w:p w14:paraId="651D88A4">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类别</w:t>
                  </w:r>
                </w:p>
              </w:tc>
              <w:tc>
                <w:tcPr>
                  <w:tcW w:w="2500" w:type="dxa"/>
                  <w:tcBorders>
                    <w:tl2br w:val="nil"/>
                    <w:tr2bl w:val="nil"/>
                  </w:tcBorders>
                  <w:vAlign w:val="center"/>
                </w:tcPr>
                <w:p w14:paraId="0F5F3393">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准入要求</w:t>
                  </w:r>
                </w:p>
              </w:tc>
              <w:tc>
                <w:tcPr>
                  <w:tcW w:w="3345" w:type="dxa"/>
                  <w:tcBorders>
                    <w:tl2br w:val="nil"/>
                    <w:tr2bl w:val="nil"/>
                  </w:tcBorders>
                  <w:vAlign w:val="center"/>
                </w:tcPr>
                <w:p w14:paraId="16E25D4C">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符合性分析</w:t>
                  </w:r>
                </w:p>
              </w:tc>
            </w:tr>
            <w:tr w14:paraId="6EFF4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0" w:hRule="atLeast"/>
                <w:jc w:val="center"/>
              </w:trPr>
              <w:tc>
                <w:tcPr>
                  <w:tcW w:w="540" w:type="dxa"/>
                  <w:vMerge w:val="restart"/>
                  <w:tcBorders>
                    <w:tl2br w:val="nil"/>
                    <w:tr2bl w:val="nil"/>
                  </w:tcBorders>
                  <w:vAlign w:val="center"/>
                </w:tcPr>
                <w:p w14:paraId="0846CD05">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福州市陆域</w:t>
                  </w:r>
                </w:p>
              </w:tc>
              <w:tc>
                <w:tcPr>
                  <w:tcW w:w="495" w:type="dxa"/>
                  <w:tcBorders>
                    <w:tl2br w:val="nil"/>
                    <w:tr2bl w:val="nil"/>
                  </w:tcBorders>
                  <w:vAlign w:val="center"/>
                </w:tcPr>
                <w:p w14:paraId="3F31A22D">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空间布局约束</w:t>
                  </w:r>
                </w:p>
              </w:tc>
              <w:tc>
                <w:tcPr>
                  <w:tcW w:w="2500" w:type="dxa"/>
                  <w:tcBorders>
                    <w:tl2br w:val="nil"/>
                    <w:tr2bl w:val="nil"/>
                  </w:tcBorders>
                  <w:vAlign w:val="center"/>
                </w:tcPr>
                <w:p w14:paraId="65644490">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一、优先保护单元中的生态保护红线</w:t>
                  </w:r>
                </w:p>
                <w:p w14:paraId="02EB9A9D">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1.根据《关于在国土空间规划中统筹划定落实三条控制线的指导意见》《自然资源部生态环境部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w:t>
                  </w:r>
                </w:p>
                <w:p w14:paraId="47978F69">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（1）管护巡护、保护执法、科学研究、调查监测、测绘导航、防灾减灾救灾、军事国防、疫情防控等活动及相关的必要设施修筑。</w:t>
                  </w:r>
                </w:p>
                <w:p w14:paraId="6B7E5E50">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2）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51F95C41">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（3）经依法批准的考古调查发掘、古生物化石调查发掘、标本采集和文物保护活动。</w:t>
                  </w:r>
                </w:p>
                <w:p w14:paraId="7CF2E764">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（4）按规定对人工商品林进行抚育采伐，或以提升森林质量、优化栖息地、建设生物防火隔离带等为目的的树种更新，依法开展的竹林采伐经营。</w:t>
                  </w:r>
                </w:p>
                <w:p w14:paraId="6BD45797">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（5）不破坏生态功能的适度参观旅游、科普宣教及符合相关规划的配套性服务设施和相关的必要公共设施建设及维护。</w:t>
                  </w:r>
                </w:p>
                <w:p w14:paraId="636BA13F">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（6）必须且无法避让、符合县级以上国土空间规划的线性基础设施、通讯和防洪、供水设施建设和船舶航行、航道疏浚清淤等活动；已有的合法水利、交通运输等设施运行维护改造。</w:t>
                  </w:r>
                </w:p>
                <w:p w14:paraId="4B30D2DB">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76F6ADE6">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（8）依据县级以上国土空间规划和生态保护修复专项规划开展的生态修复。</w:t>
                  </w:r>
                </w:p>
                <w:p w14:paraId="60E13AC5">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（9）法律法规规定允许的其他人为活动。</w:t>
                  </w:r>
                </w:p>
                <w:p w14:paraId="421DB3E3">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2.依据《福建省自然资源厅福建省生态环境厅福建省林业局关于进一步加强生态保护红线监管的通知（试行）》（闽自然资发〔2023〕56号），允许占用生态保护红线的重大项目范围：</w:t>
                  </w:r>
                </w:p>
                <w:p w14:paraId="0FC3153C">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（1）党中央、国务院发布文件或批准规划中明确具体名称的项目和国务院批准的项目。</w:t>
                  </w:r>
                </w:p>
                <w:p w14:paraId="7420485E">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（2）中央军委及其有关部门批准的军事国防项目。</w:t>
                  </w:r>
                </w:p>
                <w:p w14:paraId="4ED49AEA">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（3）国家级规划（指国务院及其有关部门正式颁布）明确的交通、水利项目。</w:t>
                  </w:r>
                </w:p>
                <w:p w14:paraId="49565002">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（4）国家级规划明确的电网项目，国家级规划明确的且符合国家产业政策的能源矿产勘查开采、油气管线、水电、核电项目。</w:t>
                  </w:r>
                </w:p>
                <w:p w14:paraId="349F9659">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（5）为贯彻落实党中央、国务院重大决策部署</w:t>
                  </w:r>
                  <w:r>
                    <w:rPr>
                      <w:rFonts w:hint="eastAsia"/>
                      <w:b w:val="0"/>
                      <w:bCs w:val="0"/>
                      <w:szCs w:val="22"/>
                      <w:lang w:eastAsia="zh-CN"/>
                    </w:rPr>
                    <w:t>，由</w:t>
                  </w:r>
                  <w:r>
                    <w:rPr>
                      <w:rFonts w:hint="eastAsia"/>
                      <w:b w:val="0"/>
                      <w:bCs w:val="0"/>
                      <w:szCs w:val="22"/>
                    </w:rPr>
                    <w:t>国务院投资主管部门或国务院投资主管部门会同有关部门确认的交通、能源、水利等基础设施项目。</w:t>
                  </w:r>
                </w:p>
                <w:p w14:paraId="7637929C">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（6）按照国家重大项目用地保障工作机制要求，国家发展改革委会同有关部门确认的需中央加大建设用地保障力度，确实难以避让的国家重大项目。</w:t>
                  </w:r>
                </w:p>
                <w:p w14:paraId="7278FBAA">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二、优先保护单元中的一般生态空间</w:t>
                  </w:r>
                </w:p>
                <w:p w14:paraId="2C83233B">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1.一般生态空间以保护和修复生态环境、提供生态产品和服务为首要任务，因地制宜地发展不影响主体功能定位的适宜产业。</w:t>
                  </w:r>
                </w:p>
                <w:p w14:paraId="1D1D95D1">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2.一般生态空间内未纳入生态保护红线的饮用水水源保护区等各类法定保护地，其管控要求依照相关法律法规执行。</w:t>
                  </w:r>
                </w:p>
                <w:p w14:paraId="0076B20B">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3.一般生态空间内现有合法的水泥厂、矿山开发等生产性设施及生活垃圾处置等民生工程予以保留，应按照法律法规要求落实污染防治和生态保护措施，避免对生态功能造成破坏。</w:t>
                  </w:r>
                </w:p>
                <w:p w14:paraId="3DCF0856">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三、其它要求</w:t>
                  </w:r>
                </w:p>
                <w:p w14:paraId="209E59CA">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1.福州市石化中上游项目重点在福州江阴港城经济区、可门港经济区化工新材料产业园布局。</w:t>
                  </w:r>
                </w:p>
                <w:p w14:paraId="5F6D033E">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2.禁止在闽江马尾罗星塔以上流域范围新、扩建制革项目，严控新（扩）建植物制浆、印染、合成革及人造革、电镀项目。</w:t>
                  </w:r>
                </w:p>
                <w:p w14:paraId="43E5E7EF">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3.禁止在通风廊道和主导风向的上风向布局大气重污染企业，推进建成区大气重污染企业搬迁或升级改造、环境风险企业搬迁或关闭退出。</w:t>
                  </w:r>
                </w:p>
                <w:p w14:paraId="62DE4BBB">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4.禁止新、改、扩建生产高</w:t>
                  </w:r>
                  <w:r>
                    <w:rPr>
                      <w:rFonts w:hint="eastAsia"/>
                      <w:b w:val="0"/>
                      <w:bCs w:val="0"/>
                      <w:szCs w:val="22"/>
                      <w:lang w:eastAsia="zh-CN"/>
                    </w:rPr>
                    <w:t>VOCs</w:t>
                  </w:r>
                  <w:r>
                    <w:rPr>
                      <w:rFonts w:hint="eastAsia"/>
                      <w:b w:val="0"/>
                      <w:bCs w:val="0"/>
                      <w:szCs w:val="22"/>
                    </w:rPr>
                    <w:t>含量有机溶剂型涂料、油墨和胶黏剂的项目。</w:t>
                  </w:r>
                </w:p>
                <w:p w14:paraId="38F7EE87">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5.持续加强闽清等地建陶产业的环境综合治理，充分衔接国土空间规划和生态环境分区管控，并对照产业政策、城市总体发展规划等要求，进一步明确发展定位，优化产业布局和规模。</w:t>
                  </w:r>
                </w:p>
                <w:p w14:paraId="36893D76">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6.新建、扩建的涉及重点重金属污染物［1］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46B506E6">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7.禁止在流域上游新建、扩建重污染企业和项目。</w:t>
                  </w:r>
                </w:p>
                <w:p w14:paraId="102B641A">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8.重要敏感水体及富营养化湖库生态缓冲带除相关政府部门批准的科学研究活动外，禁止其它可能对保护区构成危害或不良影响的大规模生产、建设活动。</w:t>
                  </w:r>
                </w:p>
                <w:p w14:paraId="1B665193">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9.新、改、扩建煤电、钢铁、建材、石化、化工等</w:t>
                  </w:r>
                  <w:r>
                    <w:rPr>
                      <w:rFonts w:hint="eastAsia"/>
                      <w:b w:val="0"/>
                      <w:bCs w:val="0"/>
                      <w:szCs w:val="22"/>
                      <w:lang w:eastAsia="zh-CN"/>
                    </w:rPr>
                    <w:t>“</w:t>
                  </w:r>
                  <w:r>
                    <w:rPr>
                      <w:rFonts w:hint="eastAsia"/>
                      <w:b w:val="0"/>
                      <w:bCs w:val="0"/>
                      <w:szCs w:val="22"/>
                    </w:rPr>
                    <w:t>两高</w:t>
                  </w:r>
                  <w:r>
                    <w:rPr>
                      <w:rFonts w:hint="eastAsia"/>
                      <w:b w:val="0"/>
                      <w:bCs w:val="0"/>
                      <w:szCs w:val="22"/>
                      <w:lang w:eastAsia="zh-CN"/>
                    </w:rPr>
                    <w:t>”</w:t>
                  </w:r>
                  <w:r>
                    <w:rPr>
                      <w:rFonts w:hint="eastAsia"/>
                      <w:b w:val="0"/>
                      <w:bCs w:val="0"/>
                      <w:szCs w:val="22"/>
                    </w:rPr>
                    <w:t>项目，严格落实国家、省、市产业规划、产业政策、</w:t>
                  </w:r>
                  <w:r>
                    <w:rPr>
                      <w:rFonts w:hint="eastAsia"/>
                      <w:b w:val="0"/>
                      <w:bCs w:val="0"/>
                      <w:szCs w:val="22"/>
                      <w:lang w:eastAsia="zh-CN"/>
                    </w:rPr>
                    <w:t>“</w:t>
                  </w:r>
                  <w:r>
                    <w:rPr>
                      <w:rFonts w:hint="eastAsia"/>
                      <w:b w:val="0"/>
                      <w:bCs w:val="0"/>
                      <w:szCs w:val="22"/>
                    </w:rPr>
                    <w:t>三线一单</w:t>
                  </w:r>
                  <w:r>
                    <w:rPr>
                      <w:rFonts w:hint="eastAsia"/>
                      <w:b w:val="0"/>
                      <w:bCs w:val="0"/>
                      <w:szCs w:val="22"/>
                      <w:lang w:eastAsia="zh-CN"/>
                    </w:rPr>
                    <w:t>”</w:t>
                  </w:r>
                  <w:r>
                    <w:rPr>
                      <w:rFonts w:hint="eastAsia"/>
                      <w:b w:val="0"/>
                      <w:bCs w:val="0"/>
                      <w:szCs w:val="22"/>
                    </w:rPr>
                    <w:t>、规划环评，以及产能置换、煤炭消费减量替代、区域污染削减等相关要求。</w:t>
                  </w:r>
                </w:p>
                <w:p w14:paraId="6277C72C">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10.单元内涉及永久基本农田的，应按照《福建省基本农田保护条例》（2010年修正本）、《国土资源部关于全面实行永久</w:t>
                  </w:r>
                  <w:r>
                    <w:rPr>
                      <w:rFonts w:hint="eastAsia"/>
                      <w:b w:val="0"/>
                      <w:bCs w:val="0"/>
                      <w:szCs w:val="22"/>
                      <w:lang w:eastAsia="zh-CN"/>
                    </w:rPr>
                    <w:t>基本农田</w:t>
                  </w:r>
                  <w:r>
                    <w:rPr>
                      <w:rFonts w:hint="eastAsia"/>
                      <w:b w:val="0"/>
                      <w:bCs w:val="0"/>
                      <w:szCs w:val="22"/>
                    </w:rPr>
                    <w:t>特殊保护的通知》（国土资规〔2018〕1号）、《</w:t>
                  </w:r>
                  <w:r>
                    <w:rPr>
                      <w:rFonts w:hint="eastAsia"/>
                      <w:b w:val="0"/>
                      <w:bCs w:val="0"/>
                      <w:szCs w:val="22"/>
                      <w:lang w:eastAsia="zh-CN"/>
                    </w:rPr>
                    <w:t>中共中央、国务院</w:t>
                  </w:r>
                  <w:r>
                    <w:rPr>
                      <w:rFonts w:hint="eastAsia"/>
                      <w:b w:val="0"/>
                      <w:bCs w:val="0"/>
                      <w:szCs w:val="22"/>
                    </w:rPr>
                    <w:t>关于加强耕地保护和改进占补平衡的意见》（2017年1月9日）等相关文件要求进</w:t>
                  </w:r>
                  <w:r>
                    <w:rPr>
                      <w:rFonts w:hint="eastAsia"/>
                      <w:b w:val="0"/>
                      <w:bCs w:val="0"/>
                      <w:szCs w:val="22"/>
                      <w:lang w:eastAsia="zh-CN"/>
                    </w:rPr>
                    <w:t>行严</w:t>
                  </w:r>
                  <w:r>
                    <w:rPr>
                      <w:rFonts w:hint="eastAsia"/>
                      <w:b w:val="0"/>
                      <w:bCs w:val="0"/>
                      <w:szCs w:val="22"/>
                    </w:rPr>
                    <w:t>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3345" w:type="dxa"/>
                  <w:tcBorders>
                    <w:tl2br w:val="nil"/>
                    <w:tr2bl w:val="nil"/>
                  </w:tcBorders>
                  <w:vAlign w:val="center"/>
                </w:tcPr>
                <w:p w14:paraId="695469E2">
                  <w:pPr>
                    <w:pStyle w:val="38"/>
                    <w:keepNext w:val="0"/>
                    <w:keepLines w:val="0"/>
                    <w:widowControl/>
                    <w:suppressLineNumbers w:val="0"/>
                    <w:bidi w:val="0"/>
                    <w:spacing w:before="0" w:beforeAutospacing="0" w:after="0" w:afterAutospacing="0"/>
                    <w:ind w:left="0" w:right="0"/>
                    <w:rPr>
                      <w:rFonts w:hint="eastAsia"/>
                      <w:b w:val="0"/>
                      <w:bCs w:val="0"/>
                      <w:szCs w:val="22"/>
                      <w:lang w:val="en-US" w:eastAsia="zh-CN"/>
                    </w:rPr>
                  </w:pPr>
                  <w:r>
                    <w:rPr>
                      <w:rFonts w:hint="eastAsia"/>
                      <w:b w:val="0"/>
                      <w:bCs w:val="0"/>
                      <w:szCs w:val="22"/>
                      <w:lang w:val="en-US" w:eastAsia="zh-CN"/>
                    </w:rPr>
                    <w:t>一、</w:t>
                  </w:r>
                  <w:r>
                    <w:rPr>
                      <w:rFonts w:hint="eastAsia"/>
                      <w:b w:val="0"/>
                      <w:bCs w:val="0"/>
                      <w:szCs w:val="22"/>
                    </w:rPr>
                    <w:t>1.本项目位于</w:t>
                  </w:r>
                  <w:r>
                    <w:rPr>
                      <w:rFonts w:hint="eastAsia"/>
                      <w:szCs w:val="22"/>
                      <w:lang w:val="en-US" w:eastAsia="zh-CN"/>
                    </w:rPr>
                    <w:t>福建省福州市福清融侨经济技术开发区内</w:t>
                  </w:r>
                  <w:r>
                    <w:rPr>
                      <w:rFonts w:hint="eastAsia"/>
                      <w:b w:val="0"/>
                      <w:bCs w:val="0"/>
                      <w:szCs w:val="22"/>
                    </w:rPr>
                    <w:t>，利用已建成厂房进行</w:t>
                  </w:r>
                  <w:r>
                    <w:rPr>
                      <w:rFonts w:hint="eastAsia"/>
                      <w:szCs w:val="22"/>
                    </w:rPr>
                    <w:t>铝合金、塑胶件及钣金件加工生产</w:t>
                  </w:r>
                  <w:r>
                    <w:rPr>
                      <w:rFonts w:hint="eastAsia"/>
                      <w:b w:val="0"/>
                      <w:bCs w:val="0"/>
                      <w:szCs w:val="22"/>
                    </w:rPr>
                    <w:t>，不扩大现有建设用地，不属于新建‘必须且无法避让的线性基础设施’等对国土空间规划有特殊要求的建设活动，不涉及种植、放牧、捕捞、养殖，考古研究、旅游业、地质调查与矿产资源勘查开采。</w:t>
                  </w:r>
                  <w:r>
                    <w:rPr>
                      <w:rFonts w:hint="eastAsia"/>
                      <w:b w:val="0"/>
                      <w:bCs w:val="0"/>
                      <w:szCs w:val="22"/>
                      <w:lang w:val="en-US" w:eastAsia="zh-CN"/>
                    </w:rPr>
                    <w:t>2.本项目不属于重大项目范围。</w:t>
                  </w:r>
                </w:p>
                <w:p w14:paraId="2F043651">
                  <w:pPr>
                    <w:pStyle w:val="38"/>
                    <w:keepNext w:val="0"/>
                    <w:keepLines w:val="0"/>
                    <w:widowControl/>
                    <w:suppressLineNumbers w:val="0"/>
                    <w:bidi w:val="0"/>
                    <w:spacing w:before="0" w:beforeAutospacing="0" w:after="0" w:afterAutospacing="0"/>
                    <w:ind w:left="0" w:right="0"/>
                    <w:rPr>
                      <w:rFonts w:hint="eastAsia"/>
                      <w:b w:val="0"/>
                      <w:bCs w:val="0"/>
                      <w:szCs w:val="22"/>
                      <w:lang w:val="en-US" w:eastAsia="zh-CN"/>
                    </w:rPr>
                  </w:pPr>
                  <w:r>
                    <w:rPr>
                      <w:rFonts w:hint="eastAsia"/>
                      <w:b w:val="0"/>
                      <w:bCs w:val="0"/>
                      <w:szCs w:val="22"/>
                      <w:lang w:val="en-US" w:eastAsia="zh-CN"/>
                    </w:rPr>
                    <w:t>二、</w:t>
                  </w:r>
                  <w:r>
                    <w:rPr>
                      <w:rFonts w:hint="eastAsia"/>
                      <w:b w:val="0"/>
                      <w:bCs w:val="0"/>
                      <w:szCs w:val="22"/>
                    </w:rPr>
                    <w:t>本项目位于</w:t>
                  </w:r>
                  <w:r>
                    <w:rPr>
                      <w:rFonts w:hint="eastAsia"/>
                      <w:szCs w:val="22"/>
                      <w:lang w:val="en-US" w:eastAsia="zh-CN"/>
                    </w:rPr>
                    <w:t>福建省福州市福清融侨经济技术开发区内</w:t>
                  </w:r>
                  <w:r>
                    <w:rPr>
                      <w:rFonts w:hint="eastAsia"/>
                      <w:b w:val="0"/>
                      <w:bCs w:val="0"/>
                      <w:szCs w:val="22"/>
                      <w:lang w:eastAsia="zh-CN"/>
                    </w:rPr>
                    <w:t>，</w:t>
                  </w:r>
                  <w:r>
                    <w:rPr>
                      <w:rFonts w:hint="eastAsia"/>
                      <w:b w:val="0"/>
                      <w:bCs w:val="0"/>
                      <w:szCs w:val="22"/>
                      <w:lang w:val="en-US" w:eastAsia="zh-CN"/>
                    </w:rPr>
                    <w:t>不属于任何法定保护地，并承诺全面落实各项污染防治措施。</w:t>
                  </w:r>
                </w:p>
                <w:p w14:paraId="33A0E267">
                  <w:pPr>
                    <w:pStyle w:val="38"/>
                    <w:keepNext w:val="0"/>
                    <w:keepLines w:val="0"/>
                    <w:widowControl/>
                    <w:suppressLineNumbers w:val="0"/>
                    <w:bidi w:val="0"/>
                    <w:spacing w:before="0" w:beforeAutospacing="0" w:after="0" w:afterAutospacing="0"/>
                    <w:ind w:left="0" w:right="0"/>
                    <w:rPr>
                      <w:rFonts w:hint="default"/>
                      <w:b w:val="0"/>
                      <w:bCs w:val="0"/>
                      <w:szCs w:val="22"/>
                      <w:lang w:val="en-US" w:eastAsia="zh-CN"/>
                    </w:rPr>
                  </w:pPr>
                  <w:r>
                    <w:rPr>
                      <w:rFonts w:hint="eastAsia"/>
                      <w:b w:val="0"/>
                      <w:bCs w:val="0"/>
                      <w:szCs w:val="22"/>
                      <w:lang w:val="en-US" w:eastAsia="zh-CN"/>
                    </w:rPr>
                    <w:t>三、1-2、5-6.本项目</w:t>
                  </w:r>
                  <w:r>
                    <w:rPr>
                      <w:rFonts w:hint="eastAsia"/>
                      <w:b w:val="0"/>
                      <w:bCs w:val="0"/>
                      <w:szCs w:val="22"/>
                    </w:rPr>
                    <w:t>位于</w:t>
                  </w:r>
                  <w:r>
                    <w:rPr>
                      <w:rFonts w:hint="eastAsia"/>
                      <w:szCs w:val="22"/>
                      <w:lang w:val="en-US" w:eastAsia="zh-CN"/>
                    </w:rPr>
                    <w:t>福建省福州市福清融侨经济技术开发区内</w:t>
                  </w:r>
                  <w:r>
                    <w:rPr>
                      <w:rFonts w:hint="eastAsia"/>
                      <w:b w:val="0"/>
                      <w:bCs w:val="0"/>
                      <w:szCs w:val="22"/>
                      <w:lang w:val="en-US" w:eastAsia="zh-CN"/>
                    </w:rPr>
                    <w:t>，主要从事</w:t>
                  </w:r>
                  <w:r>
                    <w:rPr>
                      <w:rFonts w:hint="eastAsia"/>
                      <w:szCs w:val="22"/>
                    </w:rPr>
                    <w:t>铝合金、塑胶件及钣金件加工生产</w:t>
                  </w:r>
                  <w:r>
                    <w:rPr>
                      <w:rFonts w:hint="eastAsia"/>
                      <w:b w:val="0"/>
                      <w:bCs w:val="0"/>
                      <w:szCs w:val="22"/>
                      <w:lang w:val="en-US" w:eastAsia="zh-CN"/>
                    </w:rPr>
                    <w:t>，不涉及</w:t>
                  </w:r>
                  <w:r>
                    <w:rPr>
                      <w:rFonts w:hint="eastAsia"/>
                      <w:b w:val="0"/>
                      <w:bCs w:val="0"/>
                      <w:szCs w:val="22"/>
                    </w:rPr>
                    <w:t>植物制浆、印染、合成革及人造革、电镀</w:t>
                  </w:r>
                  <w:r>
                    <w:rPr>
                      <w:rFonts w:hint="eastAsia"/>
                      <w:b w:val="0"/>
                      <w:bCs w:val="0"/>
                      <w:szCs w:val="22"/>
                      <w:lang w:eastAsia="zh-CN"/>
                    </w:rPr>
                    <w:t>、</w:t>
                  </w:r>
                  <w:r>
                    <w:rPr>
                      <w:rFonts w:hint="eastAsia"/>
                      <w:b w:val="0"/>
                      <w:bCs w:val="0"/>
                      <w:szCs w:val="22"/>
                    </w:rPr>
                    <w:t>有色金属冶炼</w:t>
                  </w:r>
                  <w:r>
                    <w:rPr>
                      <w:rFonts w:hint="eastAsia"/>
                      <w:b w:val="0"/>
                      <w:bCs w:val="0"/>
                      <w:szCs w:val="22"/>
                      <w:lang w:eastAsia="zh-CN"/>
                    </w:rPr>
                    <w:t>、</w:t>
                  </w:r>
                  <w:r>
                    <w:rPr>
                      <w:rFonts w:hint="eastAsia"/>
                      <w:b w:val="0"/>
                      <w:bCs w:val="0"/>
                      <w:szCs w:val="22"/>
                    </w:rPr>
                    <w:t>铅蓄电池制造</w:t>
                  </w:r>
                  <w:r>
                    <w:rPr>
                      <w:rFonts w:hint="eastAsia"/>
                      <w:b w:val="0"/>
                      <w:bCs w:val="0"/>
                      <w:szCs w:val="22"/>
                      <w:lang w:eastAsia="zh-CN"/>
                    </w:rPr>
                    <w:t>、</w:t>
                  </w:r>
                  <w:r>
                    <w:rPr>
                      <w:rFonts w:hint="eastAsia"/>
                      <w:b w:val="0"/>
                      <w:bCs w:val="0"/>
                      <w:szCs w:val="22"/>
                    </w:rPr>
                    <w:t>用汞的电石法（聚）氯乙烯生产工艺</w:t>
                  </w:r>
                  <w:r>
                    <w:rPr>
                      <w:rFonts w:hint="eastAsia"/>
                      <w:b w:val="0"/>
                      <w:bCs w:val="0"/>
                      <w:szCs w:val="22"/>
                      <w:lang w:val="en-US" w:eastAsia="zh-CN"/>
                    </w:rPr>
                    <w:t>3、7.不属于</w:t>
                  </w:r>
                  <w:r>
                    <w:rPr>
                      <w:rFonts w:hint="eastAsia"/>
                      <w:b w:val="0"/>
                      <w:bCs w:val="0"/>
                      <w:szCs w:val="22"/>
                    </w:rPr>
                    <w:t>大气重污染企</w:t>
                  </w:r>
                  <w:r>
                    <w:rPr>
                      <w:rFonts w:hint="eastAsia"/>
                      <w:b w:val="0"/>
                      <w:bCs w:val="0"/>
                      <w:szCs w:val="22"/>
                      <w:highlight w:val="none"/>
                    </w:rPr>
                    <w:t>业</w:t>
                  </w:r>
                  <w:r>
                    <w:rPr>
                      <w:rFonts w:hint="eastAsia"/>
                      <w:b w:val="0"/>
                      <w:bCs w:val="0"/>
                      <w:szCs w:val="22"/>
                      <w:highlight w:val="none"/>
                      <w:lang w:val="en-US" w:eastAsia="zh-CN"/>
                    </w:rPr>
                    <w:t>4.</w:t>
                  </w:r>
                  <w:r>
                    <w:rPr>
                      <w:rFonts w:hint="default"/>
                      <w:b w:val="0"/>
                      <w:bCs w:val="0"/>
                      <w:szCs w:val="22"/>
                      <w:highlight w:val="none"/>
                      <w:lang w:val="en-US" w:eastAsia="zh-CN"/>
                    </w:rPr>
                    <w:t>本项目使用低</w:t>
                  </w:r>
                  <w:r>
                    <w:rPr>
                      <w:rFonts w:hint="eastAsia"/>
                      <w:b w:val="0"/>
                      <w:bCs w:val="0"/>
                      <w:szCs w:val="22"/>
                      <w:highlight w:val="none"/>
                      <w:lang w:val="en-US" w:eastAsia="zh-CN"/>
                    </w:rPr>
                    <w:t>VOCs</w:t>
                  </w:r>
                  <w:r>
                    <w:rPr>
                      <w:rFonts w:hint="default"/>
                      <w:b w:val="0"/>
                      <w:bCs w:val="0"/>
                      <w:szCs w:val="22"/>
                      <w:highlight w:val="none"/>
                      <w:lang w:val="en-US" w:eastAsia="zh-CN"/>
                    </w:rPr>
                    <w:t>含量原辅材料</w:t>
                  </w:r>
                  <w:r>
                    <w:rPr>
                      <w:rFonts w:hint="eastAsia"/>
                      <w:b w:val="0"/>
                      <w:bCs w:val="0"/>
                      <w:szCs w:val="22"/>
                      <w:highlight w:val="none"/>
                      <w:lang w:val="en-US" w:eastAsia="zh-CN"/>
                    </w:rPr>
                    <w:t>8.附近无</w:t>
                  </w:r>
                  <w:r>
                    <w:rPr>
                      <w:rFonts w:hint="eastAsia"/>
                      <w:b w:val="0"/>
                      <w:bCs w:val="0"/>
                      <w:szCs w:val="22"/>
                      <w:highlight w:val="none"/>
                    </w:rPr>
                    <w:t>重要敏感水体及富营养化湖</w:t>
                  </w:r>
                  <w:r>
                    <w:rPr>
                      <w:rFonts w:hint="eastAsia"/>
                      <w:b w:val="0"/>
                      <w:bCs w:val="0"/>
                      <w:szCs w:val="22"/>
                    </w:rPr>
                    <w:t>库生态缓冲带</w:t>
                  </w:r>
                  <w:r>
                    <w:rPr>
                      <w:rFonts w:hint="eastAsia"/>
                      <w:b w:val="0"/>
                      <w:bCs w:val="0"/>
                      <w:szCs w:val="22"/>
                      <w:lang w:val="en-US" w:eastAsia="zh-CN"/>
                    </w:rPr>
                    <w:t>9.本项目不涉及</w:t>
                  </w:r>
                  <w:r>
                    <w:rPr>
                      <w:rFonts w:hint="eastAsia"/>
                      <w:b w:val="0"/>
                      <w:bCs w:val="0"/>
                      <w:szCs w:val="22"/>
                    </w:rPr>
                    <w:t>新、改、扩建煤电、钢铁、建材、石化、化工等</w:t>
                  </w:r>
                  <w:r>
                    <w:rPr>
                      <w:rFonts w:hint="eastAsia"/>
                      <w:b w:val="0"/>
                      <w:bCs w:val="0"/>
                      <w:szCs w:val="22"/>
                      <w:lang w:eastAsia="zh-CN"/>
                    </w:rPr>
                    <w:t>“</w:t>
                  </w:r>
                  <w:r>
                    <w:rPr>
                      <w:rFonts w:hint="eastAsia"/>
                      <w:b w:val="0"/>
                      <w:bCs w:val="0"/>
                      <w:szCs w:val="22"/>
                    </w:rPr>
                    <w:t>两高</w:t>
                  </w:r>
                  <w:r>
                    <w:rPr>
                      <w:rFonts w:hint="eastAsia"/>
                      <w:b w:val="0"/>
                      <w:bCs w:val="0"/>
                      <w:szCs w:val="22"/>
                      <w:lang w:eastAsia="zh-CN"/>
                    </w:rPr>
                    <w:t>”</w:t>
                  </w:r>
                  <w:r>
                    <w:rPr>
                      <w:rFonts w:hint="eastAsia"/>
                      <w:b w:val="0"/>
                      <w:bCs w:val="0"/>
                      <w:szCs w:val="22"/>
                    </w:rPr>
                    <w:t>项目</w:t>
                  </w:r>
                  <w:r>
                    <w:rPr>
                      <w:rFonts w:hint="eastAsia"/>
                      <w:b w:val="0"/>
                      <w:bCs w:val="0"/>
                      <w:szCs w:val="22"/>
                      <w:lang w:eastAsia="zh-CN"/>
                    </w:rPr>
                    <w:t>，</w:t>
                  </w:r>
                  <w:r>
                    <w:rPr>
                      <w:rFonts w:hint="eastAsia"/>
                      <w:b w:val="0"/>
                      <w:bCs w:val="0"/>
                      <w:szCs w:val="22"/>
                      <w:lang w:val="en-US" w:eastAsia="zh-CN"/>
                    </w:rPr>
                    <w:t>非甲烷总烃施行</w:t>
                  </w:r>
                  <w:r>
                    <w:rPr>
                      <w:rFonts w:hint="eastAsia"/>
                      <w:b w:val="0"/>
                      <w:bCs w:val="0"/>
                      <w:szCs w:val="22"/>
                    </w:rPr>
                    <w:t>减量替代、区域污染削减等相关要求</w:t>
                  </w:r>
                  <w:r>
                    <w:rPr>
                      <w:rFonts w:hint="eastAsia"/>
                      <w:b w:val="0"/>
                      <w:bCs w:val="0"/>
                      <w:szCs w:val="22"/>
                      <w:lang w:val="en-US" w:eastAsia="zh-CN"/>
                    </w:rPr>
                    <w:t>10.本项目使用已建成厂房，不涉及永久基本农田。</w:t>
                  </w:r>
                </w:p>
              </w:tc>
            </w:tr>
            <w:tr w14:paraId="5FE6E7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Merge w:val="continue"/>
                  <w:tcBorders>
                    <w:tl2br w:val="nil"/>
                    <w:tr2bl w:val="nil"/>
                  </w:tcBorders>
                  <w:vAlign w:val="center"/>
                </w:tcPr>
                <w:p w14:paraId="74BB2CD5">
                  <w:pPr>
                    <w:pStyle w:val="38"/>
                    <w:keepNext w:val="0"/>
                    <w:keepLines w:val="0"/>
                    <w:widowControl/>
                    <w:suppressLineNumbers w:val="0"/>
                    <w:bidi w:val="0"/>
                    <w:spacing w:before="0" w:beforeAutospacing="0" w:after="0" w:afterAutospacing="0"/>
                    <w:ind w:left="0" w:right="0"/>
                    <w:rPr>
                      <w:rFonts w:hint="eastAsia"/>
                      <w:b w:val="0"/>
                      <w:bCs w:val="0"/>
                      <w:szCs w:val="22"/>
                    </w:rPr>
                  </w:pPr>
                </w:p>
              </w:tc>
              <w:tc>
                <w:tcPr>
                  <w:tcW w:w="495" w:type="dxa"/>
                  <w:tcBorders>
                    <w:tl2br w:val="nil"/>
                    <w:tr2bl w:val="nil"/>
                  </w:tcBorders>
                  <w:vAlign w:val="center"/>
                </w:tcPr>
                <w:p w14:paraId="60512E14">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污染物排放管控</w:t>
                  </w:r>
                </w:p>
              </w:tc>
              <w:tc>
                <w:tcPr>
                  <w:tcW w:w="2500" w:type="dxa"/>
                  <w:tcBorders>
                    <w:tl2br w:val="nil"/>
                    <w:tr2bl w:val="nil"/>
                  </w:tcBorders>
                  <w:vAlign w:val="center"/>
                </w:tcPr>
                <w:p w14:paraId="443BD333">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1.工业类新（改、扩）建项目新增主要污染物（水污染物化学需氧量、氨氮和大气污染物二氧化硫、氮氧化物）排放总量指标应符合区域环境质量和总量控制要求，立足于通过</w:t>
                  </w:r>
                  <w:r>
                    <w:rPr>
                      <w:rFonts w:hint="eastAsia"/>
                      <w:b w:val="0"/>
                      <w:bCs w:val="0"/>
                      <w:szCs w:val="22"/>
                      <w:lang w:eastAsia="zh-CN"/>
                    </w:rPr>
                    <w:t>“</w:t>
                  </w:r>
                  <w:r>
                    <w:rPr>
                      <w:rFonts w:hint="eastAsia"/>
                      <w:b w:val="0"/>
                      <w:bCs w:val="0"/>
                      <w:szCs w:val="22"/>
                    </w:rPr>
                    <w:t>以新带老</w:t>
                  </w:r>
                  <w:r>
                    <w:rPr>
                      <w:rFonts w:hint="eastAsia"/>
                      <w:b w:val="0"/>
                      <w:bCs w:val="0"/>
                      <w:szCs w:val="22"/>
                      <w:lang w:eastAsia="zh-CN"/>
                    </w:rPr>
                    <w:t>”</w:t>
                  </w:r>
                  <w:r>
                    <w:rPr>
                      <w:rFonts w:hint="eastAsia"/>
                      <w:b w:val="0"/>
                      <w:bCs w:val="0"/>
                      <w:szCs w:val="22"/>
                    </w:rPr>
                    <w:t>、削减存量，努力实现区域、企业自身总量平衡。总量指标来源、审核和监督管理按照</w:t>
                  </w:r>
                  <w:r>
                    <w:rPr>
                      <w:rFonts w:hint="eastAsia"/>
                      <w:b w:val="0"/>
                      <w:bCs w:val="0"/>
                      <w:szCs w:val="22"/>
                      <w:lang w:eastAsia="zh-CN"/>
                    </w:rPr>
                    <w:t>“</w:t>
                  </w:r>
                  <w:r>
                    <w:rPr>
                      <w:rFonts w:hint="eastAsia"/>
                      <w:b w:val="0"/>
                      <w:bCs w:val="0"/>
                      <w:szCs w:val="22"/>
                    </w:rPr>
                    <w:t>榕环保综〔2017〕90号</w:t>
                  </w:r>
                  <w:r>
                    <w:rPr>
                      <w:rFonts w:hint="eastAsia"/>
                      <w:b w:val="0"/>
                      <w:bCs w:val="0"/>
                      <w:szCs w:val="22"/>
                      <w:lang w:eastAsia="zh-CN"/>
                    </w:rPr>
                    <w:t>”</w:t>
                  </w:r>
                  <w:r>
                    <w:rPr>
                      <w:rFonts w:hint="eastAsia"/>
                      <w:b w:val="0"/>
                      <w:bCs w:val="0"/>
                      <w:szCs w:val="22"/>
                    </w:rPr>
                    <w:t>等相关文件执行。</w:t>
                  </w:r>
                </w:p>
                <w:p w14:paraId="268CAB78">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2.新、改、扩建涉</w:t>
                  </w:r>
                  <w:r>
                    <w:rPr>
                      <w:rFonts w:hint="eastAsia"/>
                      <w:b w:val="0"/>
                      <w:bCs w:val="0"/>
                      <w:szCs w:val="22"/>
                      <w:lang w:eastAsia="zh-CN"/>
                    </w:rPr>
                    <w:t>VOCs</w:t>
                  </w:r>
                  <w:r>
                    <w:rPr>
                      <w:rFonts w:hint="eastAsia"/>
                      <w:b w:val="0"/>
                      <w:bCs w:val="0"/>
                      <w:szCs w:val="22"/>
                    </w:rPr>
                    <w:t>排放项目污染物排放量应满足《福州市</w:t>
                  </w:r>
                  <w:r>
                    <w:rPr>
                      <w:rFonts w:hint="eastAsia"/>
                      <w:b w:val="0"/>
                      <w:bCs w:val="0"/>
                      <w:szCs w:val="22"/>
                      <w:lang w:eastAsia="zh-CN"/>
                    </w:rPr>
                    <w:t>“</w:t>
                  </w:r>
                  <w:r>
                    <w:rPr>
                      <w:rFonts w:hint="eastAsia"/>
                      <w:b w:val="0"/>
                      <w:bCs w:val="0"/>
                      <w:szCs w:val="22"/>
                    </w:rPr>
                    <w:t>十四五</w:t>
                  </w:r>
                  <w:r>
                    <w:rPr>
                      <w:rFonts w:hint="eastAsia"/>
                      <w:b w:val="0"/>
                      <w:bCs w:val="0"/>
                      <w:szCs w:val="22"/>
                      <w:lang w:eastAsia="zh-CN"/>
                    </w:rPr>
                    <w:t>”空气质量持续改善行动计划</w:t>
                  </w:r>
                  <w:r>
                    <w:rPr>
                      <w:rFonts w:hint="eastAsia"/>
                      <w:b w:val="0"/>
                      <w:bCs w:val="0"/>
                      <w:szCs w:val="22"/>
                    </w:rPr>
                    <w:t>》（榕环保综〔2023〕40号），应从源头加强控制，使用低（无）</w:t>
                  </w:r>
                  <w:r>
                    <w:rPr>
                      <w:rFonts w:hint="eastAsia"/>
                      <w:b w:val="0"/>
                      <w:bCs w:val="0"/>
                      <w:szCs w:val="22"/>
                      <w:lang w:eastAsia="zh-CN"/>
                    </w:rPr>
                    <w:t>VOCs</w:t>
                  </w:r>
                  <w:r>
                    <w:rPr>
                      <w:rFonts w:hint="eastAsia"/>
                      <w:b w:val="0"/>
                      <w:bCs w:val="0"/>
                      <w:szCs w:val="22"/>
                    </w:rPr>
                    <w:t>含量的原辅材料。</w:t>
                  </w:r>
                </w:p>
                <w:p w14:paraId="32F7ECF0">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3.严格控制新建、改建、扩建钢铁、水泥、平板玻璃、有色金属冶炼、化工等工业项目。新改扩建钢铁、火电项目</w:t>
                  </w:r>
                  <w:r>
                    <w:rPr>
                      <w:rFonts w:hint="eastAsia"/>
                      <w:b w:val="0"/>
                      <w:bCs w:val="0"/>
                      <w:szCs w:val="22"/>
                      <w:lang w:eastAsia="zh-CN"/>
                    </w:rPr>
                    <w:t>应当</w:t>
                  </w:r>
                  <w:r>
                    <w:rPr>
                      <w:rFonts w:hint="eastAsia"/>
                      <w:b w:val="0"/>
                      <w:bCs w:val="0"/>
                      <w:szCs w:val="22"/>
                    </w:rPr>
                    <w:t>执行超低排放限值，有色项目应当执行大气污染物特别排放限值。重点控制区新建化工、石化应当执行大气污染物特别排放限值。</w:t>
                  </w:r>
                </w:p>
                <w:p w14:paraId="21C163AA">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4.氟化工、印染、电镀等行业企业实行水污染物特别排放限值。</w:t>
                  </w:r>
                </w:p>
                <w:p w14:paraId="4420F922">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5.新、改、扩建重点行业［2］建设项目要遵循重点重金属污染物排放</w:t>
                  </w:r>
                  <w:r>
                    <w:rPr>
                      <w:rFonts w:hint="eastAsia"/>
                      <w:b w:val="0"/>
                      <w:bCs w:val="0"/>
                      <w:szCs w:val="22"/>
                      <w:lang w:eastAsia="zh-CN"/>
                    </w:rPr>
                    <w:t>“</w:t>
                  </w:r>
                  <w:r>
                    <w:rPr>
                      <w:rFonts w:hint="eastAsia"/>
                      <w:b w:val="0"/>
                      <w:bCs w:val="0"/>
                      <w:szCs w:val="22"/>
                    </w:rPr>
                    <w:t>等量替代</w:t>
                  </w:r>
                  <w:r>
                    <w:rPr>
                      <w:rFonts w:hint="eastAsia"/>
                      <w:b w:val="0"/>
                      <w:bCs w:val="0"/>
                      <w:szCs w:val="22"/>
                      <w:lang w:eastAsia="zh-CN"/>
                    </w:rPr>
                    <w:t>”</w:t>
                  </w:r>
                  <w:r>
                    <w:rPr>
                      <w:rFonts w:hint="eastAsia"/>
                      <w:b w:val="0"/>
                      <w:bCs w:val="0"/>
                      <w:szCs w:val="22"/>
                    </w:rPr>
                    <w:t>原则，总量来源原则上应是同一重点行业内的削减量，当同一重点行业无法满足时可从其他重点行业调剂。</w:t>
                  </w:r>
                </w:p>
                <w:p w14:paraId="3EDBD05C">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6.每小时35（含）—65蒸吨燃煤锅炉和位于县级及以上城市建成区内保留的燃煤、燃油、燃生物质锅炉，原则上2024年底前必须全面实现超低排放。</w:t>
                  </w:r>
                </w:p>
                <w:p w14:paraId="07AD2BFA">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7.水泥行业新改扩建项目严格对照超低排放、能效标杆水平建设实施；现有项目超低排放改造应按文件（闽环规〔2023〕2号）的时限要求分步推进，2025年底前全面完成［3］［4］。</w:t>
                  </w:r>
                </w:p>
                <w:p w14:paraId="4EE4E135">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8.化工园区新建项目实施</w:t>
                  </w:r>
                  <w:r>
                    <w:rPr>
                      <w:rFonts w:hint="eastAsia"/>
                      <w:b w:val="0"/>
                      <w:bCs w:val="0"/>
                      <w:szCs w:val="22"/>
                      <w:lang w:eastAsia="zh-CN"/>
                    </w:rPr>
                    <w:t>“</w:t>
                  </w:r>
                  <w:r>
                    <w:rPr>
                      <w:rFonts w:hint="eastAsia"/>
                      <w:b w:val="0"/>
                      <w:bCs w:val="0"/>
                      <w:szCs w:val="22"/>
                    </w:rPr>
                    <w:t>禁限控</w:t>
                  </w:r>
                  <w:r>
                    <w:rPr>
                      <w:rFonts w:hint="eastAsia"/>
                      <w:b w:val="0"/>
                      <w:bCs w:val="0"/>
                      <w:szCs w:val="22"/>
                      <w:lang w:eastAsia="zh-CN"/>
                    </w:rPr>
                    <w:t>”</w:t>
                  </w:r>
                  <w:r>
                    <w:rPr>
                      <w:rFonts w:hint="eastAsia"/>
                      <w:b w:val="0"/>
                      <w:bCs w:val="0"/>
                      <w:szCs w:val="22"/>
                    </w:rPr>
                    <w:t>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3345" w:type="dxa"/>
                  <w:tcBorders>
                    <w:tl2br w:val="nil"/>
                    <w:tr2bl w:val="nil"/>
                  </w:tcBorders>
                  <w:shd w:val="clear" w:color="auto" w:fill="auto"/>
                  <w:vAlign w:val="center"/>
                </w:tcPr>
                <w:p w14:paraId="23868A4E">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highlight w:val="none"/>
                    </w:rPr>
                    <w:t>1.本项目</w:t>
                  </w:r>
                  <w:r>
                    <w:rPr>
                      <w:rFonts w:hint="eastAsia"/>
                      <w:b w:val="0"/>
                      <w:bCs w:val="0"/>
                      <w:szCs w:val="22"/>
                      <w:highlight w:val="none"/>
                      <w:lang w:val="en-US" w:eastAsia="zh-CN"/>
                    </w:rPr>
                    <w:t>无生产废水产生，</w:t>
                  </w:r>
                  <w:r>
                    <w:rPr>
                      <w:rFonts w:hint="eastAsia"/>
                      <w:szCs w:val="22"/>
                      <w:highlight w:val="none"/>
                      <w:lang w:val="en-US" w:eastAsia="zh-CN"/>
                    </w:rPr>
                    <w:t>水帘喷漆用水循环使用不外排</w:t>
                  </w:r>
                  <w:r>
                    <w:rPr>
                      <w:rFonts w:hint="default"/>
                      <w:szCs w:val="22"/>
                      <w:highlight w:val="none"/>
                      <w:lang w:eastAsia="zh-CN"/>
                    </w:rPr>
                    <w:t>，</w:t>
                  </w:r>
                  <w:r>
                    <w:rPr>
                      <w:rFonts w:hint="eastAsia"/>
                      <w:szCs w:val="22"/>
                      <w:highlight w:val="none"/>
                      <w:lang w:eastAsia="zh-CN"/>
                    </w:rPr>
                    <w:t>定期捞漆渣</w:t>
                  </w:r>
                  <w:r>
                    <w:rPr>
                      <w:rFonts w:hint="eastAsia"/>
                      <w:b w:val="0"/>
                      <w:bCs w:val="0"/>
                      <w:szCs w:val="22"/>
                      <w:highlight w:val="none"/>
                    </w:rPr>
                    <w:t>，</w:t>
                  </w:r>
                  <w:r>
                    <w:rPr>
                      <w:rFonts w:hint="eastAsia"/>
                      <w:b w:val="0"/>
                      <w:bCs w:val="0"/>
                      <w:szCs w:val="22"/>
                      <w:highlight w:val="none"/>
                      <w:lang w:val="en-US" w:eastAsia="zh-CN"/>
                    </w:rPr>
                    <w:t>更换水帘柜废液，漆渣及水帘柜废液作为危废处置，</w:t>
                  </w:r>
                  <w:r>
                    <w:rPr>
                      <w:rFonts w:hint="eastAsia"/>
                      <w:b w:val="0"/>
                      <w:bCs w:val="0"/>
                      <w:szCs w:val="22"/>
                      <w:highlight w:val="none"/>
                    </w:rPr>
                    <w:t>不涉及新增主要污染物2.本项目使用低</w:t>
                  </w:r>
                  <w:r>
                    <w:rPr>
                      <w:rFonts w:hint="eastAsia"/>
                      <w:b w:val="0"/>
                      <w:bCs w:val="0"/>
                      <w:szCs w:val="22"/>
                      <w:highlight w:val="none"/>
                      <w:lang w:eastAsia="zh-CN"/>
                    </w:rPr>
                    <w:t>VOCs</w:t>
                  </w:r>
                  <w:r>
                    <w:rPr>
                      <w:rFonts w:hint="eastAsia"/>
                      <w:b w:val="0"/>
                      <w:bCs w:val="0"/>
                      <w:szCs w:val="22"/>
                      <w:highlight w:val="none"/>
                    </w:rPr>
                    <w:t>含量原辅材料；3-4.本项目不涉及钢铁、水泥、平板玻璃、有色金属冶炼、化工、氟化工、印染、电镀等行业；5.本项目不涉及重金属污染物排放；6-8.本项目不涉及锅炉</w:t>
                  </w:r>
                  <w:r>
                    <w:rPr>
                      <w:rFonts w:hint="eastAsia"/>
                      <w:b w:val="0"/>
                      <w:bCs w:val="0"/>
                      <w:szCs w:val="22"/>
                    </w:rPr>
                    <w:t>使用，不涉及水泥及化工行业</w:t>
                  </w:r>
                  <w:r>
                    <w:rPr>
                      <w:rFonts w:hint="eastAsia"/>
                      <w:b w:val="0"/>
                      <w:bCs w:val="0"/>
                      <w:szCs w:val="22"/>
                      <w:lang w:eastAsia="zh-CN"/>
                    </w:rPr>
                    <w:t>且</w:t>
                  </w:r>
                  <w:r>
                    <w:rPr>
                      <w:rFonts w:hint="eastAsia"/>
                      <w:b w:val="0"/>
                      <w:bCs w:val="0"/>
                      <w:szCs w:val="22"/>
                    </w:rPr>
                    <w:t>项目所在地不属于化工园区。</w:t>
                  </w:r>
                </w:p>
              </w:tc>
            </w:tr>
            <w:tr w14:paraId="21DE34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Merge w:val="continue"/>
                  <w:tcBorders>
                    <w:tl2br w:val="nil"/>
                    <w:tr2bl w:val="nil"/>
                  </w:tcBorders>
                  <w:vAlign w:val="center"/>
                </w:tcPr>
                <w:p w14:paraId="3B01FDF2">
                  <w:pPr>
                    <w:pStyle w:val="38"/>
                    <w:keepNext w:val="0"/>
                    <w:keepLines w:val="0"/>
                    <w:widowControl/>
                    <w:suppressLineNumbers w:val="0"/>
                    <w:bidi w:val="0"/>
                    <w:spacing w:before="0" w:beforeAutospacing="0" w:after="0" w:afterAutospacing="0"/>
                    <w:ind w:left="0" w:right="0"/>
                    <w:rPr>
                      <w:rFonts w:hint="eastAsia"/>
                      <w:b w:val="0"/>
                      <w:bCs w:val="0"/>
                      <w:szCs w:val="22"/>
                    </w:rPr>
                  </w:pPr>
                </w:p>
              </w:tc>
              <w:tc>
                <w:tcPr>
                  <w:tcW w:w="495" w:type="dxa"/>
                  <w:tcBorders>
                    <w:tl2br w:val="nil"/>
                    <w:tr2bl w:val="nil"/>
                  </w:tcBorders>
                  <w:vAlign w:val="center"/>
                </w:tcPr>
                <w:p w14:paraId="2D1734B2">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资源开发效率要求</w:t>
                  </w:r>
                </w:p>
              </w:tc>
              <w:tc>
                <w:tcPr>
                  <w:tcW w:w="2500" w:type="dxa"/>
                  <w:tcBorders>
                    <w:tl2br w:val="nil"/>
                    <w:tr2bl w:val="nil"/>
                  </w:tcBorders>
                  <w:vAlign w:val="center"/>
                </w:tcPr>
                <w:p w14:paraId="6D0A8C7B">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14:paraId="4ABA68D6">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2.按照</w:t>
                  </w:r>
                  <w:r>
                    <w:rPr>
                      <w:rFonts w:hint="eastAsia"/>
                      <w:b w:val="0"/>
                      <w:bCs w:val="0"/>
                      <w:szCs w:val="22"/>
                      <w:lang w:eastAsia="zh-CN"/>
                    </w:rPr>
                    <w:t>“</w:t>
                  </w:r>
                  <w:r>
                    <w:rPr>
                      <w:rFonts w:hint="eastAsia"/>
                      <w:b w:val="0"/>
                      <w:bCs w:val="0"/>
                      <w:szCs w:val="22"/>
                    </w:rPr>
                    <w:t>提气、转电、控煤</w:t>
                  </w:r>
                  <w:r>
                    <w:rPr>
                      <w:rFonts w:hint="eastAsia"/>
                      <w:b w:val="0"/>
                      <w:bCs w:val="0"/>
                      <w:szCs w:val="22"/>
                      <w:lang w:eastAsia="zh-CN"/>
                    </w:rPr>
                    <w:t>”</w:t>
                  </w:r>
                  <w:r>
                    <w:rPr>
                      <w:rFonts w:hint="eastAsia"/>
                      <w:b w:val="0"/>
                      <w:bCs w:val="0"/>
                      <w:szCs w:val="22"/>
                    </w:rPr>
                    <w:t>的发展思路，推动陶瓷行业进一步优化用能结构，实现能源消费清洁低碳化。</w:t>
                  </w:r>
                </w:p>
              </w:tc>
              <w:tc>
                <w:tcPr>
                  <w:tcW w:w="3345" w:type="dxa"/>
                  <w:tcBorders>
                    <w:tl2br w:val="nil"/>
                    <w:tr2bl w:val="nil"/>
                  </w:tcBorders>
                  <w:vAlign w:val="center"/>
                </w:tcPr>
                <w:p w14:paraId="0DA0E15D">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本项目不涉及锅炉使用，不属于陶瓷行业。</w:t>
                  </w:r>
                </w:p>
              </w:tc>
            </w:tr>
            <w:tr w14:paraId="1F3946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tcBorders>
                    <w:tl2br w:val="nil"/>
                    <w:tr2bl w:val="nil"/>
                  </w:tcBorders>
                  <w:textDirection w:val="tbRlV"/>
                  <w:vAlign w:val="top"/>
                </w:tcPr>
                <w:p w14:paraId="4EF21A57">
                  <w:pPr>
                    <w:pStyle w:val="38"/>
                    <w:keepNext w:val="0"/>
                    <w:keepLines w:val="0"/>
                    <w:widowControl/>
                    <w:suppressLineNumbers w:val="0"/>
                    <w:bidi w:val="0"/>
                    <w:spacing w:before="0" w:beforeAutospacing="0" w:after="0" w:afterAutospacing="0"/>
                    <w:ind w:left="0" w:right="0"/>
                    <w:rPr>
                      <w:rFonts w:hint="eastAsia"/>
                      <w:b w:val="0"/>
                      <w:bCs w:val="0"/>
                      <w:szCs w:val="22"/>
                      <w:lang w:val="en-US" w:eastAsia="zh-CN"/>
                    </w:rPr>
                  </w:pPr>
                  <w:r>
                    <w:rPr>
                      <w:rFonts w:hint="eastAsia"/>
                      <w:b w:val="0"/>
                      <w:bCs w:val="0"/>
                      <w:szCs w:val="22"/>
                      <w:lang w:val="en-US" w:eastAsia="zh-CN"/>
                    </w:rPr>
                    <w:t>海岸线</w:t>
                  </w:r>
                </w:p>
              </w:tc>
              <w:tc>
                <w:tcPr>
                  <w:tcW w:w="495" w:type="dxa"/>
                  <w:tcBorders>
                    <w:tl2br w:val="nil"/>
                    <w:tr2bl w:val="nil"/>
                  </w:tcBorders>
                  <w:vAlign w:val="top"/>
                </w:tcPr>
                <w:p w14:paraId="09EBF6AE">
                  <w:pPr>
                    <w:pStyle w:val="38"/>
                    <w:keepNext w:val="0"/>
                    <w:keepLines w:val="0"/>
                    <w:widowControl/>
                    <w:suppressLineNumbers w:val="0"/>
                    <w:bidi w:val="0"/>
                    <w:spacing w:before="0" w:beforeAutospacing="0" w:after="0" w:afterAutospacing="0"/>
                    <w:ind w:left="0" w:right="0"/>
                    <w:rPr>
                      <w:rFonts w:hint="eastAsia"/>
                      <w:b w:val="0"/>
                      <w:bCs w:val="0"/>
                      <w:szCs w:val="22"/>
                      <w:lang w:val="en-US" w:eastAsia="zh-CN"/>
                    </w:rPr>
                  </w:pPr>
                  <w:r>
                    <w:rPr>
                      <w:rFonts w:hint="eastAsia"/>
                      <w:b w:val="0"/>
                      <w:bCs w:val="0"/>
                      <w:szCs w:val="22"/>
                      <w:lang w:val="en-US" w:eastAsia="zh-CN"/>
                    </w:rPr>
                    <w:t>空间布局约束</w:t>
                  </w:r>
                </w:p>
              </w:tc>
              <w:tc>
                <w:tcPr>
                  <w:tcW w:w="2500" w:type="dxa"/>
                  <w:tcBorders>
                    <w:tl2br w:val="nil"/>
                    <w:tr2bl w:val="nil"/>
                  </w:tcBorders>
                  <w:vAlign w:val="top"/>
                </w:tcPr>
                <w:p w14:paraId="311ADF68">
                  <w:pPr>
                    <w:pStyle w:val="38"/>
                    <w:keepNext w:val="0"/>
                    <w:keepLines w:val="0"/>
                    <w:widowControl/>
                    <w:suppressLineNumbers w:val="0"/>
                    <w:bidi w:val="0"/>
                    <w:spacing w:before="0" w:beforeAutospacing="0" w:after="0" w:afterAutospacing="0"/>
                    <w:ind w:left="0" w:right="0"/>
                    <w:rPr>
                      <w:rFonts w:hint="eastAsia"/>
                      <w:b w:val="0"/>
                      <w:bCs w:val="0"/>
                      <w:szCs w:val="22"/>
                      <w:lang w:val="en-US" w:eastAsia="zh-CN"/>
                    </w:rPr>
                  </w:pPr>
                  <w:r>
                    <w:rPr>
                      <w:rFonts w:hint="eastAsia"/>
                      <w:b w:val="0"/>
                      <w:bCs w:val="0"/>
                      <w:szCs w:val="22"/>
                      <w:lang w:val="en-US" w:eastAsia="zh-CN"/>
                    </w:rPr>
                    <w:t>1.严格限制建设项目占用自然岸线，项目选址和平面设计应当避让自然岸线。国家重大项目需要新增围填海等改变海域自然属性，以及线性工程等基础设施，渔港、陆岛交通码头、防灾减灾等民生工程，海洋生态修复等公益项目，需要建设非透水构筑物且无法避让的，可以占用自然岸线。确需占用自然岸线的建设项目，要落实集约节约利用等要求，严格进行论证，按照规定允许建设项目占用自然岸线的，应当通过整治修复等措施补充生态恢复岸线，补充长度不少于占用长度。</w:t>
                  </w:r>
                </w:p>
                <w:p w14:paraId="7FD07E49">
                  <w:pPr>
                    <w:pStyle w:val="38"/>
                    <w:keepNext w:val="0"/>
                    <w:keepLines w:val="0"/>
                    <w:widowControl/>
                    <w:suppressLineNumbers w:val="0"/>
                    <w:bidi w:val="0"/>
                    <w:spacing w:before="0" w:beforeAutospacing="0" w:after="0" w:afterAutospacing="0"/>
                    <w:ind w:left="0" w:right="0"/>
                    <w:rPr>
                      <w:rFonts w:hint="eastAsia"/>
                      <w:b w:val="0"/>
                      <w:bCs w:val="0"/>
                      <w:szCs w:val="22"/>
                      <w:lang w:val="en-US" w:eastAsia="zh-CN"/>
                    </w:rPr>
                  </w:pPr>
                  <w:r>
                    <w:rPr>
                      <w:rFonts w:hint="eastAsia"/>
                      <w:b w:val="0"/>
                      <w:bCs w:val="0"/>
                      <w:szCs w:val="22"/>
                      <w:lang w:val="en-US" w:eastAsia="zh-CN"/>
                    </w:rPr>
                    <w:t>2.适时搬迁或取消松门、长安、小长门等闽江口内港作业区的油品、液体化工品码头功能，适度控制新建企业专用码头，推行码头共用。</w:t>
                  </w:r>
                </w:p>
                <w:p w14:paraId="38C6722F">
                  <w:pPr>
                    <w:pStyle w:val="38"/>
                    <w:keepNext w:val="0"/>
                    <w:keepLines w:val="0"/>
                    <w:widowControl/>
                    <w:suppressLineNumbers w:val="0"/>
                    <w:bidi w:val="0"/>
                    <w:spacing w:before="0" w:beforeAutospacing="0" w:after="0" w:afterAutospacing="0"/>
                    <w:ind w:left="0" w:right="0"/>
                    <w:rPr>
                      <w:rFonts w:hint="eastAsia"/>
                      <w:b w:val="0"/>
                      <w:bCs w:val="0"/>
                      <w:szCs w:val="22"/>
                      <w:lang w:val="en-US" w:eastAsia="zh-CN"/>
                    </w:rPr>
                  </w:pPr>
                  <w:r>
                    <w:rPr>
                      <w:rFonts w:hint="eastAsia"/>
                      <w:b w:val="0"/>
                      <w:bCs w:val="0"/>
                      <w:szCs w:val="22"/>
                      <w:lang w:val="en-US" w:eastAsia="zh-CN"/>
                    </w:rPr>
                    <w:t>3.实施港口建设分类引导和约束，严控港口重复建设。闽江口内港区重点准入对台“三通”客运项目，兼顾能源、集装箱等货运项目；福州（连江）国家远洋渔业基地核心区远洋渔业母港重点准入远洋渔业装卸码头、渔港、锚地、航道建设项目；江阴港区重点准入集装箱运输项目，兼顾散杂货、化工品和商品汽车运输项目；松下港区重点准入粮食、散杂货运输项目；罗源湾港区重点准入煤炭、矿石等散货运输项目。</w:t>
                  </w:r>
                </w:p>
              </w:tc>
              <w:tc>
                <w:tcPr>
                  <w:tcW w:w="3345" w:type="dxa"/>
                  <w:tcBorders>
                    <w:tl2br w:val="nil"/>
                    <w:tr2bl w:val="nil"/>
                  </w:tcBorders>
                  <w:vAlign w:val="top"/>
                </w:tcPr>
                <w:p w14:paraId="50F32A49">
                  <w:pPr>
                    <w:pStyle w:val="38"/>
                    <w:keepNext w:val="0"/>
                    <w:keepLines w:val="0"/>
                    <w:widowControl/>
                    <w:suppressLineNumbers w:val="0"/>
                    <w:bidi w:val="0"/>
                    <w:spacing w:before="0" w:beforeAutospacing="0" w:after="0" w:afterAutospacing="0"/>
                    <w:ind w:left="0" w:right="0"/>
                    <w:rPr>
                      <w:rFonts w:hint="eastAsia"/>
                      <w:b w:val="0"/>
                      <w:bCs w:val="0"/>
                      <w:szCs w:val="22"/>
                      <w:lang w:eastAsia="zh-CN"/>
                    </w:rPr>
                  </w:pPr>
                  <w:r>
                    <w:rPr>
                      <w:rFonts w:hint="eastAsia"/>
                      <w:b w:val="0"/>
                      <w:bCs w:val="0"/>
                      <w:szCs w:val="22"/>
                    </w:rPr>
                    <w:t>1.本项目选址于</w:t>
                  </w:r>
                  <w:r>
                    <w:rPr>
                      <w:rFonts w:hint="eastAsia"/>
                      <w:b w:val="0"/>
                      <w:bCs w:val="0"/>
                      <w:szCs w:val="22"/>
                      <w:lang w:eastAsia="zh-CN"/>
                    </w:rPr>
                    <w:t>福建省福州市福清融侨经济技术开发区内</w:t>
                  </w:r>
                  <w:r>
                    <w:rPr>
                      <w:rFonts w:hint="eastAsia"/>
                      <w:b w:val="0"/>
                      <w:bCs w:val="0"/>
                      <w:szCs w:val="22"/>
                    </w:rPr>
                    <w:t>，利用已建成厂房，远离自然岸线2-3.本项目</w:t>
                  </w:r>
                  <w:r>
                    <w:rPr>
                      <w:rFonts w:hint="eastAsia"/>
                      <w:b w:val="0"/>
                      <w:bCs w:val="0"/>
                      <w:szCs w:val="22"/>
                      <w:lang w:eastAsia="zh-CN"/>
                    </w:rPr>
                    <w:t>主要从事铝合金、塑胶件及钣金件加工生产</w:t>
                  </w:r>
                  <w:r>
                    <w:rPr>
                      <w:rFonts w:hint="eastAsia"/>
                      <w:b w:val="0"/>
                      <w:bCs w:val="0"/>
                      <w:szCs w:val="22"/>
                    </w:rPr>
                    <w:t>，不属于闽江口内港作业区的油品、液体化工品码头以及港口建设</w:t>
                  </w:r>
                  <w:r>
                    <w:rPr>
                      <w:rFonts w:hint="eastAsia"/>
                      <w:b w:val="0"/>
                      <w:bCs w:val="0"/>
                      <w:szCs w:val="22"/>
                      <w:lang w:eastAsia="zh-CN"/>
                    </w:rPr>
                    <w:t>。</w:t>
                  </w:r>
                </w:p>
              </w:tc>
            </w:tr>
            <w:tr w14:paraId="4213C8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Merge w:val="restart"/>
                  <w:tcBorders>
                    <w:tl2br w:val="nil"/>
                    <w:tr2bl w:val="nil"/>
                  </w:tcBorders>
                  <w:textDirection w:val="tbRlV"/>
                  <w:vAlign w:val="top"/>
                </w:tcPr>
                <w:p w14:paraId="4BAAFFDC">
                  <w:pPr>
                    <w:pStyle w:val="38"/>
                    <w:keepNext w:val="0"/>
                    <w:keepLines w:val="0"/>
                    <w:widowControl/>
                    <w:suppressLineNumbers w:val="0"/>
                    <w:bidi w:val="0"/>
                    <w:spacing w:before="0" w:beforeAutospacing="0" w:after="0" w:afterAutospacing="0"/>
                    <w:ind w:left="0" w:right="0"/>
                    <w:rPr>
                      <w:rFonts w:hint="default"/>
                      <w:b w:val="0"/>
                      <w:bCs w:val="0"/>
                      <w:szCs w:val="22"/>
                      <w:lang w:val="en-US"/>
                    </w:rPr>
                  </w:pPr>
                  <w:r>
                    <w:rPr>
                      <w:rFonts w:hint="eastAsia"/>
                      <w:b w:val="0"/>
                      <w:bCs w:val="0"/>
                      <w:szCs w:val="22"/>
                      <w:lang w:val="en-US" w:eastAsia="zh-CN"/>
                    </w:rPr>
                    <w:t>近岸海域</w:t>
                  </w:r>
                </w:p>
              </w:tc>
              <w:tc>
                <w:tcPr>
                  <w:tcW w:w="495" w:type="dxa"/>
                  <w:tcBorders>
                    <w:tl2br w:val="nil"/>
                    <w:tr2bl w:val="nil"/>
                  </w:tcBorders>
                  <w:vAlign w:val="top"/>
                </w:tcPr>
                <w:p w14:paraId="701B0821">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lang w:val="en-US" w:eastAsia="zh-CN"/>
                    </w:rPr>
                    <w:t>空间布局约束</w:t>
                  </w:r>
                </w:p>
              </w:tc>
              <w:tc>
                <w:tcPr>
                  <w:tcW w:w="2500" w:type="dxa"/>
                  <w:tcBorders>
                    <w:tl2br w:val="nil"/>
                    <w:tr2bl w:val="nil"/>
                  </w:tcBorders>
                  <w:vAlign w:val="top"/>
                </w:tcPr>
                <w:p w14:paraId="7D3B3FE0">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1.严格落实国家围填海管控规定，除国家重大项目外，全面禁止围填海。2.强化生态保护红线区的管控，确保邻近的交通运输用海、工矿通信用海等功能区开发活动不得影响生态保护红线区的功能。强化闽江口、福清湾及兴化湾重要滨海湿地保护，禁止破坏芦苇荡等植被群落，生产设施与水禽筑巢区、觅食及栖息地等集中分布区须保留安全距离；禁止高噪音等惊扰鸟类的作业，禁止大面积使用栖息水鸟害怕的颜色。</w:t>
                  </w:r>
                </w:p>
                <w:p w14:paraId="74B749B8">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3.江阴特殊利用区内设置排污口，需严格论证并执行污水达标排放和设置深水排放口，不得影响临近的兴化湾水鸟省级自然保护区。</w:t>
                  </w:r>
                </w:p>
                <w:p w14:paraId="51D2C3E3">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4.优化调整环罗源湾区域发展定位和产业布局。大官坂组团发展污染相对较低的石化中下游产业和精细化工产品，并适当控制其发展规模，不再扩大聚酰胺一体化及配套项目规模。松山片区禁止引进、建设集中电镀、制浆、医药、农药、酿造等重污染项目。</w:t>
                  </w:r>
                </w:p>
                <w:p w14:paraId="54085DD9">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5.严格落实养殖水域滩涂规划，防止超规划养殖反弹回潮，进一步优化海水养殖空间布局。禁养区内和规划范围外的海水养殖予以退出；罗源湾禁养区禁止开展水产养殖，限养区不得开展网箱养殖。</w:t>
                  </w:r>
                </w:p>
                <w:p w14:paraId="49FEB472">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6.涉及利用无居民海岛的，原则上仅允许按照相关规定对海岛自然岸线、表面积、岛体、植被改变轻微的低影响利用方式。</w:t>
                  </w:r>
                </w:p>
              </w:tc>
              <w:tc>
                <w:tcPr>
                  <w:tcW w:w="3345" w:type="dxa"/>
                  <w:tcBorders>
                    <w:tl2br w:val="nil"/>
                    <w:tr2bl w:val="nil"/>
                  </w:tcBorders>
                  <w:vAlign w:val="top"/>
                </w:tcPr>
                <w:p w14:paraId="091838A5">
                  <w:pPr>
                    <w:pStyle w:val="38"/>
                    <w:keepNext w:val="0"/>
                    <w:keepLines w:val="0"/>
                    <w:widowControl/>
                    <w:suppressLineNumbers w:val="0"/>
                    <w:bidi w:val="0"/>
                    <w:spacing w:before="0" w:beforeAutospacing="0" w:after="0" w:afterAutospacing="0"/>
                    <w:ind w:left="0" w:right="0"/>
                    <w:rPr>
                      <w:rFonts w:hint="eastAsia"/>
                      <w:b w:val="0"/>
                      <w:bCs w:val="0"/>
                      <w:szCs w:val="22"/>
                      <w:lang w:eastAsia="zh-CN"/>
                    </w:rPr>
                  </w:pPr>
                  <w:r>
                    <w:rPr>
                      <w:rFonts w:hint="eastAsia"/>
                      <w:b w:val="0"/>
                      <w:bCs w:val="0"/>
                      <w:szCs w:val="22"/>
                    </w:rPr>
                    <w:t>本项目选址于</w:t>
                  </w:r>
                  <w:r>
                    <w:rPr>
                      <w:rFonts w:hint="eastAsia"/>
                      <w:b w:val="0"/>
                      <w:bCs w:val="0"/>
                      <w:szCs w:val="22"/>
                      <w:lang w:eastAsia="zh-CN"/>
                    </w:rPr>
                    <w:t>福建省福州市福清融侨经济技术开发区内</w:t>
                  </w:r>
                  <w:r>
                    <w:rPr>
                      <w:rFonts w:hint="eastAsia"/>
                      <w:b w:val="0"/>
                      <w:bCs w:val="0"/>
                      <w:szCs w:val="22"/>
                    </w:rPr>
                    <w:t>，利用已建成厂房，本项目</w:t>
                  </w:r>
                  <w:r>
                    <w:rPr>
                      <w:rFonts w:hint="eastAsia"/>
                      <w:b w:val="0"/>
                      <w:bCs w:val="0"/>
                      <w:szCs w:val="22"/>
                      <w:lang w:eastAsia="zh-CN"/>
                    </w:rPr>
                    <w:t>主要从事铝合金、塑胶件及钣金件加工生产</w:t>
                  </w:r>
                  <w:r>
                    <w:rPr>
                      <w:rFonts w:hint="eastAsia"/>
                      <w:b w:val="0"/>
                      <w:bCs w:val="0"/>
                      <w:szCs w:val="22"/>
                    </w:rPr>
                    <w:t>，不涉及围填海、海、工矿通信用海等功能区开发活动，不位于闽江口、福清湾及兴化湾重要滨海湿地、江阴特殊利用区、兴化湾水鸟省级自然保护区、罗源湾区、大官坂组团、松山片区、罗源湾禁养区，不涉及利用无居民海岛</w:t>
                  </w:r>
                  <w:r>
                    <w:rPr>
                      <w:rFonts w:hint="eastAsia"/>
                      <w:b w:val="0"/>
                      <w:bCs w:val="0"/>
                      <w:szCs w:val="22"/>
                      <w:lang w:eastAsia="zh-CN"/>
                    </w:rPr>
                    <w:t>。</w:t>
                  </w:r>
                </w:p>
              </w:tc>
            </w:tr>
            <w:tr w14:paraId="69D02D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Merge w:val="continue"/>
                  <w:tcBorders>
                    <w:tl2br w:val="nil"/>
                    <w:tr2bl w:val="nil"/>
                  </w:tcBorders>
                  <w:textDirection w:val="tbRlV"/>
                  <w:vAlign w:val="top"/>
                </w:tcPr>
                <w:p w14:paraId="59F06CC1">
                  <w:pPr>
                    <w:pStyle w:val="38"/>
                    <w:keepNext w:val="0"/>
                    <w:keepLines w:val="0"/>
                    <w:widowControl/>
                    <w:suppressLineNumbers w:val="0"/>
                    <w:bidi w:val="0"/>
                    <w:spacing w:before="0" w:beforeAutospacing="0" w:after="0" w:afterAutospacing="0"/>
                    <w:ind w:left="0" w:right="0"/>
                    <w:rPr>
                      <w:rFonts w:hint="eastAsia"/>
                      <w:b w:val="0"/>
                      <w:bCs w:val="0"/>
                      <w:szCs w:val="22"/>
                    </w:rPr>
                  </w:pPr>
                </w:p>
              </w:tc>
              <w:tc>
                <w:tcPr>
                  <w:tcW w:w="495" w:type="dxa"/>
                  <w:tcBorders>
                    <w:tl2br w:val="nil"/>
                    <w:tr2bl w:val="nil"/>
                  </w:tcBorders>
                  <w:vAlign w:val="top"/>
                </w:tcPr>
                <w:p w14:paraId="58F19143">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污染</w:t>
                  </w:r>
                </w:p>
                <w:p w14:paraId="4592E4E5">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物排</w:t>
                  </w:r>
                </w:p>
                <w:p w14:paraId="2FA21D53">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放管 控</w:t>
                  </w:r>
                </w:p>
              </w:tc>
              <w:tc>
                <w:tcPr>
                  <w:tcW w:w="2500" w:type="dxa"/>
                  <w:tcBorders>
                    <w:tl2br w:val="nil"/>
                    <w:tr2bl w:val="nil"/>
                  </w:tcBorders>
                  <w:vAlign w:val="top"/>
                </w:tcPr>
                <w:p w14:paraId="327A670B">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1.罗源湾实行主要污染物入海总量控制。合理设置湾内排污口，化工废水应全部引至湾外排放，可门经济区污水排放落实湾外深海排放。全面推进罗源湾入海排污口排查溯源、分类整治和起步溪等入海溪流综合整治。提升罗源湾港区污染物接收处理能力。</w:t>
                  </w:r>
                </w:p>
                <w:p w14:paraId="7FC0F988">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2.实行闽江口主要污染物入海总量控制，控制闽江入海断面水质，削减氮磷入海总量。巩固深化闽江口综合整治成效，持续开展闽江口周边入海溪流水质提升行动，全面推进闽江口入海排污口排查溯源和分类整治。优化闽江口以北连江东部海域养殖结构和布局，控制养殖密度和规模。</w:t>
                  </w:r>
                </w:p>
                <w:p w14:paraId="6080AC54">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3.全面开展福清湾入海排污口排查溯源和分类整治，加强福清湾及龙江沿岸农村生活污水、生活垃圾的收集处理处置。严格控制湾内投饵型网箱养殖规模和密度，实行生态养殖，强化养殖污染防治和养殖尾水治理监管。</w:t>
                  </w:r>
                </w:p>
                <w:p w14:paraId="24F93C37">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4.兴化湾实行主要污染物入海总量控制，全面开展兴化湾福州段入海排污口排查溯源和分类整治，加快推动沿岸乡镇配套污水管网建设及江阴工业区污水处理厂提标改造，湾内严格控制投饵型网箱养殖规模和密度，实行生态养殖，强化养殖污染防治和养殖尾水治理监管。</w:t>
                  </w:r>
                </w:p>
                <w:p w14:paraId="330DEC81">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5.近岸海域汇水区域内城镇污水处理设施执行不低于一级A排放标准，推进沿海农村生活污水收集处理。</w:t>
                  </w:r>
                </w:p>
                <w:p w14:paraId="5B63109A">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6.出台福州市养殖尾水排放标准，强化养殖尾水治理和排放监测监管。控制养殖规模和密度，发展生态养殖，推进传统养殖设施的升级改造，推广环保型全塑胶鱼排和深水抗风浪网箱。实施海水养殖排污口排查整治，推进分类治理及规范化设置，实施规模化养殖池塘标准化改造。</w:t>
                  </w:r>
                </w:p>
                <w:p w14:paraId="24E19BF8">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7.强化陆海污染联防联控，推动</w:t>
                  </w:r>
                  <w:r>
                    <w:rPr>
                      <w:rFonts w:hint="eastAsia"/>
                      <w:b w:val="0"/>
                      <w:bCs w:val="0"/>
                      <w:szCs w:val="22"/>
                      <w:lang w:eastAsia="zh-CN"/>
                    </w:rPr>
                    <w:t>“</w:t>
                  </w:r>
                  <w:r>
                    <w:rPr>
                      <w:rFonts w:hint="eastAsia"/>
                      <w:b w:val="0"/>
                      <w:bCs w:val="0"/>
                      <w:szCs w:val="22"/>
                    </w:rPr>
                    <w:t>蓝色海湾</w:t>
                  </w:r>
                  <w:r>
                    <w:rPr>
                      <w:rFonts w:hint="eastAsia"/>
                      <w:b w:val="0"/>
                      <w:bCs w:val="0"/>
                      <w:szCs w:val="22"/>
                      <w:lang w:eastAsia="zh-CN"/>
                    </w:rPr>
                    <w:t>”</w:t>
                  </w:r>
                  <w:r>
                    <w:rPr>
                      <w:rFonts w:hint="eastAsia"/>
                      <w:b w:val="0"/>
                      <w:bCs w:val="0"/>
                      <w:szCs w:val="22"/>
                    </w:rPr>
                    <w:t>整治项目、海岸带生态保护修复工程等重大工程建设，推进沿海岸线自然化和生态保护修复。</w:t>
                  </w:r>
                </w:p>
                <w:p w14:paraId="3262BCCC">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8.闽江口内港区现有油品和危险品（液化石油气）码头搬迁前应切实保障现有油污水处理设施的有效性，搬迁后由江阴港区、罗源湾港区在对应码头设立油污水接收处理系统。其他港区的生产性油污水由码头自建油污水处理设施处理达标后排入依托城市污水处理厂，杜绝港区油污水散排。</w:t>
                  </w:r>
                </w:p>
                <w:p w14:paraId="6D1AC41D">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9.提升海上环卫队伍专业化水平，强化海陆环卫无缝衔接，完善海漂垃圾收集处置设施建设实现海滩海面常态化清理保洁，强化渔业垃圾等管控，强化重点旅游岸段及罗源湾、兴化湾等重点岸段的监视监控，定期开展专项整治行动。</w:t>
                  </w:r>
                </w:p>
                <w:p w14:paraId="2CC6B308">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10.巩固深化罗源湾、闽江口、福清湾、兴化湾等重点海湾综合治理，持续改善近岸海域环境质量。</w:t>
                  </w:r>
                </w:p>
                <w:p w14:paraId="06671CFA">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11.加强陆海统筹和区域协同，深化闽江、敖江、龙江主要入海河流及占泽溪等入海小流域综合治理；因地制宜加强总氮排放控制，实施入海河流总氮削减工程。</w:t>
                  </w:r>
                </w:p>
                <w:p w14:paraId="28BC2CFF">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12.推进省级及以上工业园区完成污水零直排建设，建设福清江阴港城经济区等一批</w:t>
                  </w:r>
                  <w:r>
                    <w:rPr>
                      <w:rFonts w:hint="eastAsia"/>
                      <w:b w:val="0"/>
                      <w:bCs w:val="0"/>
                      <w:szCs w:val="22"/>
                      <w:lang w:eastAsia="zh-CN"/>
                    </w:rPr>
                    <w:t>“</w:t>
                  </w:r>
                  <w:r>
                    <w:rPr>
                      <w:rFonts w:hint="eastAsia"/>
                      <w:b w:val="0"/>
                      <w:bCs w:val="0"/>
                      <w:szCs w:val="22"/>
                    </w:rPr>
                    <w:t>污水零直排</w:t>
                  </w:r>
                  <w:r>
                    <w:rPr>
                      <w:rFonts w:hint="eastAsia"/>
                      <w:b w:val="0"/>
                      <w:bCs w:val="0"/>
                      <w:szCs w:val="22"/>
                      <w:lang w:eastAsia="zh-CN"/>
                    </w:rPr>
                    <w:t>”</w:t>
                  </w:r>
                  <w:r>
                    <w:rPr>
                      <w:rFonts w:hint="eastAsia"/>
                      <w:b w:val="0"/>
                      <w:bCs w:val="0"/>
                      <w:szCs w:val="22"/>
                    </w:rPr>
                    <w:t>示范园区。</w:t>
                  </w:r>
                </w:p>
                <w:p w14:paraId="672CFFF4">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13.持续推进福州市美丽海湾保护与建设，到2025年，鉴江半岛-黄岐半岛东部海域湾区、长乐东部海域湾区建成国家级美丽海湾。</w:t>
                  </w:r>
                </w:p>
              </w:tc>
              <w:tc>
                <w:tcPr>
                  <w:tcW w:w="3345" w:type="dxa"/>
                  <w:tcBorders>
                    <w:tl2br w:val="nil"/>
                    <w:tr2bl w:val="nil"/>
                  </w:tcBorders>
                  <w:vAlign w:val="top"/>
                </w:tcPr>
                <w:p w14:paraId="5468F579">
                  <w:pPr>
                    <w:pStyle w:val="38"/>
                    <w:keepNext w:val="0"/>
                    <w:keepLines w:val="0"/>
                    <w:widowControl/>
                    <w:suppressLineNumbers w:val="0"/>
                    <w:bidi w:val="0"/>
                    <w:spacing w:before="0" w:beforeAutospacing="0" w:after="0" w:afterAutospacing="0"/>
                    <w:ind w:left="0" w:right="0"/>
                    <w:rPr>
                      <w:rFonts w:hint="eastAsia"/>
                      <w:b w:val="0"/>
                      <w:bCs w:val="0"/>
                      <w:szCs w:val="22"/>
                      <w:highlight w:val="none"/>
                    </w:rPr>
                  </w:pPr>
                  <w:r>
                    <w:rPr>
                      <w:rFonts w:hint="eastAsia"/>
                      <w:b w:val="0"/>
                      <w:bCs w:val="0"/>
                      <w:szCs w:val="22"/>
                    </w:rPr>
                    <w:t>本项目选址于</w:t>
                  </w:r>
                  <w:r>
                    <w:rPr>
                      <w:rFonts w:hint="eastAsia"/>
                      <w:b w:val="0"/>
                      <w:bCs w:val="0"/>
                      <w:szCs w:val="22"/>
                      <w:lang w:eastAsia="zh-CN"/>
                    </w:rPr>
                    <w:t>福建省福州市福清融侨经济技术开发区内</w:t>
                  </w:r>
                  <w:r>
                    <w:rPr>
                      <w:rFonts w:hint="eastAsia"/>
                      <w:b w:val="0"/>
                      <w:bCs w:val="0"/>
                      <w:szCs w:val="22"/>
                    </w:rPr>
                    <w:t>，利用已建成厂房，本项目</w:t>
                  </w:r>
                  <w:r>
                    <w:rPr>
                      <w:rFonts w:hint="eastAsia"/>
                      <w:b w:val="0"/>
                      <w:bCs w:val="0"/>
                      <w:szCs w:val="22"/>
                      <w:lang w:eastAsia="zh-CN"/>
                    </w:rPr>
                    <w:t>主要从事铝合金、塑胶件及钣金件加工生产</w:t>
                  </w:r>
                  <w:r>
                    <w:rPr>
                      <w:rFonts w:hint="eastAsia"/>
                      <w:b w:val="0"/>
                      <w:bCs w:val="0"/>
                      <w:szCs w:val="22"/>
                    </w:rPr>
                    <w:t>，不涉及围填海、海、工矿通信用海等功能区开发活动，不位于罗源湾、可门经济区、</w:t>
                  </w:r>
                  <w:r>
                    <w:rPr>
                      <w:rFonts w:hint="eastAsia"/>
                      <w:b w:val="0"/>
                      <w:bCs w:val="0"/>
                      <w:szCs w:val="22"/>
                      <w:highlight w:val="none"/>
                    </w:rPr>
                    <w:t>福清湾、兴化湾、江阴工业区、不靠近海湾，不涉及养殖业</w:t>
                  </w:r>
                </w:p>
                <w:p w14:paraId="59C19535">
                  <w:pPr>
                    <w:pStyle w:val="38"/>
                    <w:keepNext w:val="0"/>
                    <w:keepLines w:val="0"/>
                    <w:widowControl/>
                    <w:suppressLineNumbers w:val="0"/>
                    <w:bidi w:val="0"/>
                    <w:spacing w:before="0" w:beforeAutospacing="0" w:after="0" w:afterAutospacing="0"/>
                    <w:ind w:left="0" w:right="0"/>
                    <w:rPr>
                      <w:rFonts w:hint="eastAsia"/>
                      <w:b w:val="0"/>
                      <w:bCs w:val="0"/>
                      <w:szCs w:val="22"/>
                      <w:lang w:eastAsia="zh-CN"/>
                    </w:rPr>
                  </w:pPr>
                  <w:r>
                    <w:rPr>
                      <w:rFonts w:hint="eastAsia"/>
                      <w:b w:val="0"/>
                      <w:bCs w:val="0"/>
                      <w:szCs w:val="22"/>
                      <w:highlight w:val="none"/>
                    </w:rPr>
                    <w:t>本项目</w:t>
                  </w:r>
                  <w:r>
                    <w:rPr>
                      <w:rFonts w:hint="eastAsia"/>
                      <w:b w:val="0"/>
                      <w:bCs w:val="0"/>
                      <w:szCs w:val="22"/>
                      <w:highlight w:val="none"/>
                      <w:lang w:val="en-US" w:eastAsia="zh-CN"/>
                    </w:rPr>
                    <w:t>生产废水</w:t>
                  </w:r>
                  <w:r>
                    <w:rPr>
                      <w:rFonts w:hint="eastAsia"/>
                      <w:szCs w:val="22"/>
                      <w:highlight w:val="none"/>
                      <w:lang w:val="en-US" w:eastAsia="zh-CN"/>
                    </w:rPr>
                    <w:t>水帘喷漆用水循环使用不外排</w:t>
                  </w:r>
                  <w:r>
                    <w:rPr>
                      <w:rFonts w:hint="default"/>
                      <w:szCs w:val="22"/>
                      <w:highlight w:val="none"/>
                      <w:lang w:eastAsia="zh-CN"/>
                    </w:rPr>
                    <w:t>，</w:t>
                  </w:r>
                  <w:r>
                    <w:rPr>
                      <w:rFonts w:hint="eastAsia"/>
                      <w:szCs w:val="22"/>
                      <w:highlight w:val="none"/>
                      <w:lang w:eastAsia="zh-CN"/>
                    </w:rPr>
                    <w:t>定期捞漆渣</w:t>
                  </w:r>
                  <w:r>
                    <w:rPr>
                      <w:rFonts w:hint="eastAsia"/>
                      <w:b w:val="0"/>
                      <w:bCs w:val="0"/>
                      <w:szCs w:val="22"/>
                      <w:highlight w:val="none"/>
                    </w:rPr>
                    <w:t>，</w:t>
                  </w:r>
                  <w:r>
                    <w:rPr>
                      <w:rFonts w:hint="eastAsia"/>
                      <w:b w:val="0"/>
                      <w:bCs w:val="0"/>
                      <w:szCs w:val="22"/>
                      <w:highlight w:val="none"/>
                      <w:lang w:val="en-US" w:eastAsia="zh-CN"/>
                    </w:rPr>
                    <w:t>更换水帘柜废液，漆渣及水帘柜废液作为危废处置</w:t>
                  </w:r>
                  <w:r>
                    <w:rPr>
                      <w:rFonts w:hint="eastAsia"/>
                      <w:b w:val="0"/>
                      <w:bCs w:val="0"/>
                      <w:szCs w:val="22"/>
                      <w:highlight w:val="none"/>
                    </w:rPr>
                    <w:t>，生活污水</w:t>
                  </w:r>
                  <w:r>
                    <w:rPr>
                      <w:rFonts w:hint="eastAsia"/>
                      <w:b w:val="0"/>
                      <w:bCs w:val="0"/>
                      <w:szCs w:val="22"/>
                      <w:highlight w:val="none"/>
                      <w:lang w:val="en-US" w:eastAsia="zh-CN"/>
                    </w:rPr>
                    <w:t>经</w:t>
                  </w:r>
                  <w:r>
                    <w:rPr>
                      <w:rFonts w:hint="eastAsia"/>
                      <w:b w:val="0"/>
                      <w:bCs w:val="0"/>
                      <w:szCs w:val="22"/>
                      <w:highlight w:val="none"/>
                    </w:rPr>
                    <w:t>化粪池预处理后，接入市政</w:t>
                  </w:r>
                  <w:r>
                    <w:rPr>
                      <w:rFonts w:hint="eastAsia"/>
                      <w:b w:val="0"/>
                      <w:bCs w:val="0"/>
                      <w:szCs w:val="22"/>
                      <w:highlight w:val="none"/>
                      <w:lang w:val="en-US" w:eastAsia="zh-CN"/>
                    </w:rPr>
                    <w:t>污水</w:t>
                  </w:r>
                  <w:r>
                    <w:rPr>
                      <w:rFonts w:hint="eastAsia"/>
                      <w:b w:val="0"/>
                      <w:bCs w:val="0"/>
                      <w:szCs w:val="22"/>
                      <w:highlight w:val="none"/>
                    </w:rPr>
                    <w:t>管网，纳入</w:t>
                  </w:r>
                  <w:r>
                    <w:rPr>
                      <w:rFonts w:hint="eastAsia"/>
                      <w:b w:val="0"/>
                      <w:bCs w:val="0"/>
                      <w:szCs w:val="22"/>
                      <w:highlight w:val="none"/>
                      <w:lang w:val="en-US" w:eastAsia="zh-CN"/>
                    </w:rPr>
                    <w:t>福州福清市融元污水处理厂</w:t>
                  </w:r>
                  <w:r>
                    <w:rPr>
                      <w:rFonts w:hint="eastAsia"/>
                      <w:b w:val="0"/>
                      <w:bCs w:val="0"/>
                      <w:szCs w:val="22"/>
                      <w:highlight w:val="none"/>
                    </w:rPr>
                    <w:t>处理，尾水排放执行《城镇污水处理厂污染物排放标准》（GB18918-2002）及</w:t>
                  </w:r>
                  <w:r>
                    <w:rPr>
                      <w:rFonts w:hint="eastAsia"/>
                      <w:b w:val="0"/>
                      <w:bCs w:val="0"/>
                      <w:szCs w:val="22"/>
                    </w:rPr>
                    <w:t>其修改单表1的一级标准A标准，生活污水产生的总氮排放纳入</w:t>
                  </w:r>
                  <w:r>
                    <w:rPr>
                      <w:rFonts w:hint="eastAsia"/>
                      <w:b w:val="0"/>
                      <w:bCs w:val="0"/>
                      <w:szCs w:val="22"/>
                      <w:lang w:eastAsia="zh-CN"/>
                    </w:rPr>
                    <w:t>福清市融元污水处理厂</w:t>
                  </w:r>
                  <w:r>
                    <w:rPr>
                      <w:rFonts w:hint="eastAsia"/>
                      <w:b w:val="0"/>
                      <w:bCs w:val="0"/>
                      <w:szCs w:val="22"/>
                    </w:rPr>
                    <w:t>统一控制</w:t>
                  </w:r>
                  <w:r>
                    <w:rPr>
                      <w:rFonts w:hint="eastAsia"/>
                      <w:b w:val="0"/>
                      <w:bCs w:val="0"/>
                      <w:szCs w:val="22"/>
                      <w:lang w:eastAsia="zh-CN"/>
                    </w:rPr>
                    <w:t>。</w:t>
                  </w:r>
                </w:p>
              </w:tc>
            </w:tr>
          </w:tbl>
          <w:p w14:paraId="6E9D967D">
            <w:pPr>
              <w:pStyle w:val="39"/>
              <w:keepNext w:val="0"/>
              <w:keepLines w:val="0"/>
              <w:suppressLineNumbers w:val="0"/>
              <w:bidi w:val="0"/>
              <w:spacing w:before="0" w:beforeAutospacing="0" w:after="0" w:afterAutospacing="0"/>
              <w:ind w:left="0" w:right="0"/>
              <w:rPr>
                <w:rFonts w:hint="eastAsia"/>
              </w:rPr>
            </w:pPr>
            <w:r>
              <w:rPr>
                <w:rFonts w:hint="default"/>
              </w:rPr>
              <w:t>表</w:t>
            </w:r>
            <w:r>
              <w:rPr>
                <w:rFonts w:hint="eastAsia"/>
                <w:lang w:val="en-US" w:eastAsia="zh-CN"/>
              </w:rPr>
              <w:t>1.8-3</w:t>
            </w:r>
            <w:r>
              <w:rPr>
                <w:rFonts w:hint="default"/>
              </w:rPr>
              <w:t>与福清融侨经济技术开发区生态环境准入要求的符合性分析</w:t>
            </w:r>
          </w:p>
          <w:tbl>
            <w:tblPr>
              <w:tblStyle w:val="2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51"/>
              <w:gridCol w:w="490"/>
              <w:gridCol w:w="459"/>
              <w:gridCol w:w="472"/>
              <w:gridCol w:w="1806"/>
              <w:gridCol w:w="1806"/>
              <w:gridCol w:w="439"/>
            </w:tblGrid>
            <w:tr w14:paraId="3AEAA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0" w:type="auto"/>
                  <w:noWrap w:val="0"/>
                  <w:vAlign w:val="center"/>
                </w:tcPr>
                <w:p w14:paraId="076A4832">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环境管控单元</w:t>
                  </w:r>
                </w:p>
                <w:p w14:paraId="3BC16005">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编码</w:t>
                  </w:r>
                </w:p>
              </w:tc>
              <w:tc>
                <w:tcPr>
                  <w:tcW w:w="0" w:type="auto"/>
                  <w:noWrap w:val="0"/>
                  <w:vAlign w:val="center"/>
                </w:tcPr>
                <w:p w14:paraId="270FB8B1">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环境管控单元名称</w:t>
                  </w:r>
                </w:p>
              </w:tc>
              <w:tc>
                <w:tcPr>
                  <w:tcW w:w="0" w:type="auto"/>
                  <w:noWrap w:val="0"/>
                  <w:vAlign w:val="center"/>
                </w:tcPr>
                <w:p w14:paraId="16B68010">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管控单元类别</w:t>
                  </w:r>
                </w:p>
              </w:tc>
              <w:tc>
                <w:tcPr>
                  <w:tcW w:w="0" w:type="auto"/>
                  <w:gridSpan w:val="2"/>
                  <w:noWrap w:val="0"/>
                  <w:vAlign w:val="center"/>
                </w:tcPr>
                <w:p w14:paraId="464443DB">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管控要求</w:t>
                  </w:r>
                </w:p>
              </w:tc>
              <w:tc>
                <w:tcPr>
                  <w:tcW w:w="0" w:type="auto"/>
                  <w:noWrap w:val="0"/>
                  <w:vAlign w:val="center"/>
                </w:tcPr>
                <w:p w14:paraId="6FC3CE6D">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本项目情况</w:t>
                  </w:r>
                </w:p>
              </w:tc>
              <w:tc>
                <w:tcPr>
                  <w:tcW w:w="0" w:type="auto"/>
                  <w:noWrap w:val="0"/>
                  <w:vAlign w:val="center"/>
                </w:tcPr>
                <w:p w14:paraId="143FCE7C">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符合性</w:t>
                  </w:r>
                </w:p>
              </w:tc>
            </w:tr>
            <w:tr w14:paraId="59BA1D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0" w:type="auto"/>
                  <w:vMerge w:val="restart"/>
                  <w:noWrap w:val="0"/>
                  <w:vAlign w:val="center"/>
                </w:tcPr>
                <w:p w14:paraId="5C0896B0">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vertAlign w:val="baseline"/>
                      <w:lang w:val="en-US" w:eastAsia="zh-CN"/>
                    </w:rPr>
                    <w:t>ZH35018120003</w:t>
                  </w:r>
                </w:p>
              </w:tc>
              <w:tc>
                <w:tcPr>
                  <w:tcW w:w="0" w:type="auto"/>
                  <w:vMerge w:val="restart"/>
                  <w:noWrap w:val="0"/>
                  <w:vAlign w:val="center"/>
                </w:tcPr>
                <w:p w14:paraId="547CBB00">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福清融侨经济技术开发区</w:t>
                  </w:r>
                </w:p>
              </w:tc>
              <w:tc>
                <w:tcPr>
                  <w:tcW w:w="0" w:type="auto"/>
                  <w:vMerge w:val="restart"/>
                  <w:noWrap w:val="0"/>
                  <w:vAlign w:val="center"/>
                </w:tcPr>
                <w:p w14:paraId="36EB7029">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重点管控单元</w:t>
                  </w:r>
                </w:p>
              </w:tc>
              <w:tc>
                <w:tcPr>
                  <w:tcW w:w="0" w:type="auto"/>
                  <w:noWrap w:val="0"/>
                  <w:vAlign w:val="center"/>
                </w:tcPr>
                <w:p w14:paraId="34997944">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空间布局约束</w:t>
                  </w:r>
                </w:p>
              </w:tc>
              <w:tc>
                <w:tcPr>
                  <w:tcW w:w="0" w:type="auto"/>
                  <w:noWrap w:val="0"/>
                  <w:vAlign w:val="center"/>
                </w:tcPr>
                <w:p w14:paraId="06B5A58F">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1.禁止引进纺织业（含印染精加工）、造纸和纸制品业（纸制品制造除外）、化学原料和化学制品制造业（工业气体生产除外）和有色金属冶炼及压延加工业（压延加工除外）；禁止引入含电镀工艺（紧密配套型电镀工艺除外）、冶炼工艺、电解铝的项目；主导产业电气机械和器材制造业禁止类铅酸蓄电池制造。2.加强京东方一期、二期工程周边用地规划控制。3.积极推进区内高耗水的印染、造纸等重污染企业的搬迁工作。4.居住用地周边禁止布局潜在废气扰民的建设项目。5.新局调节库周边200米范围内禁止工业企业生产过程中使用危化品，禁止新建排放烟粉尘、</w:t>
                  </w:r>
                  <w:r>
                    <w:rPr>
                      <w:rFonts w:hint="eastAsia"/>
                      <w:szCs w:val="22"/>
                      <w:lang w:eastAsia="zh-CN"/>
                    </w:rPr>
                    <w:t>VOCs</w:t>
                  </w:r>
                  <w:r>
                    <w:rPr>
                      <w:rFonts w:hint="eastAsia"/>
                      <w:szCs w:val="22"/>
                    </w:rPr>
                    <w:t>废气的工业项目。</w:t>
                  </w:r>
                </w:p>
              </w:tc>
              <w:tc>
                <w:tcPr>
                  <w:tcW w:w="0" w:type="auto"/>
                  <w:noWrap w:val="0"/>
                  <w:vAlign w:val="center"/>
                </w:tcPr>
                <w:p w14:paraId="30954379">
                  <w:pPr>
                    <w:pStyle w:val="38"/>
                    <w:keepNext w:val="0"/>
                    <w:keepLines w:val="0"/>
                    <w:widowControl/>
                    <w:suppressLineNumbers w:val="0"/>
                    <w:bidi w:val="0"/>
                    <w:spacing w:before="0" w:beforeAutospacing="0" w:after="0" w:afterAutospacing="0"/>
                    <w:ind w:left="0" w:right="0"/>
                    <w:rPr>
                      <w:rFonts w:hint="default" w:eastAsia="宋体"/>
                      <w:szCs w:val="22"/>
                      <w:lang w:val="en-US" w:eastAsia="zh-CN"/>
                    </w:rPr>
                  </w:pPr>
                  <w:r>
                    <w:rPr>
                      <w:rFonts w:hint="eastAsia"/>
                      <w:szCs w:val="22"/>
                      <w:vertAlign w:val="baseline"/>
                      <w:lang w:val="en-US" w:eastAsia="zh-CN"/>
                    </w:rPr>
                    <w:t>1、3.本项目</w:t>
                  </w:r>
                  <w:r>
                    <w:rPr>
                      <w:rFonts w:hint="eastAsia"/>
                      <w:szCs w:val="22"/>
                    </w:rPr>
                    <w:t>属于C2929塑料零件及其他塑料制品制造以及C3360金属表面处理及热处理加工，主要</w:t>
                  </w:r>
                  <w:r>
                    <w:rPr>
                      <w:rFonts w:hint="eastAsia"/>
                      <w:szCs w:val="22"/>
                      <w:lang w:val="en-GB"/>
                    </w:rPr>
                    <w:t>从事铝合金、塑胶件及钣金件加工生产</w:t>
                  </w:r>
                  <w:r>
                    <w:rPr>
                      <w:rFonts w:hint="eastAsia"/>
                      <w:szCs w:val="22"/>
                    </w:rPr>
                    <w:t>不涉及纺织业（含印染精加工）、造纸和纸制品业（纸制品制造除外）、化学原料和化学制品制造业（工业气体生产除外）和有色金属冶炼及压延加工业（压延加工除外）</w:t>
                  </w:r>
                  <w:r>
                    <w:rPr>
                      <w:rFonts w:hint="eastAsia"/>
                      <w:szCs w:val="22"/>
                      <w:lang w:eastAsia="zh-CN"/>
                    </w:rPr>
                    <w:t>，</w:t>
                  </w:r>
                  <w:r>
                    <w:rPr>
                      <w:rFonts w:hint="eastAsia"/>
                      <w:szCs w:val="22"/>
                      <w:lang w:val="en-US" w:eastAsia="zh-CN"/>
                    </w:rPr>
                    <w:t>本项目不涉及</w:t>
                  </w:r>
                  <w:r>
                    <w:rPr>
                      <w:rFonts w:hint="eastAsia"/>
                      <w:szCs w:val="22"/>
                    </w:rPr>
                    <w:t>电镀工艺（紧密配套型电镀工艺除外）、冶炼工艺、电解铝的项目</w:t>
                  </w:r>
                  <w:r>
                    <w:rPr>
                      <w:rFonts w:hint="eastAsia"/>
                      <w:szCs w:val="22"/>
                      <w:lang w:val="en-US" w:eastAsia="zh-CN"/>
                    </w:rPr>
                    <w:t>以及</w:t>
                  </w:r>
                  <w:r>
                    <w:rPr>
                      <w:rFonts w:hint="eastAsia"/>
                      <w:szCs w:val="22"/>
                    </w:rPr>
                    <w:t>电气机械和器材制造业</w:t>
                  </w:r>
                  <w:r>
                    <w:rPr>
                      <w:rFonts w:hint="eastAsia"/>
                      <w:szCs w:val="22"/>
                      <w:lang w:eastAsia="zh-CN"/>
                    </w:rPr>
                    <w:t>，</w:t>
                  </w:r>
                  <w:r>
                    <w:rPr>
                      <w:rFonts w:hint="eastAsia"/>
                      <w:szCs w:val="22"/>
                    </w:rPr>
                    <w:t>印染、造纸等重污染企业</w:t>
                  </w:r>
                  <w:r>
                    <w:rPr>
                      <w:rFonts w:hint="eastAsia"/>
                      <w:szCs w:val="22"/>
                      <w:lang w:val="en-US" w:eastAsia="zh-CN"/>
                    </w:rPr>
                    <w:t>2、4.本项目位于融侨经济开发区内，租赁已有厂房，不位于京东方一期、二期工程附近、</w:t>
                  </w:r>
                  <w:r>
                    <w:rPr>
                      <w:rFonts w:hint="eastAsia"/>
                      <w:szCs w:val="22"/>
                    </w:rPr>
                    <w:t>新局调节库周边200米范围</w:t>
                  </w:r>
                  <w:r>
                    <w:rPr>
                      <w:rFonts w:hint="eastAsia"/>
                      <w:szCs w:val="22"/>
                      <w:lang w:eastAsia="zh-CN"/>
                    </w:rPr>
                    <w:t>，</w:t>
                  </w:r>
                  <w:r>
                    <w:rPr>
                      <w:rFonts w:hint="eastAsia"/>
                      <w:szCs w:val="22"/>
                      <w:lang w:val="en-US" w:eastAsia="zh-CN"/>
                    </w:rPr>
                    <w:t>位于工业园区内，距离居住用地较远</w:t>
                  </w:r>
                </w:p>
              </w:tc>
              <w:tc>
                <w:tcPr>
                  <w:tcW w:w="0" w:type="auto"/>
                  <w:noWrap w:val="0"/>
                  <w:vAlign w:val="center"/>
                </w:tcPr>
                <w:p w14:paraId="2D13E27D">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符合</w:t>
                  </w:r>
                </w:p>
              </w:tc>
            </w:tr>
            <w:tr w14:paraId="0E57BD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0" w:type="auto"/>
                  <w:vMerge w:val="continue"/>
                  <w:noWrap w:val="0"/>
                  <w:vAlign w:val="center"/>
                </w:tcPr>
                <w:p w14:paraId="64D4AD6D">
                  <w:pPr>
                    <w:pStyle w:val="38"/>
                    <w:keepNext w:val="0"/>
                    <w:keepLines w:val="0"/>
                    <w:widowControl/>
                    <w:suppressLineNumbers w:val="0"/>
                    <w:bidi w:val="0"/>
                    <w:spacing w:before="0" w:beforeAutospacing="0" w:after="0" w:afterAutospacing="0"/>
                    <w:ind w:left="0" w:right="0"/>
                    <w:rPr>
                      <w:rFonts w:hint="eastAsia"/>
                      <w:szCs w:val="22"/>
                    </w:rPr>
                  </w:pPr>
                </w:p>
              </w:tc>
              <w:tc>
                <w:tcPr>
                  <w:tcW w:w="0" w:type="auto"/>
                  <w:vMerge w:val="continue"/>
                  <w:noWrap w:val="0"/>
                  <w:vAlign w:val="center"/>
                </w:tcPr>
                <w:p w14:paraId="5FC2A7D3">
                  <w:pPr>
                    <w:pStyle w:val="38"/>
                    <w:keepNext w:val="0"/>
                    <w:keepLines w:val="0"/>
                    <w:widowControl/>
                    <w:suppressLineNumbers w:val="0"/>
                    <w:bidi w:val="0"/>
                    <w:spacing w:before="0" w:beforeAutospacing="0" w:after="0" w:afterAutospacing="0"/>
                    <w:ind w:left="0" w:right="0"/>
                    <w:rPr>
                      <w:rFonts w:hint="eastAsia"/>
                      <w:szCs w:val="22"/>
                    </w:rPr>
                  </w:pPr>
                </w:p>
              </w:tc>
              <w:tc>
                <w:tcPr>
                  <w:tcW w:w="0" w:type="auto"/>
                  <w:vMerge w:val="continue"/>
                  <w:noWrap w:val="0"/>
                  <w:vAlign w:val="center"/>
                </w:tcPr>
                <w:p w14:paraId="65D71762">
                  <w:pPr>
                    <w:pStyle w:val="38"/>
                    <w:keepNext w:val="0"/>
                    <w:keepLines w:val="0"/>
                    <w:widowControl/>
                    <w:suppressLineNumbers w:val="0"/>
                    <w:bidi w:val="0"/>
                    <w:spacing w:before="0" w:beforeAutospacing="0" w:after="0" w:afterAutospacing="0"/>
                    <w:ind w:left="0" w:right="0"/>
                    <w:rPr>
                      <w:rFonts w:hint="eastAsia"/>
                      <w:szCs w:val="22"/>
                    </w:rPr>
                  </w:pPr>
                </w:p>
              </w:tc>
              <w:tc>
                <w:tcPr>
                  <w:tcW w:w="0" w:type="auto"/>
                  <w:noWrap w:val="0"/>
                  <w:vAlign w:val="center"/>
                </w:tcPr>
                <w:p w14:paraId="6F2B3A86">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污染物排放管控</w:t>
                  </w:r>
                </w:p>
              </w:tc>
              <w:tc>
                <w:tcPr>
                  <w:tcW w:w="0" w:type="auto"/>
                  <w:noWrap w:val="0"/>
                  <w:vAlign w:val="center"/>
                </w:tcPr>
                <w:p w14:paraId="36043885">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1.完善建设污水收集管网，确保园区内所有工业废水、生活污水纳入污水处理厂处理并达标排放。2.包装印刷业有机废气排放及控制应符合国家和地方相关标准和规范要求。3.落实新增二氧化硫、氮氧化物和</w:t>
                  </w:r>
                  <w:r>
                    <w:rPr>
                      <w:rFonts w:hint="eastAsia"/>
                      <w:szCs w:val="22"/>
                      <w:lang w:eastAsia="zh-CN"/>
                    </w:rPr>
                    <w:t>VOCs</w:t>
                  </w:r>
                  <w:r>
                    <w:rPr>
                      <w:rFonts w:hint="eastAsia"/>
                      <w:szCs w:val="22"/>
                    </w:rPr>
                    <w:t>排放总量控制要求。</w:t>
                  </w:r>
                </w:p>
              </w:tc>
              <w:tc>
                <w:tcPr>
                  <w:tcW w:w="0" w:type="auto"/>
                  <w:noWrap w:val="0"/>
                  <w:vAlign w:val="center"/>
                </w:tcPr>
                <w:p w14:paraId="1F162F2F">
                  <w:pPr>
                    <w:pStyle w:val="38"/>
                    <w:keepNext w:val="0"/>
                    <w:keepLines w:val="0"/>
                    <w:widowControl/>
                    <w:suppressLineNumbers w:val="0"/>
                    <w:bidi w:val="0"/>
                    <w:spacing w:before="0" w:beforeAutospacing="0" w:after="0" w:afterAutospacing="0"/>
                    <w:ind w:left="0" w:right="0"/>
                    <w:jc w:val="both"/>
                    <w:rPr>
                      <w:rFonts w:hint="default"/>
                      <w:szCs w:val="22"/>
                      <w:highlight w:val="none"/>
                      <w:lang w:eastAsia="zh-CN"/>
                    </w:rPr>
                  </w:pPr>
                  <w:r>
                    <w:rPr>
                      <w:rFonts w:hint="eastAsia"/>
                      <w:szCs w:val="22"/>
                      <w:lang w:val="en-US" w:eastAsia="zh-CN"/>
                    </w:rPr>
                    <w:t>1.本项目无生产废水，生活污水经化粪池预处理后，接入市政污水管网，纳入</w:t>
                  </w:r>
                  <w:r>
                    <w:rPr>
                      <w:rStyle w:val="46"/>
                      <w:rFonts w:hint="eastAsia"/>
                      <w:szCs w:val="22"/>
                      <w:lang w:eastAsia="zh-CN"/>
                    </w:rPr>
                    <w:t>福清市融元污水处理厂</w:t>
                  </w:r>
                  <w:r>
                    <w:rPr>
                      <w:rStyle w:val="46"/>
                      <w:rFonts w:hint="eastAsia"/>
                      <w:szCs w:val="22"/>
                    </w:rPr>
                    <w:t>集中处理</w:t>
                  </w:r>
                  <w:r>
                    <w:rPr>
                      <w:rStyle w:val="46"/>
                      <w:rFonts w:hint="eastAsia"/>
                      <w:szCs w:val="22"/>
                      <w:lang w:val="en-US"/>
                    </w:rPr>
                    <w:t>2.本项目不涉及包装印刷业3.</w:t>
                  </w:r>
                  <w:r>
                    <w:rPr>
                      <w:rFonts w:hint="default"/>
                      <w:szCs w:val="22"/>
                      <w:highlight w:val="none"/>
                      <w:lang w:val="en-US" w:eastAsia="zh-CN"/>
                    </w:rPr>
                    <w:t>项目不涉及</w:t>
                  </w:r>
                  <w:r>
                    <w:rPr>
                      <w:rFonts w:hint="default"/>
                      <w:szCs w:val="22"/>
                      <w:highlight w:val="none"/>
                    </w:rPr>
                    <w:t>SO</w:t>
                  </w:r>
                  <w:r>
                    <w:rPr>
                      <w:rFonts w:hint="default"/>
                      <w:szCs w:val="22"/>
                      <w:highlight w:val="none"/>
                      <w:vertAlign w:val="subscript"/>
                    </w:rPr>
                    <w:t>2</w:t>
                  </w:r>
                  <w:r>
                    <w:rPr>
                      <w:rFonts w:hint="default"/>
                      <w:szCs w:val="22"/>
                      <w:highlight w:val="none"/>
                    </w:rPr>
                    <w:t>、NOx</w:t>
                  </w:r>
                  <w:r>
                    <w:rPr>
                      <w:rFonts w:hint="default"/>
                      <w:szCs w:val="22"/>
                      <w:highlight w:val="none"/>
                      <w:lang w:val="en-US" w:eastAsia="zh-CN"/>
                    </w:rPr>
                    <w:t>等污染物排放。</w:t>
                  </w:r>
                  <w:r>
                    <w:rPr>
                      <w:rFonts w:hint="default"/>
                      <w:szCs w:val="22"/>
                      <w:highlight w:val="none"/>
                    </w:rPr>
                    <w:t>排放的</w:t>
                  </w:r>
                  <w:r>
                    <w:rPr>
                      <w:rFonts w:hint="eastAsia"/>
                      <w:szCs w:val="22"/>
                      <w:highlight w:val="none"/>
                      <w:lang w:eastAsia="zh-CN"/>
                    </w:rPr>
                    <w:t>VOCs</w:t>
                  </w:r>
                  <w:r>
                    <w:rPr>
                      <w:rFonts w:hint="default"/>
                      <w:szCs w:val="22"/>
                      <w:highlight w:val="none"/>
                    </w:rPr>
                    <w:t>拟实行区域内倍量替代</w:t>
                  </w:r>
                  <w:r>
                    <w:rPr>
                      <w:rFonts w:hint="default"/>
                      <w:szCs w:val="22"/>
                      <w:highlight w:val="none"/>
                      <w:lang w:eastAsia="zh-CN"/>
                    </w:rPr>
                    <w:t>。</w:t>
                  </w:r>
                </w:p>
                <w:p w14:paraId="4D9EF390">
                  <w:pPr>
                    <w:pStyle w:val="38"/>
                    <w:keepNext w:val="0"/>
                    <w:keepLines w:val="0"/>
                    <w:widowControl/>
                    <w:suppressLineNumbers w:val="0"/>
                    <w:bidi w:val="0"/>
                    <w:spacing w:before="0" w:beforeAutospacing="0" w:after="0" w:afterAutospacing="0"/>
                    <w:ind w:left="0" w:right="0"/>
                    <w:rPr>
                      <w:rFonts w:hint="default" w:eastAsia="宋体"/>
                      <w:szCs w:val="22"/>
                      <w:lang w:val="en-US" w:eastAsia="zh-CN"/>
                    </w:rPr>
                  </w:pPr>
                </w:p>
              </w:tc>
              <w:tc>
                <w:tcPr>
                  <w:tcW w:w="0" w:type="auto"/>
                  <w:noWrap w:val="0"/>
                  <w:vAlign w:val="center"/>
                </w:tcPr>
                <w:p w14:paraId="04E562A8">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符合</w:t>
                  </w:r>
                </w:p>
              </w:tc>
            </w:tr>
            <w:tr w14:paraId="32868E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noWrap w:val="0"/>
                  <w:vAlign w:val="center"/>
                </w:tcPr>
                <w:p w14:paraId="742EB7E9">
                  <w:pPr>
                    <w:pStyle w:val="38"/>
                    <w:keepNext w:val="0"/>
                    <w:keepLines w:val="0"/>
                    <w:widowControl/>
                    <w:suppressLineNumbers w:val="0"/>
                    <w:bidi w:val="0"/>
                    <w:spacing w:before="0" w:beforeAutospacing="0" w:after="0" w:afterAutospacing="0"/>
                    <w:ind w:left="0" w:right="0"/>
                    <w:rPr>
                      <w:rFonts w:hint="eastAsia"/>
                      <w:szCs w:val="22"/>
                    </w:rPr>
                  </w:pPr>
                </w:p>
              </w:tc>
              <w:tc>
                <w:tcPr>
                  <w:tcW w:w="0" w:type="auto"/>
                  <w:vMerge w:val="continue"/>
                  <w:noWrap w:val="0"/>
                  <w:vAlign w:val="center"/>
                </w:tcPr>
                <w:p w14:paraId="51562B29">
                  <w:pPr>
                    <w:pStyle w:val="38"/>
                    <w:keepNext w:val="0"/>
                    <w:keepLines w:val="0"/>
                    <w:widowControl/>
                    <w:suppressLineNumbers w:val="0"/>
                    <w:bidi w:val="0"/>
                    <w:spacing w:before="0" w:beforeAutospacing="0" w:after="0" w:afterAutospacing="0"/>
                    <w:ind w:left="0" w:right="0"/>
                    <w:rPr>
                      <w:rFonts w:hint="eastAsia"/>
                      <w:szCs w:val="22"/>
                    </w:rPr>
                  </w:pPr>
                </w:p>
              </w:tc>
              <w:tc>
                <w:tcPr>
                  <w:tcW w:w="0" w:type="auto"/>
                  <w:vMerge w:val="continue"/>
                  <w:noWrap w:val="0"/>
                  <w:vAlign w:val="center"/>
                </w:tcPr>
                <w:p w14:paraId="65B15CF9">
                  <w:pPr>
                    <w:pStyle w:val="38"/>
                    <w:keepNext w:val="0"/>
                    <w:keepLines w:val="0"/>
                    <w:widowControl/>
                    <w:suppressLineNumbers w:val="0"/>
                    <w:bidi w:val="0"/>
                    <w:spacing w:before="0" w:beforeAutospacing="0" w:after="0" w:afterAutospacing="0"/>
                    <w:ind w:left="0" w:right="0"/>
                    <w:rPr>
                      <w:rFonts w:hint="eastAsia"/>
                      <w:szCs w:val="22"/>
                    </w:rPr>
                  </w:pPr>
                </w:p>
              </w:tc>
              <w:tc>
                <w:tcPr>
                  <w:tcW w:w="0" w:type="auto"/>
                  <w:noWrap w:val="0"/>
                  <w:vAlign w:val="center"/>
                </w:tcPr>
                <w:p w14:paraId="12AE851C">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环境风险防控</w:t>
                  </w:r>
                </w:p>
              </w:tc>
              <w:tc>
                <w:tcPr>
                  <w:tcW w:w="0" w:type="auto"/>
                  <w:noWrap w:val="0"/>
                  <w:vAlign w:val="center"/>
                </w:tcPr>
                <w:p w14:paraId="7750120D">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1.建立健全环境风险防控体系，制定环境风险应急预案，建设事故应急池，成立应急组织机构，防止在处理安全生产事故过程中产生的可能严重污染水体的消防废水、废液直接排入水体。2.应采取有效措施防止园区建设对区域地下水、土壤造成污染。</w:t>
                  </w:r>
                </w:p>
              </w:tc>
              <w:tc>
                <w:tcPr>
                  <w:tcW w:w="0" w:type="auto"/>
                  <w:noWrap w:val="0"/>
                  <w:vAlign w:val="center"/>
                </w:tcPr>
                <w:p w14:paraId="595F88E6">
                  <w:pPr>
                    <w:pStyle w:val="38"/>
                    <w:keepNext w:val="0"/>
                    <w:keepLines w:val="0"/>
                    <w:widowControl/>
                    <w:suppressLineNumbers w:val="0"/>
                    <w:bidi w:val="0"/>
                    <w:spacing w:before="0" w:beforeAutospacing="0" w:after="0" w:afterAutospacing="0"/>
                    <w:ind w:left="0" w:right="0"/>
                    <w:rPr>
                      <w:rFonts w:hint="default"/>
                      <w:szCs w:val="22"/>
                      <w:lang w:val="en-US"/>
                    </w:rPr>
                  </w:pPr>
                  <w:r>
                    <w:rPr>
                      <w:rFonts w:hint="eastAsia" w:cs="Times New Roman"/>
                      <w:color w:val="auto"/>
                      <w:sz w:val="21"/>
                      <w:szCs w:val="21"/>
                      <w:highlight w:val="none"/>
                      <w:vertAlign w:val="baseline"/>
                      <w:lang w:val="en-US" w:eastAsia="zh-CN"/>
                    </w:rPr>
                    <w:t>1.企业按照要求建立健全环境风险防控体系，成立应急组织机构，防止在处理安全生产事故过程中产生的可能严重污染水体的消防废水、废液直接排入水体。2.项目无生产废水产生，生活污水通过化粪池处理后接入市政污水管网，化粪池采取防渗处理，不会对地下水土壤造成污染。</w:t>
                  </w:r>
                </w:p>
              </w:tc>
              <w:tc>
                <w:tcPr>
                  <w:tcW w:w="0" w:type="auto"/>
                  <w:noWrap w:val="0"/>
                  <w:vAlign w:val="center"/>
                </w:tcPr>
                <w:p w14:paraId="4ADF4065">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符合</w:t>
                  </w:r>
                </w:p>
              </w:tc>
            </w:tr>
            <w:tr w14:paraId="3C532F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noWrap w:val="0"/>
                  <w:vAlign w:val="center"/>
                </w:tcPr>
                <w:p w14:paraId="3DA22C20">
                  <w:pPr>
                    <w:pStyle w:val="38"/>
                    <w:keepNext w:val="0"/>
                    <w:keepLines w:val="0"/>
                    <w:widowControl/>
                    <w:suppressLineNumbers w:val="0"/>
                    <w:bidi w:val="0"/>
                    <w:spacing w:before="0" w:beforeAutospacing="0" w:after="0" w:afterAutospacing="0"/>
                    <w:ind w:left="0" w:right="0"/>
                    <w:rPr>
                      <w:rFonts w:hint="eastAsia"/>
                      <w:szCs w:val="22"/>
                    </w:rPr>
                  </w:pPr>
                </w:p>
              </w:tc>
              <w:tc>
                <w:tcPr>
                  <w:tcW w:w="0" w:type="auto"/>
                  <w:vMerge w:val="continue"/>
                  <w:noWrap w:val="0"/>
                  <w:vAlign w:val="center"/>
                </w:tcPr>
                <w:p w14:paraId="74B31C89">
                  <w:pPr>
                    <w:pStyle w:val="38"/>
                    <w:keepNext w:val="0"/>
                    <w:keepLines w:val="0"/>
                    <w:widowControl/>
                    <w:suppressLineNumbers w:val="0"/>
                    <w:bidi w:val="0"/>
                    <w:spacing w:before="0" w:beforeAutospacing="0" w:after="0" w:afterAutospacing="0"/>
                    <w:ind w:left="0" w:right="0"/>
                    <w:rPr>
                      <w:rFonts w:hint="eastAsia"/>
                      <w:szCs w:val="22"/>
                    </w:rPr>
                  </w:pPr>
                </w:p>
              </w:tc>
              <w:tc>
                <w:tcPr>
                  <w:tcW w:w="0" w:type="auto"/>
                  <w:vMerge w:val="continue"/>
                  <w:noWrap w:val="0"/>
                  <w:vAlign w:val="center"/>
                </w:tcPr>
                <w:p w14:paraId="3E05FE9E">
                  <w:pPr>
                    <w:pStyle w:val="38"/>
                    <w:keepNext w:val="0"/>
                    <w:keepLines w:val="0"/>
                    <w:widowControl/>
                    <w:suppressLineNumbers w:val="0"/>
                    <w:bidi w:val="0"/>
                    <w:spacing w:before="0" w:beforeAutospacing="0" w:after="0" w:afterAutospacing="0"/>
                    <w:ind w:left="0" w:right="0"/>
                    <w:rPr>
                      <w:rFonts w:hint="eastAsia"/>
                      <w:szCs w:val="22"/>
                    </w:rPr>
                  </w:pPr>
                </w:p>
              </w:tc>
              <w:tc>
                <w:tcPr>
                  <w:tcW w:w="0" w:type="auto"/>
                  <w:noWrap w:val="0"/>
                  <w:vAlign w:val="center"/>
                </w:tcPr>
                <w:p w14:paraId="6369FF6A">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资源开发效率要求</w:t>
                  </w:r>
                </w:p>
              </w:tc>
              <w:tc>
                <w:tcPr>
                  <w:tcW w:w="0" w:type="auto"/>
                  <w:noWrap w:val="0"/>
                  <w:vAlign w:val="center"/>
                </w:tcPr>
                <w:p w14:paraId="546BA5CB">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vertAlign w:val="baseline"/>
                      <w:lang w:val="en-US" w:eastAsia="zh-CN"/>
                    </w:rPr>
                    <w:t>高污染燃料禁燃区内禁止燃用高污染燃料，禁止新建、扩建燃用高污染燃料的设施。已建的燃用高污染燃料设施，限期改用电、天然气、液化石油气等清洁能源。</w:t>
                  </w:r>
                </w:p>
              </w:tc>
              <w:tc>
                <w:tcPr>
                  <w:tcW w:w="0" w:type="auto"/>
                  <w:noWrap w:val="0"/>
                  <w:vAlign w:val="center"/>
                </w:tcPr>
                <w:p w14:paraId="584734C7">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本项目设备均采用电能，不涉及使用高污染燃料。</w:t>
                  </w:r>
                </w:p>
              </w:tc>
              <w:tc>
                <w:tcPr>
                  <w:tcW w:w="0" w:type="auto"/>
                  <w:noWrap w:val="0"/>
                  <w:vAlign w:val="center"/>
                </w:tcPr>
                <w:p w14:paraId="7C46F747">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符合</w:t>
                  </w:r>
                </w:p>
              </w:tc>
            </w:tr>
            <w:bookmarkEnd w:id="8"/>
            <w:bookmarkEnd w:id="9"/>
            <w:bookmarkEnd w:id="10"/>
            <w:bookmarkEnd w:id="11"/>
            <w:bookmarkEnd w:id="12"/>
          </w:tbl>
          <w:p w14:paraId="682B6CA2">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根据上述分析，本项目与</w:t>
            </w:r>
            <w:r>
              <w:rPr>
                <w:rFonts w:hint="eastAsia" w:ascii="Times New Roman" w:hAnsi="Times New Roman"/>
                <w:sz w:val="24"/>
                <w:szCs w:val="24"/>
                <w:lang w:val="en-US" w:eastAsia="zh-CN"/>
              </w:rPr>
              <w:t>《福州市人民政府办公厅关于印发〈福州市生态环境分区管控方案（2023年更新）〉的通知》</w:t>
            </w:r>
            <w:r>
              <w:rPr>
                <w:rFonts w:hint="eastAsia"/>
                <w:lang w:val="en-US" w:eastAsia="zh-CN"/>
              </w:rPr>
              <w:t>、</w:t>
            </w:r>
            <w:r>
              <w:rPr>
                <w:rFonts w:hint="eastAsia" w:ascii="Times New Roman" w:hAnsi="Times New Roman"/>
                <w:sz w:val="24"/>
                <w:szCs w:val="24"/>
                <w:lang w:val="en-US" w:eastAsia="zh-CN"/>
              </w:rPr>
              <w:t>《福州市生态环境局关于发布福州市2024年生态环境分区管控动态更新成果的通知》（榕环保综〔2025〕1号）</w:t>
            </w:r>
            <w:r>
              <w:rPr>
                <w:rFonts w:hint="eastAsia"/>
                <w:lang w:val="en-US" w:eastAsia="zh-CN"/>
              </w:rPr>
              <w:t>、</w:t>
            </w:r>
            <w:r>
              <w:rPr>
                <w:rFonts w:hint="default" w:ascii="Times New Roman" w:hAnsi="Times New Roman" w:eastAsia="宋体" w:cs="Times New Roman"/>
                <w:color w:val="auto"/>
                <w:sz w:val="24"/>
                <w:szCs w:val="24"/>
                <w:highlight w:val="none"/>
                <w:shd w:val="clear" w:color="auto" w:fill="auto"/>
                <w:lang w:val="en-US" w:eastAsia="zh-CN"/>
              </w:rPr>
              <w:t>《福建省生态环境分区管控综合查询报告》</w:t>
            </w:r>
            <w:r>
              <w:rPr>
                <w:rFonts w:hint="eastAsia"/>
                <w:lang w:val="en-US" w:eastAsia="zh-CN"/>
              </w:rPr>
              <w:t>中的相关规定是符合的。</w:t>
            </w:r>
          </w:p>
          <w:p w14:paraId="046E6881">
            <w:pPr>
              <w:pStyle w:val="3"/>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平面布局合理性分析</w:t>
            </w:r>
          </w:p>
          <w:p w14:paraId="1F0D4B7D">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本</w:t>
            </w:r>
            <w:r>
              <w:rPr>
                <w:rFonts w:hint="default"/>
              </w:rPr>
              <w:t>项目</w:t>
            </w:r>
            <w:r>
              <w:rPr>
                <w:rFonts w:hint="eastAsia"/>
                <w:lang w:val="en-US" w:eastAsia="zh-CN"/>
              </w:rPr>
              <w:t>位于福清融侨经济技术开发区（租赁福清洪添科技有限公司车间2第3层）作为生产场所，合计面积2212.46m</w:t>
            </w:r>
            <w:r>
              <w:rPr>
                <w:rFonts w:hint="eastAsia"/>
                <w:vertAlign w:val="superscript"/>
                <w:lang w:val="en-US" w:eastAsia="zh-CN"/>
              </w:rPr>
              <w:t>2</w:t>
            </w:r>
            <w:r>
              <w:rPr>
                <w:rFonts w:hint="eastAsia"/>
                <w:lang w:val="en-US" w:eastAsia="zh-CN"/>
              </w:rPr>
              <w:t>（厂房租赁合同详见</w:t>
            </w:r>
            <w:r>
              <w:rPr>
                <w:rFonts w:hint="eastAsia"/>
                <w:lang w:val="en-US" w:eastAsia="zh-CN"/>
              </w:rPr>
              <w:fldChar w:fldCharType="begin"/>
            </w:r>
            <w:r>
              <w:rPr>
                <w:rFonts w:hint="eastAsia"/>
                <w:lang w:val="en-US" w:eastAsia="zh-CN"/>
              </w:rPr>
              <w:instrText xml:space="preserve"> REF _Ref4970 \h </w:instrText>
            </w:r>
            <w:r>
              <w:rPr>
                <w:rFonts w:hint="eastAsia"/>
                <w:lang w:val="en-US" w:eastAsia="zh-CN"/>
              </w:rPr>
              <w:fldChar w:fldCharType="separate"/>
            </w:r>
            <w:r>
              <w:rPr>
                <w:rFonts w:hint="eastAsia"/>
              </w:rPr>
              <w:t>附件 7</w:t>
            </w:r>
            <w:r>
              <w:rPr>
                <w:rFonts w:hint="eastAsia"/>
                <w:lang w:val="en-US" w:eastAsia="zh-CN"/>
              </w:rPr>
              <w:fldChar w:fldCharType="end"/>
            </w:r>
            <w:r>
              <w:rPr>
                <w:rFonts w:hint="eastAsia"/>
                <w:lang w:val="en-US" w:eastAsia="zh-CN"/>
              </w:rPr>
              <w:t>）。</w:t>
            </w:r>
            <w:r>
              <w:rPr>
                <w:rFonts w:hint="default"/>
              </w:rPr>
              <w:t>厂区内厂房布置简单</w:t>
            </w:r>
            <w:r>
              <w:rPr>
                <w:rFonts w:hint="eastAsia"/>
                <w:lang w:eastAsia="zh-CN"/>
              </w:rPr>
              <w:t>，</w:t>
            </w:r>
            <w:r>
              <w:rPr>
                <w:rFonts w:hint="default"/>
              </w:rPr>
              <w:t>各功能分区明确，生产车间内平面布置基本上根据生产工艺需要和物料流向，各工序布置间距较近，便于生产操作，同时也避免物料来回运输消耗能源，厂区总平面布置基</w:t>
            </w:r>
            <w:r>
              <w:rPr>
                <w:rFonts w:hint="default"/>
                <w:lang w:val="en-US" w:eastAsia="zh-CN"/>
              </w:rPr>
              <w:t>本合理</w:t>
            </w:r>
            <w:r>
              <w:rPr>
                <w:rFonts w:hint="default"/>
              </w:rPr>
              <w:t>。</w:t>
            </w:r>
          </w:p>
          <w:p w14:paraId="567B60EF">
            <w:pPr>
              <w:pStyle w:val="3"/>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与周边相容性分析</w:t>
            </w:r>
          </w:p>
          <w:p w14:paraId="56813320">
            <w:pPr>
              <w:keepNext w:val="0"/>
              <w:keepLines w:val="0"/>
              <w:widowControl/>
              <w:suppressLineNumbers w:val="0"/>
              <w:spacing w:before="0" w:beforeAutospacing="0" w:after="0" w:afterAutospacing="0" w:line="360" w:lineRule="auto"/>
              <w:ind w:left="0" w:right="0" w:firstLine="480" w:firstLineChars="200"/>
              <w:jc w:val="both"/>
              <w:rPr>
                <w:rFonts w:hint="eastAsia"/>
                <w:lang w:val="en-US" w:eastAsia="zh-CN"/>
              </w:rPr>
            </w:pPr>
            <w:r>
              <w:rPr>
                <w:rFonts w:hint="default" w:ascii="Times New Roman" w:hAnsi="Times New Roman" w:eastAsia="宋体" w:cs="Times New Roman"/>
                <w:color w:val="auto"/>
                <w:sz w:val="24"/>
                <w:szCs w:val="24"/>
                <w:u w:val="none"/>
                <w:lang w:eastAsia="zh-CN"/>
              </w:rPr>
              <w:t>本项目位于</w:t>
            </w:r>
            <w:r>
              <w:rPr>
                <w:rFonts w:hint="eastAsia"/>
                <w:lang w:val="en-US" w:eastAsia="zh-CN"/>
              </w:rPr>
              <w:t>福清融侨经济技术开发区（租赁福清洪添科技有限公司车间2第3层）</w:t>
            </w:r>
            <w:r>
              <w:rPr>
                <w:rFonts w:hint="eastAsia" w:cs="Times New Roman"/>
                <w:color w:val="auto"/>
                <w:sz w:val="24"/>
                <w:szCs w:val="24"/>
                <w:highlight w:val="none"/>
                <w:u w:val="none"/>
                <w:lang w:val="en-US" w:eastAsia="zh-CN"/>
              </w:rPr>
              <w:t>，</w:t>
            </w:r>
            <w:r>
              <w:rPr>
                <w:rFonts w:hint="eastAsia" w:ascii="Times New Roman" w:hAnsi="Times New Roman" w:eastAsia="宋体" w:cs="Times New Roman"/>
                <w:color w:val="auto"/>
                <w:sz w:val="24"/>
                <w:lang w:val="en-US" w:eastAsia="zh-CN"/>
              </w:rPr>
              <w:t>根据调查项目厂址不位于自然保护区、风景名胜区、饮用水水源保护区和其他需要特别保护等法律法规禁止开发建设的区域，用地为工业用地，与区域内土地利用规划不冲突。</w:t>
            </w:r>
            <w:r>
              <w:rPr>
                <w:rFonts w:hint="default" w:ascii="Times New Roman" w:hAnsi="Times New Roman" w:eastAsia="宋体" w:cs="Times New Roman"/>
                <w:color w:val="auto"/>
                <w:sz w:val="24"/>
                <w:lang w:val="en-US" w:eastAsia="zh-CN"/>
              </w:rPr>
              <w:t>根据现场勘查，</w:t>
            </w:r>
            <w:r>
              <w:rPr>
                <w:rFonts w:hint="eastAsia" w:ascii="Times New Roman" w:hAnsi="Times New Roman" w:eastAsia="宋体" w:cs="Times New Roman"/>
                <w:color w:val="auto"/>
                <w:sz w:val="24"/>
                <w:lang w:val="en-US" w:eastAsia="zh-CN"/>
              </w:rPr>
              <w:t>项目</w:t>
            </w:r>
            <w:r>
              <w:rPr>
                <w:rFonts w:hint="eastAsia"/>
                <w:color w:val="auto"/>
                <w:sz w:val="24"/>
                <w:lang w:val="en-US" w:eastAsia="zh-CN"/>
              </w:rPr>
              <w:t>厂界外50米范围内不存在声环境保护目标，厂界</w:t>
            </w:r>
            <w:r>
              <w:rPr>
                <w:rFonts w:hint="eastAsia" w:ascii="Times New Roman" w:hAnsi="Times New Roman" w:eastAsia="宋体" w:cs="Times New Roman"/>
                <w:color w:val="auto"/>
                <w:sz w:val="24"/>
                <w:lang w:val="en-US" w:eastAsia="zh-CN"/>
              </w:rPr>
              <w:t>外500米范围内距</w:t>
            </w:r>
            <w:r>
              <w:rPr>
                <w:rFonts w:hint="eastAsia" w:cs="Times New Roman"/>
                <w:color w:val="auto"/>
                <w:sz w:val="24"/>
                <w:lang w:val="en-US" w:eastAsia="zh-CN"/>
              </w:rPr>
              <w:t>玉岭村</w:t>
            </w:r>
            <w:r>
              <w:rPr>
                <w:rFonts w:hint="eastAsia" w:ascii="Times New Roman" w:hAnsi="Times New Roman" w:eastAsia="宋体" w:cs="Times New Roman"/>
                <w:color w:val="auto"/>
                <w:sz w:val="24"/>
                <w:lang w:val="en-US" w:eastAsia="zh-CN"/>
              </w:rPr>
              <w:t>离项目最近的居民点</w:t>
            </w:r>
            <w:r>
              <w:rPr>
                <w:rFonts w:hint="eastAsia" w:cs="Times New Roman"/>
                <w:color w:val="auto"/>
                <w:sz w:val="24"/>
                <w:lang w:val="en-US" w:eastAsia="zh-CN"/>
              </w:rPr>
              <w:t>位于项目南侧</w:t>
            </w:r>
            <w:r>
              <w:rPr>
                <w:rFonts w:hint="eastAsia" w:ascii="Times New Roman" w:hAnsi="Times New Roman" w:eastAsia="宋体" w:cs="Times New Roman"/>
                <w:color w:val="auto"/>
                <w:sz w:val="24"/>
                <w:lang w:val="en-US" w:eastAsia="zh-CN"/>
              </w:rPr>
              <w:t>约</w:t>
            </w:r>
            <w:r>
              <w:rPr>
                <w:rFonts w:hint="eastAsia" w:cs="Times New Roman"/>
                <w:color w:val="auto"/>
                <w:sz w:val="24"/>
                <w:lang w:val="en-US" w:eastAsia="zh-CN"/>
              </w:rPr>
              <w:t>203</w:t>
            </w:r>
            <w:r>
              <w:rPr>
                <w:rFonts w:hint="eastAsia" w:ascii="Times New Roman" w:hAnsi="Times New Roman" w:eastAsia="宋体" w:cs="Times New Roman"/>
                <w:color w:val="auto"/>
                <w:sz w:val="24"/>
                <w:lang w:val="en-US" w:eastAsia="zh-CN"/>
              </w:rPr>
              <w:t>m</w:t>
            </w:r>
            <w:r>
              <w:rPr>
                <w:rFonts w:hint="eastAsia" w:cs="Times New Roman"/>
                <w:color w:val="auto"/>
                <w:sz w:val="24"/>
                <w:lang w:val="en-US" w:eastAsia="zh-CN"/>
              </w:rPr>
              <w:t>处</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eastAsia="zh-CN"/>
              </w:rPr>
              <w:t>周边</w:t>
            </w:r>
            <w:r>
              <w:rPr>
                <w:rFonts w:hint="eastAsia" w:cs="Times New Roman"/>
                <w:color w:val="auto"/>
                <w:sz w:val="24"/>
                <w:lang w:eastAsia="zh-CN"/>
              </w:rPr>
              <w:t>分布以工业企业为主</w:t>
            </w:r>
            <w:r>
              <w:rPr>
                <w:rFonts w:hint="eastAsia" w:ascii="Times New Roman" w:hAnsi="Times New Roman" w:eastAsia="宋体" w:cs="Times New Roman"/>
                <w:color w:val="auto"/>
                <w:sz w:val="24"/>
                <w:lang w:val="en-US" w:eastAsia="zh-CN"/>
              </w:rPr>
              <w:t>等</w:t>
            </w:r>
            <w:r>
              <w:rPr>
                <w:rFonts w:hint="eastAsia" w:ascii="Times New Roman" w:hAnsi="Times New Roman" w:eastAsia="宋体" w:cs="Times New Roman"/>
                <w:color w:val="auto"/>
                <w:sz w:val="24"/>
                <w:lang w:eastAsia="zh-CN"/>
              </w:rPr>
              <w:t>，项目</w:t>
            </w:r>
            <w:r>
              <w:rPr>
                <w:rFonts w:hint="eastAsia" w:ascii="Times New Roman" w:hAnsi="Times New Roman" w:eastAsia="宋体" w:cs="Times New Roman"/>
                <w:color w:val="auto"/>
                <w:sz w:val="24"/>
                <w:highlight w:val="none"/>
                <w:lang w:eastAsia="zh-CN"/>
              </w:rPr>
              <w:t>周边环境示意图</w:t>
            </w:r>
            <w:r>
              <w:rPr>
                <w:rFonts w:hint="eastAsia" w:cs="Times New Roman"/>
                <w:color w:val="auto"/>
                <w:sz w:val="24"/>
                <w:highlight w:val="none"/>
                <w:lang w:val="en-US" w:eastAsia="zh-CN"/>
              </w:rPr>
              <w:t>及保护目标</w:t>
            </w:r>
            <w:r>
              <w:rPr>
                <w:rFonts w:hint="eastAsia" w:ascii="Times New Roman" w:hAnsi="Times New Roman" w:eastAsia="宋体" w:cs="Times New Roman"/>
                <w:color w:val="auto"/>
                <w:sz w:val="24"/>
                <w:highlight w:val="none"/>
                <w:lang w:eastAsia="zh-CN"/>
              </w:rPr>
              <w:t>详见</w:t>
            </w:r>
            <w:r>
              <w:rPr>
                <w:rFonts w:hint="default" w:ascii="Times New Roman" w:hAnsi="Times New Roman" w:eastAsia="宋体" w:cs="Times New Roman"/>
                <w:color w:val="auto"/>
                <w:sz w:val="24"/>
                <w:highlight w:val="none"/>
                <w:lang w:val="en-US" w:eastAsia="zh-CN"/>
              </w:rPr>
              <w:fldChar w:fldCharType="begin"/>
            </w:r>
            <w:r>
              <w:rPr>
                <w:rFonts w:hint="default" w:ascii="Times New Roman" w:hAnsi="Times New Roman" w:eastAsia="宋体" w:cs="Times New Roman"/>
                <w:color w:val="auto"/>
                <w:sz w:val="24"/>
                <w:highlight w:val="none"/>
                <w:lang w:val="en-US" w:eastAsia="zh-CN"/>
              </w:rPr>
              <w:instrText xml:space="preserve"> REF _Ref22753 \h </w:instrText>
            </w:r>
            <w:r>
              <w:rPr>
                <w:rFonts w:hint="default" w:ascii="Times New Roman" w:hAnsi="Times New Roman" w:eastAsia="宋体" w:cs="Times New Roman"/>
                <w:color w:val="auto"/>
                <w:sz w:val="24"/>
                <w:highlight w:val="none"/>
                <w:lang w:val="en-US" w:eastAsia="zh-CN"/>
              </w:rPr>
              <w:fldChar w:fldCharType="separate"/>
            </w:r>
            <w:r>
              <w:rPr>
                <w:rFonts w:hint="eastAsia"/>
              </w:rPr>
              <w:t>附图 2</w:t>
            </w:r>
            <w:r>
              <w:rPr>
                <w:rFonts w:hint="default" w:ascii="Times New Roman" w:hAnsi="Times New Roman" w:eastAsia="宋体" w:cs="Times New Roman"/>
                <w:color w:val="auto"/>
                <w:sz w:val="24"/>
                <w:highlight w:val="none"/>
                <w:lang w:val="en-US" w:eastAsia="zh-CN"/>
              </w:rPr>
              <w:fldChar w:fldCharType="end"/>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pacing w:val="0"/>
                <w:sz w:val="24"/>
                <w:szCs w:val="24"/>
                <w:highlight w:val="none"/>
                <w:u w:val="none"/>
                <w:lang w:eastAsia="zh-CN"/>
              </w:rPr>
              <w:t>项目周边环境现状拍摄图详</w:t>
            </w:r>
            <w:r>
              <w:rPr>
                <w:rFonts w:hint="default" w:ascii="Times New Roman" w:hAnsi="Times New Roman" w:eastAsia="宋体" w:cs="Times New Roman"/>
                <w:color w:val="auto"/>
                <w:sz w:val="24"/>
                <w:highlight w:val="none"/>
                <w:lang w:eastAsia="zh-CN"/>
              </w:rPr>
              <w:t>见</w:t>
            </w:r>
            <w:r>
              <w:rPr>
                <w:rFonts w:hint="default" w:ascii="Times New Roman" w:hAnsi="Times New Roman" w:eastAsia="宋体" w:cs="Times New Roman"/>
                <w:color w:val="auto"/>
                <w:sz w:val="24"/>
                <w:highlight w:val="none"/>
                <w:lang w:val="en-US" w:eastAsia="zh-CN"/>
              </w:rPr>
              <w:fldChar w:fldCharType="begin"/>
            </w:r>
            <w:r>
              <w:rPr>
                <w:rFonts w:hint="default" w:ascii="Times New Roman" w:hAnsi="Times New Roman" w:eastAsia="宋体" w:cs="Times New Roman"/>
                <w:color w:val="auto"/>
                <w:sz w:val="24"/>
                <w:highlight w:val="none"/>
                <w:lang w:val="en-US" w:eastAsia="zh-CN"/>
              </w:rPr>
              <w:instrText xml:space="preserve"> REF _Ref22825 \h </w:instrText>
            </w:r>
            <w:r>
              <w:rPr>
                <w:rFonts w:hint="default" w:ascii="Times New Roman" w:hAnsi="Times New Roman" w:eastAsia="宋体" w:cs="Times New Roman"/>
                <w:color w:val="auto"/>
                <w:sz w:val="24"/>
                <w:highlight w:val="none"/>
                <w:lang w:val="en-US" w:eastAsia="zh-CN"/>
              </w:rPr>
              <w:fldChar w:fldCharType="separate"/>
            </w:r>
            <w:r>
              <w:rPr>
                <w:rFonts w:hint="eastAsia"/>
              </w:rPr>
              <w:t>附图 3</w:t>
            </w:r>
            <w:r>
              <w:rPr>
                <w:rFonts w:hint="default" w:ascii="Times New Roman" w:hAnsi="Times New Roman" w:eastAsia="宋体" w:cs="Times New Roman"/>
                <w:color w:val="auto"/>
                <w:sz w:val="24"/>
                <w:highlight w:val="none"/>
                <w:lang w:val="en-US" w:eastAsia="zh-CN"/>
              </w:rPr>
              <w:fldChar w:fldCharType="end"/>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lang w:eastAsia="zh-CN"/>
              </w:rPr>
              <w:t>建设单位在</w:t>
            </w:r>
            <w:r>
              <w:rPr>
                <w:rFonts w:hint="eastAsia" w:cs="Times New Roman"/>
                <w:color w:val="auto"/>
                <w:sz w:val="24"/>
                <w:lang w:eastAsia="zh-CN"/>
              </w:rPr>
              <w:t>切实落实</w:t>
            </w:r>
            <w:r>
              <w:rPr>
                <w:rFonts w:hint="default" w:ascii="Times New Roman" w:hAnsi="Times New Roman" w:eastAsia="宋体" w:cs="Times New Roman"/>
                <w:color w:val="auto"/>
                <w:sz w:val="24"/>
                <w:lang w:eastAsia="zh-CN"/>
              </w:rPr>
              <w:t>本评价提出的各项污染治理措施的前提下，可实现污染物达标排放</w:t>
            </w:r>
            <w:r>
              <w:rPr>
                <w:rFonts w:hint="eastAsia" w:cs="Times New Roman"/>
                <w:color w:val="auto"/>
                <w:sz w:val="24"/>
                <w:lang w:eastAsia="zh-CN"/>
              </w:rPr>
              <w:t>且</w:t>
            </w:r>
            <w:r>
              <w:rPr>
                <w:rFonts w:hint="default" w:ascii="Times New Roman" w:hAnsi="Times New Roman" w:eastAsia="宋体" w:cs="Times New Roman"/>
                <w:color w:val="auto"/>
                <w:sz w:val="24"/>
                <w:lang w:eastAsia="zh-CN"/>
              </w:rPr>
              <w:t>各污染物排放源强较低，运营期产生的</w:t>
            </w:r>
            <w:r>
              <w:rPr>
                <w:rFonts w:hint="eastAsia" w:cs="Times New Roman"/>
                <w:color w:val="auto"/>
                <w:sz w:val="24"/>
                <w:lang w:eastAsia="zh-CN"/>
              </w:rPr>
              <w:t>“</w:t>
            </w:r>
            <w:r>
              <w:rPr>
                <w:rFonts w:hint="default" w:ascii="Times New Roman" w:hAnsi="Times New Roman" w:eastAsia="宋体" w:cs="Times New Roman"/>
                <w:color w:val="auto"/>
                <w:sz w:val="24"/>
                <w:lang w:eastAsia="zh-CN"/>
              </w:rPr>
              <w:t>三废</w:t>
            </w:r>
            <w:r>
              <w:rPr>
                <w:rFonts w:hint="eastAsia" w:cs="Times New Roman"/>
                <w:color w:val="auto"/>
                <w:sz w:val="24"/>
                <w:lang w:eastAsia="zh-CN"/>
              </w:rPr>
              <w:t>”</w:t>
            </w:r>
            <w:r>
              <w:rPr>
                <w:rFonts w:hint="default" w:ascii="Times New Roman" w:hAnsi="Times New Roman" w:eastAsia="宋体" w:cs="Times New Roman"/>
                <w:color w:val="auto"/>
                <w:sz w:val="24"/>
                <w:lang w:eastAsia="zh-CN"/>
              </w:rPr>
              <w:t>及噪声对周边环境影响不明显，因此，项目建设与周边环境基本相容。</w:t>
            </w:r>
          </w:p>
          <w:p w14:paraId="15123372">
            <w:pPr>
              <w:pStyle w:val="3"/>
              <w:keepNext w:val="0"/>
              <w:keepLines w:val="0"/>
              <w:suppressLineNumbers w:val="0"/>
              <w:bidi w:val="0"/>
              <w:spacing w:before="0" w:beforeAutospacing="0" w:after="0" w:afterAutospacing="0"/>
              <w:ind w:left="0" w:right="0"/>
              <w:rPr>
                <w:rFonts w:hint="default"/>
              </w:rPr>
            </w:pPr>
            <w:r>
              <w:rPr>
                <w:rFonts w:hint="default"/>
              </w:rPr>
              <w:t>与污染防治相关政策符合性分析</w:t>
            </w:r>
          </w:p>
          <w:p w14:paraId="1E43B291">
            <w:pPr>
              <w:keepNext w:val="0"/>
              <w:keepLines w:val="0"/>
              <w:suppressLineNumbers w:val="0"/>
              <w:bidi w:val="0"/>
              <w:spacing w:before="0" w:beforeAutospacing="0" w:after="0" w:afterAutospacing="0"/>
              <w:ind w:left="0" w:right="0"/>
              <w:rPr>
                <w:rFonts w:hint="default"/>
              </w:rPr>
            </w:pPr>
            <w:r>
              <w:rPr>
                <w:rFonts w:hint="default"/>
              </w:rPr>
              <w:t>本项目与挥发性有机物污染防治政策相关内容符合性分析详见表</w:t>
            </w:r>
            <w:r>
              <w:rPr>
                <w:rFonts w:hint="eastAsia"/>
                <w:lang w:val="en-US" w:eastAsia="zh-CN"/>
              </w:rPr>
              <w:t>1.11-1</w:t>
            </w:r>
            <w:r>
              <w:rPr>
                <w:rFonts w:hint="default"/>
              </w:rPr>
              <w:t>。</w:t>
            </w:r>
          </w:p>
          <w:p w14:paraId="788DA263">
            <w:pPr>
              <w:pStyle w:val="39"/>
              <w:keepNext w:val="0"/>
              <w:keepLines w:val="0"/>
              <w:suppressLineNumbers w:val="0"/>
              <w:bidi w:val="0"/>
              <w:spacing w:before="0" w:beforeAutospacing="0" w:after="0" w:afterAutospacing="0"/>
              <w:ind w:left="0" w:right="0"/>
              <w:rPr>
                <w:rFonts w:hint="default"/>
              </w:rPr>
            </w:pPr>
            <w:r>
              <w:rPr>
                <w:rFonts w:hint="default"/>
              </w:rPr>
              <w:t>表</w:t>
            </w:r>
            <w:r>
              <w:rPr>
                <w:rFonts w:hint="eastAsia"/>
                <w:lang w:val="en-US" w:eastAsia="zh-CN"/>
              </w:rPr>
              <w:t>1.11-1</w:t>
            </w:r>
            <w:r>
              <w:rPr>
                <w:rFonts w:hint="default"/>
              </w:rPr>
              <w:t xml:space="preserve"> 挥发性有机物污染防治政策相关内容</w:t>
            </w:r>
          </w:p>
          <w:tbl>
            <w:tblPr>
              <w:tblStyle w:val="29"/>
              <w:tblW w:w="4672"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1475"/>
              <w:gridCol w:w="2854"/>
              <w:gridCol w:w="1970"/>
              <w:gridCol w:w="357"/>
            </w:tblGrid>
            <w:tr w14:paraId="0BF89E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1108" w:type="pct"/>
                  <w:noWrap w:val="0"/>
                  <w:vAlign w:val="center"/>
                </w:tcPr>
                <w:p w14:paraId="797F36B6">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相关文件名称</w:t>
                  </w:r>
                </w:p>
              </w:tc>
              <w:tc>
                <w:tcPr>
                  <w:tcW w:w="2143" w:type="pct"/>
                  <w:noWrap w:val="0"/>
                  <w:vAlign w:val="center"/>
                </w:tcPr>
                <w:p w14:paraId="549D6246">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相关内容</w:t>
                  </w:r>
                </w:p>
              </w:tc>
              <w:tc>
                <w:tcPr>
                  <w:tcW w:w="1479" w:type="pct"/>
                  <w:noWrap w:val="0"/>
                  <w:vAlign w:val="center"/>
                </w:tcPr>
                <w:p w14:paraId="43CCADC8">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eastAsia="zh-CN"/>
                    </w:rPr>
                    <w:t>本项目内容</w:t>
                  </w:r>
                </w:p>
              </w:tc>
              <w:tc>
                <w:tcPr>
                  <w:tcW w:w="268" w:type="pct"/>
                  <w:noWrap w:val="0"/>
                  <w:vAlign w:val="center"/>
                </w:tcPr>
                <w:p w14:paraId="796E6FBC">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eastAsia="zh-CN"/>
                    </w:rPr>
                    <w:t>符合性</w:t>
                  </w:r>
                </w:p>
              </w:tc>
            </w:tr>
            <w:tr w14:paraId="07740E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1475" w:type="dxa"/>
                  <w:noWrap w:val="0"/>
                  <w:vAlign w:val="center"/>
                </w:tcPr>
                <w:p w14:paraId="0EAE71BB">
                  <w:pPr>
                    <w:pStyle w:val="38"/>
                    <w:keepNext w:val="0"/>
                    <w:keepLines w:val="0"/>
                    <w:widowControl/>
                    <w:suppressLineNumbers w:val="0"/>
                    <w:bidi w:val="0"/>
                    <w:spacing w:before="0" w:beforeAutospacing="0" w:after="0" w:afterAutospacing="0"/>
                    <w:ind w:left="0" w:right="0"/>
                    <w:rPr>
                      <w:rFonts w:hint="eastAsia"/>
                      <w:szCs w:val="22"/>
                    </w:rPr>
                  </w:pPr>
                  <w:r>
                    <w:rPr>
                      <w:rFonts w:hint="default"/>
                      <w:szCs w:val="22"/>
                    </w:rPr>
                    <w:t>“十三五”挥发性有机物污染防治工作方案</w:t>
                  </w:r>
                </w:p>
              </w:tc>
              <w:tc>
                <w:tcPr>
                  <w:tcW w:w="2854" w:type="dxa"/>
                  <w:noWrap w:val="0"/>
                  <w:vAlign w:val="top"/>
                </w:tcPr>
                <w:p w14:paraId="20067AD4">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1</w:t>
                  </w:r>
                  <w:r>
                    <w:rPr>
                      <w:rFonts w:hint="default"/>
                      <w:szCs w:val="22"/>
                    </w:rPr>
                    <w:t>.严格建设项目环境准入。</w:t>
                  </w:r>
                </w:p>
                <w:p w14:paraId="1CF4976D">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提高</w:t>
                  </w:r>
                  <w:r>
                    <w:rPr>
                      <w:rFonts w:hint="eastAsia"/>
                      <w:szCs w:val="22"/>
                      <w:lang w:eastAsia="zh-CN"/>
                    </w:rPr>
                    <w:t>VOCs</w:t>
                  </w:r>
                  <w:r>
                    <w:rPr>
                      <w:rFonts w:hint="default"/>
                      <w:szCs w:val="22"/>
                    </w:rPr>
                    <w:t>排放重点行业环保准入门槛，严格控制新增污染物排放量。新建涉</w:t>
                  </w:r>
                  <w:r>
                    <w:rPr>
                      <w:rFonts w:hint="eastAsia"/>
                      <w:szCs w:val="22"/>
                      <w:lang w:eastAsia="zh-CN"/>
                    </w:rPr>
                    <w:t>VOCs</w:t>
                  </w:r>
                  <w:r>
                    <w:rPr>
                      <w:rFonts w:hint="default"/>
                      <w:szCs w:val="22"/>
                    </w:rPr>
                    <w:t>排放的工业企业要入园区。新、改、扩建涉</w:t>
                  </w:r>
                  <w:r>
                    <w:rPr>
                      <w:rFonts w:hint="eastAsia"/>
                      <w:szCs w:val="22"/>
                      <w:lang w:eastAsia="zh-CN"/>
                    </w:rPr>
                    <w:t>VOCs</w:t>
                  </w:r>
                  <w:r>
                    <w:rPr>
                      <w:rFonts w:hint="default"/>
                      <w:szCs w:val="22"/>
                    </w:rPr>
                    <w:t>排放项目，应从源头加强控制，使用低（无）</w:t>
                  </w:r>
                  <w:r>
                    <w:rPr>
                      <w:rFonts w:hint="eastAsia"/>
                      <w:szCs w:val="22"/>
                      <w:lang w:eastAsia="zh-CN"/>
                    </w:rPr>
                    <w:t>VOCs</w:t>
                  </w:r>
                  <w:r>
                    <w:rPr>
                      <w:rFonts w:hint="default"/>
                      <w:szCs w:val="22"/>
                    </w:rPr>
                    <w:t>含量的原辅材料，加强废气收集，安装高效治理设施。</w:t>
                  </w:r>
                </w:p>
                <w:p w14:paraId="247C3508">
                  <w:pPr>
                    <w:pStyle w:val="38"/>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2</w:t>
                  </w:r>
                  <w:r>
                    <w:rPr>
                      <w:rFonts w:hint="default"/>
                      <w:szCs w:val="22"/>
                    </w:rPr>
                    <w:t>.加大工业涂装</w:t>
                  </w:r>
                  <w:r>
                    <w:rPr>
                      <w:rFonts w:hint="eastAsia"/>
                      <w:szCs w:val="22"/>
                      <w:lang w:eastAsia="zh-CN"/>
                    </w:rPr>
                    <w:t>VOCs</w:t>
                  </w:r>
                  <w:r>
                    <w:rPr>
                      <w:rFonts w:hint="default"/>
                      <w:szCs w:val="22"/>
                    </w:rPr>
                    <w:t>治理力度。木质家具制造行业。大力推广使用水性、紫外光固化涂料，到2020年底前，替代比例达到60%以上；全面使用水性胶粘剂，到2020年底前，替代比例达到 100%。在平面板式木质家具制造领域，推广使用自动喷涂或辊涂等先进工艺技术。加强废气收集与处理，有机废气收集效率不低于80%；建设吸附燃烧等高效治理设施，实现达标排放。</w:t>
                  </w:r>
                </w:p>
              </w:tc>
              <w:tc>
                <w:tcPr>
                  <w:tcW w:w="1970" w:type="dxa"/>
                  <w:noWrap w:val="0"/>
                  <w:vAlign w:val="center"/>
                </w:tcPr>
                <w:p w14:paraId="44D244DA">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1、项目属于</w:t>
                  </w:r>
                  <w:r>
                    <w:rPr>
                      <w:rFonts w:hint="eastAsia"/>
                      <w:szCs w:val="22"/>
                      <w:lang w:val="en-US" w:eastAsia="zh-CN"/>
                    </w:rPr>
                    <w:t>新建项目</w:t>
                  </w:r>
                  <w:r>
                    <w:rPr>
                      <w:rFonts w:hint="default"/>
                      <w:szCs w:val="22"/>
                      <w:lang w:val="en-US" w:eastAsia="zh-CN"/>
                    </w:rPr>
                    <w:t>，涉</w:t>
                  </w:r>
                  <w:r>
                    <w:rPr>
                      <w:rFonts w:hint="eastAsia"/>
                      <w:szCs w:val="22"/>
                      <w:lang w:eastAsia="zh-CN"/>
                    </w:rPr>
                    <w:t>VOCs</w:t>
                  </w:r>
                  <w:r>
                    <w:rPr>
                      <w:rFonts w:hint="default"/>
                      <w:szCs w:val="22"/>
                    </w:rPr>
                    <w:t>排放</w:t>
                  </w:r>
                  <w:r>
                    <w:rPr>
                      <w:rFonts w:hint="default"/>
                      <w:szCs w:val="22"/>
                      <w:lang w:eastAsia="zh-CN"/>
                    </w:rPr>
                    <w:t>，</w:t>
                  </w:r>
                  <w:r>
                    <w:rPr>
                      <w:rFonts w:hint="default"/>
                      <w:szCs w:val="22"/>
                      <w:lang w:val="en-US" w:eastAsia="zh-CN"/>
                    </w:rPr>
                    <w:t>企业位于福州市福清市阳下街道洪宽工业区</w:t>
                  </w:r>
                  <w:r>
                    <w:rPr>
                      <w:rFonts w:hint="default"/>
                      <w:szCs w:val="22"/>
                      <w:lang w:eastAsia="zh-CN"/>
                    </w:rPr>
                    <w:t>；烘干</w:t>
                  </w:r>
                  <w:r>
                    <w:rPr>
                      <w:rFonts w:hint="eastAsia"/>
                      <w:szCs w:val="22"/>
                      <w:lang w:eastAsia="zh-CN"/>
                    </w:rPr>
                    <w:t>、</w:t>
                  </w:r>
                  <w:r>
                    <w:rPr>
                      <w:rFonts w:hint="default"/>
                      <w:szCs w:val="22"/>
                      <w:lang w:eastAsia="zh-CN"/>
                    </w:rPr>
                    <w:t>加烤废气分别经密闭管道收集后，与经水帘柜处理后的喷漆废气合并，共同进入“过滤棉+</w:t>
                  </w:r>
                  <w:r>
                    <w:rPr>
                      <w:rFonts w:hint="eastAsia"/>
                      <w:szCs w:val="22"/>
                      <w:lang w:eastAsia="zh-CN"/>
                    </w:rPr>
                    <w:t>二级活性炭</w:t>
                  </w:r>
                  <w:r>
                    <w:rPr>
                      <w:rFonts w:hint="default"/>
                      <w:szCs w:val="22"/>
                      <w:lang w:eastAsia="zh-CN"/>
                    </w:rPr>
                    <w:t>吸附装置”进行处理，达标后通过15米高排气筒排放</w:t>
                  </w:r>
                  <w:r>
                    <w:rPr>
                      <w:rFonts w:hint="default"/>
                      <w:szCs w:val="22"/>
                      <w:lang w:val="en-US" w:eastAsia="zh-CN"/>
                    </w:rPr>
                    <w:t>。</w:t>
                  </w:r>
                </w:p>
                <w:p w14:paraId="1A6CC001">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default"/>
                      <w:szCs w:val="22"/>
                      <w:lang w:val="en-US" w:eastAsia="zh-CN"/>
                    </w:rPr>
                    <w:t>2、项目不属于</w:t>
                  </w:r>
                  <w:r>
                    <w:rPr>
                      <w:rFonts w:hint="default"/>
                      <w:szCs w:val="22"/>
                    </w:rPr>
                    <w:t>木质家具制造行业</w:t>
                  </w:r>
                  <w:r>
                    <w:rPr>
                      <w:rFonts w:hint="default"/>
                      <w:szCs w:val="22"/>
                      <w:lang w:eastAsia="zh-CN"/>
                    </w:rPr>
                    <w:t>。</w:t>
                  </w:r>
                </w:p>
              </w:tc>
              <w:tc>
                <w:tcPr>
                  <w:tcW w:w="357" w:type="dxa"/>
                  <w:noWrap w:val="0"/>
                  <w:vAlign w:val="center"/>
                </w:tcPr>
                <w:p w14:paraId="6F6F2917">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default"/>
                      <w:szCs w:val="22"/>
                    </w:rPr>
                    <w:t>符合</w:t>
                  </w:r>
                </w:p>
              </w:tc>
            </w:tr>
            <w:tr w14:paraId="3EE8A8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1108" w:type="pct"/>
                  <w:noWrap w:val="0"/>
                  <w:vAlign w:val="center"/>
                </w:tcPr>
                <w:p w14:paraId="68FA6493">
                  <w:pPr>
                    <w:pStyle w:val="38"/>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rPr>
                    <w:t>《福建省</w:t>
                  </w:r>
                  <w:r>
                    <w:rPr>
                      <w:rFonts w:hint="eastAsia"/>
                      <w:szCs w:val="22"/>
                      <w:lang w:eastAsia="zh-CN"/>
                    </w:rPr>
                    <w:t>“</w:t>
                  </w:r>
                  <w:r>
                    <w:rPr>
                      <w:rFonts w:hint="eastAsia"/>
                      <w:szCs w:val="22"/>
                    </w:rPr>
                    <w:t>十四五</w:t>
                  </w:r>
                  <w:r>
                    <w:rPr>
                      <w:rFonts w:hint="eastAsia"/>
                      <w:szCs w:val="22"/>
                      <w:lang w:eastAsia="zh-CN"/>
                    </w:rPr>
                    <w:t>”</w:t>
                  </w:r>
                  <w:r>
                    <w:rPr>
                      <w:rFonts w:hint="eastAsia"/>
                      <w:szCs w:val="22"/>
                    </w:rPr>
                    <w:t>空气质量改善规划》</w:t>
                  </w:r>
                  <w:r>
                    <w:rPr>
                      <w:rFonts w:hint="eastAsia"/>
                      <w:szCs w:val="22"/>
                      <w:lang w:eastAsia="zh-CN"/>
                    </w:rPr>
                    <w:t>（</w:t>
                  </w:r>
                  <w:r>
                    <w:rPr>
                      <w:rFonts w:hint="eastAsia"/>
                      <w:szCs w:val="22"/>
                    </w:rPr>
                    <w:t>2022年</w:t>
                  </w:r>
                  <w:r>
                    <w:rPr>
                      <w:rFonts w:hint="eastAsia"/>
                      <w:szCs w:val="22"/>
                      <w:lang w:eastAsia="zh-CN"/>
                    </w:rPr>
                    <w:t>）</w:t>
                  </w:r>
                </w:p>
              </w:tc>
              <w:tc>
                <w:tcPr>
                  <w:tcW w:w="2143" w:type="pct"/>
                  <w:noWrap w:val="0"/>
                  <w:vAlign w:val="center"/>
                </w:tcPr>
                <w:p w14:paraId="4F730E22">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rPr>
                    <w:t>推广使用水性、高固体分、无溶剂、粉末等低</w:t>
                  </w:r>
                  <w:r>
                    <w:rPr>
                      <w:rFonts w:hint="eastAsia"/>
                      <w:szCs w:val="22"/>
                      <w:lang w:eastAsia="zh-CN"/>
                    </w:rPr>
                    <w:t>VOCs</w:t>
                  </w:r>
                  <w:r>
                    <w:rPr>
                      <w:rFonts w:hint="eastAsia"/>
                      <w:szCs w:val="22"/>
                    </w:rPr>
                    <w:t>含量涂料，木质家具制造、汽车零部件、工程机械使用比例达到50%以上；严格执行涂料、油墨、胶粘剂、清洗剂</w:t>
                  </w:r>
                  <w:r>
                    <w:rPr>
                      <w:rFonts w:hint="eastAsia"/>
                      <w:szCs w:val="22"/>
                      <w:lang w:eastAsia="zh-CN"/>
                    </w:rPr>
                    <w:t>VOCs</w:t>
                  </w:r>
                  <w:r>
                    <w:rPr>
                      <w:rFonts w:hint="eastAsia"/>
                      <w:szCs w:val="22"/>
                    </w:rPr>
                    <w:t>含量限值标准，加大抽检力度，确保生产、销售、进口、使用符合标准的产品。严格涉</w:t>
                  </w:r>
                  <w:r>
                    <w:rPr>
                      <w:rFonts w:hint="eastAsia"/>
                      <w:szCs w:val="22"/>
                      <w:lang w:eastAsia="zh-CN"/>
                    </w:rPr>
                    <w:t>VOCs</w:t>
                  </w:r>
                  <w:r>
                    <w:rPr>
                      <w:rFonts w:hint="eastAsia"/>
                      <w:szCs w:val="22"/>
                    </w:rPr>
                    <w:t>建设项目环境影响评价，</w:t>
                  </w:r>
                  <w:r>
                    <w:rPr>
                      <w:rFonts w:hint="eastAsia"/>
                      <w:szCs w:val="22"/>
                      <w:lang w:eastAsia="zh-CN"/>
                    </w:rPr>
                    <w:t>VOCs</w:t>
                  </w:r>
                  <w:r>
                    <w:rPr>
                      <w:rFonts w:hint="eastAsia"/>
                      <w:szCs w:val="22"/>
                    </w:rPr>
                    <w:t>排放实行区域内等量替代，福州、厦门、漳州、泉州、莆田、宁德实施</w:t>
                  </w:r>
                  <w:r>
                    <w:rPr>
                      <w:rFonts w:hint="eastAsia"/>
                      <w:szCs w:val="22"/>
                      <w:lang w:eastAsia="zh-CN"/>
                    </w:rPr>
                    <w:t>VOCs</w:t>
                  </w:r>
                  <w:r>
                    <w:rPr>
                      <w:rFonts w:hint="eastAsia"/>
                      <w:szCs w:val="22"/>
                    </w:rPr>
                    <w:t>倍量替代。</w:t>
                  </w:r>
                </w:p>
              </w:tc>
              <w:tc>
                <w:tcPr>
                  <w:tcW w:w="1479" w:type="pct"/>
                  <w:noWrap w:val="0"/>
                  <w:vAlign w:val="center"/>
                </w:tcPr>
                <w:p w14:paraId="0E799688">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rPr>
                    <w:t>项目</w:t>
                  </w:r>
                  <w:r>
                    <w:rPr>
                      <w:rFonts w:hint="eastAsia"/>
                      <w:szCs w:val="22"/>
                      <w:lang w:val="en-US" w:eastAsia="zh-CN"/>
                    </w:rPr>
                    <w:t>使用的</w:t>
                  </w:r>
                  <w:r>
                    <w:rPr>
                      <w:rFonts w:hint="eastAsia"/>
                      <w:szCs w:val="22"/>
                    </w:rPr>
                    <w:t>涂料满足</w:t>
                  </w:r>
                  <w:r>
                    <w:rPr>
                      <w:rFonts w:hint="default"/>
                      <w:color w:val="auto"/>
                      <w:szCs w:val="22"/>
                    </w:rPr>
                    <w:t>《工业防护涂料中有害物质限量》（GB 30981-2020）</w:t>
                  </w:r>
                  <w:r>
                    <w:rPr>
                      <w:rFonts w:hint="eastAsia"/>
                      <w:color w:val="auto"/>
                      <w:szCs w:val="22"/>
                      <w:lang w:val="en-US" w:eastAsia="zh-CN"/>
                    </w:rPr>
                    <w:t>表</w:t>
                  </w:r>
                  <w:r>
                    <w:rPr>
                      <w:rFonts w:hint="default"/>
                      <w:color w:val="auto"/>
                      <w:szCs w:val="22"/>
                    </w:rPr>
                    <w:t>2中</w:t>
                  </w:r>
                  <w:r>
                    <w:rPr>
                      <w:rFonts w:hint="eastAsia"/>
                      <w:color w:val="auto"/>
                      <w:szCs w:val="22"/>
                      <w:lang w:val="en-US" w:eastAsia="zh-CN"/>
                    </w:rPr>
                    <w:t>溶剂型涂层-机械和设备用涂料（含零部件涂料）面漆及</w:t>
                  </w:r>
                  <w:r>
                    <w:rPr>
                      <w:rFonts w:hint="default"/>
                      <w:color w:val="auto"/>
                      <w:szCs w:val="22"/>
                    </w:rPr>
                    <w:t>《低挥发性有机化合物含量涂料产品技术要求》（GB/T38597-2020）</w:t>
                  </w:r>
                  <w:r>
                    <w:rPr>
                      <w:rFonts w:hint="eastAsia"/>
                      <w:color w:val="auto"/>
                      <w:szCs w:val="22"/>
                      <w:lang w:val="en-US" w:eastAsia="zh-CN"/>
                    </w:rPr>
                    <w:t>表</w:t>
                  </w:r>
                  <w:r>
                    <w:rPr>
                      <w:rFonts w:hint="default"/>
                      <w:color w:val="auto"/>
                      <w:szCs w:val="22"/>
                    </w:rPr>
                    <w:t>2中</w:t>
                  </w:r>
                  <w:r>
                    <w:rPr>
                      <w:rFonts w:hint="eastAsia"/>
                      <w:color w:val="auto"/>
                      <w:szCs w:val="22"/>
                      <w:lang w:val="en-US" w:eastAsia="zh-CN"/>
                    </w:rPr>
                    <w:t>工业防护涂料 机械设备涂料 港口机械和化工机械</w:t>
                  </w:r>
                  <w:r>
                    <w:rPr>
                      <w:rFonts w:hint="eastAsia"/>
                      <w:szCs w:val="22"/>
                      <w:lang w:val="en-US" w:eastAsia="zh-CN"/>
                    </w:rPr>
                    <w:t>涂料（含零部件涂料）面漆</w:t>
                  </w:r>
                  <w:r>
                    <w:rPr>
                      <w:rFonts w:hint="eastAsia"/>
                      <w:szCs w:val="22"/>
                    </w:rPr>
                    <w:t>的要求，为低挥发性有机物原辅材料；项目排放的</w:t>
                  </w:r>
                  <w:r>
                    <w:rPr>
                      <w:rFonts w:hint="eastAsia"/>
                      <w:szCs w:val="22"/>
                      <w:lang w:eastAsia="zh-CN"/>
                    </w:rPr>
                    <w:t>VOCs</w:t>
                  </w:r>
                  <w:r>
                    <w:rPr>
                      <w:rFonts w:hint="eastAsia"/>
                      <w:szCs w:val="22"/>
                    </w:rPr>
                    <w:t>拟实行区域内倍量替代</w:t>
                  </w:r>
                  <w:r>
                    <w:rPr>
                      <w:rFonts w:hint="eastAsia"/>
                      <w:szCs w:val="22"/>
                      <w:lang w:eastAsia="zh-CN"/>
                    </w:rPr>
                    <w:t>。</w:t>
                  </w:r>
                </w:p>
              </w:tc>
              <w:tc>
                <w:tcPr>
                  <w:tcW w:w="268" w:type="pct"/>
                  <w:noWrap w:val="0"/>
                  <w:vAlign w:val="center"/>
                </w:tcPr>
                <w:p w14:paraId="5A190DB5">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eastAsia="zh-CN"/>
                    </w:rPr>
                    <w:t>符合</w:t>
                  </w:r>
                </w:p>
              </w:tc>
            </w:tr>
            <w:tr w14:paraId="79E064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1108" w:type="pct"/>
                  <w:noWrap w:val="0"/>
                  <w:vAlign w:val="center"/>
                </w:tcPr>
                <w:p w14:paraId="545D2C8A">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rPr>
                    <w:t>《</w:t>
                  </w:r>
                  <w:r>
                    <w:rPr>
                      <w:rFonts w:hint="default"/>
                      <w:szCs w:val="22"/>
                      <w:lang w:val="en-US" w:eastAsia="zh-CN"/>
                    </w:rPr>
                    <w:t>2022年度福州市蓝天碧海净土保卫战行动计划通知</w:t>
                  </w:r>
                  <w:r>
                    <w:rPr>
                      <w:rFonts w:hint="default"/>
                      <w:szCs w:val="22"/>
                    </w:rPr>
                    <w:t>》</w:t>
                  </w:r>
                  <w:r>
                    <w:rPr>
                      <w:rFonts w:hint="eastAsia"/>
                      <w:szCs w:val="22"/>
                      <w:lang w:eastAsia="zh-CN"/>
                    </w:rPr>
                    <w:t>（</w:t>
                  </w:r>
                  <w:r>
                    <w:rPr>
                      <w:rFonts w:hint="default"/>
                      <w:szCs w:val="22"/>
                      <w:lang w:eastAsia="zh-CN"/>
                    </w:rPr>
                    <w:t>榕环委办</w:t>
                  </w:r>
                  <w:r>
                    <w:rPr>
                      <w:rFonts w:hint="eastAsia"/>
                      <w:szCs w:val="22"/>
                      <w:lang w:eastAsia="zh-CN"/>
                    </w:rPr>
                    <w:t>〔2022〕49号）</w:t>
                  </w:r>
                </w:p>
              </w:tc>
              <w:tc>
                <w:tcPr>
                  <w:tcW w:w="2143" w:type="pct"/>
                  <w:noWrap w:val="0"/>
                  <w:vAlign w:val="center"/>
                </w:tcPr>
                <w:p w14:paraId="2C8D49F0">
                  <w:pPr>
                    <w:pStyle w:val="38"/>
                    <w:keepNext w:val="0"/>
                    <w:keepLines w:val="0"/>
                    <w:widowControl/>
                    <w:suppressLineNumbers w:val="0"/>
                    <w:bidi w:val="0"/>
                    <w:spacing w:before="0" w:beforeAutospacing="0" w:after="0" w:afterAutospacing="0"/>
                    <w:ind w:left="0" w:right="0"/>
                    <w:rPr>
                      <w:rFonts w:hint="eastAsia"/>
                      <w:szCs w:val="22"/>
                    </w:rPr>
                  </w:pPr>
                  <w:r>
                    <w:rPr>
                      <w:rFonts w:hint="default"/>
                      <w:szCs w:val="22"/>
                    </w:rPr>
                    <w:t>四是严格涉</w:t>
                  </w:r>
                  <w:r>
                    <w:rPr>
                      <w:rFonts w:hint="eastAsia"/>
                      <w:szCs w:val="22"/>
                      <w:lang w:eastAsia="zh-CN"/>
                    </w:rPr>
                    <w:t>VOCs</w:t>
                  </w:r>
                  <w:r>
                    <w:rPr>
                      <w:rFonts w:hint="default"/>
                      <w:szCs w:val="22"/>
                    </w:rPr>
                    <w:t>建设项目环境影响评价审批。新、改、扩建涉</w:t>
                  </w:r>
                  <w:r>
                    <w:rPr>
                      <w:rFonts w:hint="eastAsia"/>
                      <w:szCs w:val="22"/>
                      <w:lang w:eastAsia="zh-CN"/>
                    </w:rPr>
                    <w:t>VOCs</w:t>
                  </w:r>
                  <w:r>
                    <w:rPr>
                      <w:rFonts w:hint="default"/>
                      <w:szCs w:val="22"/>
                    </w:rPr>
                    <w:t>排放项目，应使用低</w:t>
                  </w:r>
                  <w:r>
                    <w:rPr>
                      <w:rFonts w:hint="eastAsia"/>
                      <w:szCs w:val="22"/>
                      <w:lang w:eastAsia="zh-CN"/>
                    </w:rPr>
                    <w:t>（</w:t>
                  </w:r>
                  <w:r>
                    <w:rPr>
                      <w:rFonts w:hint="default"/>
                      <w:szCs w:val="22"/>
                    </w:rPr>
                    <w:t>无</w:t>
                  </w:r>
                  <w:r>
                    <w:rPr>
                      <w:rFonts w:hint="eastAsia"/>
                      <w:szCs w:val="22"/>
                      <w:lang w:eastAsia="zh-CN"/>
                    </w:rPr>
                    <w:t>）VOCs</w:t>
                  </w:r>
                  <w:r>
                    <w:rPr>
                      <w:rFonts w:hint="default"/>
                      <w:szCs w:val="22"/>
                    </w:rPr>
                    <w:t>涂料、粘胶剂等，实施新建项目</w:t>
                  </w:r>
                  <w:r>
                    <w:rPr>
                      <w:rFonts w:hint="eastAsia"/>
                      <w:szCs w:val="22"/>
                      <w:lang w:eastAsia="zh-CN"/>
                    </w:rPr>
                    <w:t>VOCs</w:t>
                  </w:r>
                  <w:r>
                    <w:rPr>
                      <w:rFonts w:hint="default"/>
                      <w:szCs w:val="22"/>
                    </w:rPr>
                    <w:t>排放区域内1.2及以上倍量替代。</w:t>
                  </w:r>
                  <w:r>
                    <w:rPr>
                      <w:rFonts w:hint="eastAsia"/>
                      <w:szCs w:val="22"/>
                      <w:lang w:eastAsia="zh-CN"/>
                    </w:rPr>
                    <w:t>VOCs</w:t>
                  </w:r>
                  <w:r>
                    <w:rPr>
                      <w:rFonts w:hint="default"/>
                      <w:szCs w:val="22"/>
                    </w:rPr>
                    <w:t>年排放量大于5吨的新建项目投运前应安装</w:t>
                  </w:r>
                  <w:r>
                    <w:rPr>
                      <w:rFonts w:hint="eastAsia"/>
                      <w:szCs w:val="22"/>
                      <w:lang w:eastAsia="zh-CN"/>
                    </w:rPr>
                    <w:t>VOCs</w:t>
                  </w:r>
                  <w:r>
                    <w:rPr>
                      <w:rFonts w:hint="default"/>
                      <w:szCs w:val="22"/>
                    </w:rPr>
                    <w:t>在线监控设备，并接入市生态云平台。</w:t>
                  </w:r>
                </w:p>
              </w:tc>
              <w:tc>
                <w:tcPr>
                  <w:tcW w:w="1479" w:type="pct"/>
                  <w:noWrap w:val="0"/>
                  <w:vAlign w:val="center"/>
                </w:tcPr>
                <w:p w14:paraId="3B1B1FBA">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rPr>
                    <w:t>项目</w:t>
                  </w:r>
                  <w:r>
                    <w:rPr>
                      <w:rFonts w:hint="eastAsia"/>
                      <w:szCs w:val="22"/>
                      <w:lang w:eastAsia="zh-CN"/>
                    </w:rPr>
                    <w:t>使用低VOCs含量的原辅材料</w:t>
                  </w:r>
                  <w:r>
                    <w:rPr>
                      <w:rFonts w:hint="eastAsia"/>
                      <w:szCs w:val="22"/>
                    </w:rPr>
                    <w:t>；项目</w:t>
                  </w:r>
                  <w:r>
                    <w:rPr>
                      <w:rFonts w:hint="eastAsia"/>
                      <w:szCs w:val="22"/>
                      <w:lang w:eastAsia="zh-CN"/>
                    </w:rPr>
                    <w:t>VOCs</w:t>
                  </w:r>
                  <w:r>
                    <w:rPr>
                      <w:rFonts w:hint="eastAsia"/>
                      <w:szCs w:val="22"/>
                    </w:rPr>
                    <w:t>排放拟实行区域内倍量替代，项目</w:t>
                  </w:r>
                  <w:r>
                    <w:rPr>
                      <w:rFonts w:hint="eastAsia"/>
                      <w:szCs w:val="22"/>
                      <w:lang w:eastAsia="zh-CN"/>
                    </w:rPr>
                    <w:t>VOCs</w:t>
                  </w:r>
                  <w:r>
                    <w:rPr>
                      <w:rFonts w:hint="eastAsia"/>
                      <w:szCs w:val="22"/>
                    </w:rPr>
                    <w:t>年排放量远小于5吨，不需安装</w:t>
                  </w:r>
                  <w:r>
                    <w:rPr>
                      <w:rFonts w:hint="eastAsia"/>
                      <w:szCs w:val="22"/>
                      <w:lang w:eastAsia="zh-CN"/>
                    </w:rPr>
                    <w:t>VOCs</w:t>
                  </w:r>
                  <w:r>
                    <w:rPr>
                      <w:rFonts w:hint="eastAsia"/>
                      <w:szCs w:val="22"/>
                    </w:rPr>
                    <w:t>在线监控设备。</w:t>
                  </w:r>
                </w:p>
              </w:tc>
              <w:tc>
                <w:tcPr>
                  <w:tcW w:w="268" w:type="pct"/>
                  <w:noWrap w:val="0"/>
                  <w:vAlign w:val="center"/>
                </w:tcPr>
                <w:p w14:paraId="14E8E2C2">
                  <w:pPr>
                    <w:pStyle w:val="38"/>
                    <w:keepNext w:val="0"/>
                    <w:keepLines w:val="0"/>
                    <w:widowControl/>
                    <w:suppressLineNumbers w:val="0"/>
                    <w:bidi w:val="0"/>
                    <w:spacing w:before="0" w:beforeAutospacing="0" w:after="0" w:afterAutospacing="0"/>
                    <w:ind w:left="0" w:right="0"/>
                    <w:rPr>
                      <w:rFonts w:hint="eastAsia"/>
                      <w:szCs w:val="22"/>
                      <w:lang w:eastAsia="zh-CN"/>
                    </w:rPr>
                  </w:pPr>
                </w:p>
              </w:tc>
            </w:tr>
            <w:tr w14:paraId="0B0072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1108" w:type="pct"/>
                  <w:noWrap w:val="0"/>
                  <w:vAlign w:val="center"/>
                </w:tcPr>
                <w:p w14:paraId="2EF84A9D">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eastAsia="zh-CN"/>
                    </w:rPr>
                    <w:t>《</w:t>
                  </w:r>
                  <w:r>
                    <w:rPr>
                      <w:rFonts w:hint="eastAsia"/>
                      <w:szCs w:val="22"/>
                    </w:rPr>
                    <w:t>福州市</w:t>
                  </w:r>
                  <w:r>
                    <w:rPr>
                      <w:rFonts w:hint="eastAsia"/>
                      <w:szCs w:val="22"/>
                      <w:lang w:eastAsia="zh-CN"/>
                    </w:rPr>
                    <w:t>“</w:t>
                  </w:r>
                  <w:r>
                    <w:rPr>
                      <w:rFonts w:hint="eastAsia"/>
                      <w:szCs w:val="22"/>
                    </w:rPr>
                    <w:t>十四五</w:t>
                  </w:r>
                  <w:r>
                    <w:rPr>
                      <w:rFonts w:hint="eastAsia"/>
                      <w:szCs w:val="22"/>
                      <w:lang w:eastAsia="zh-CN"/>
                    </w:rPr>
                    <w:t>”</w:t>
                  </w:r>
                  <w:r>
                    <w:rPr>
                      <w:rFonts w:hint="eastAsia"/>
                      <w:szCs w:val="22"/>
                    </w:rPr>
                    <w:t>生态环境保护规划</w:t>
                  </w:r>
                  <w:r>
                    <w:rPr>
                      <w:rFonts w:hint="eastAsia"/>
                      <w:szCs w:val="22"/>
                      <w:lang w:eastAsia="zh-CN"/>
                    </w:rPr>
                    <w:t>》（</w:t>
                  </w:r>
                  <w:r>
                    <w:rPr>
                      <w:rFonts w:hint="eastAsia"/>
                      <w:szCs w:val="22"/>
                    </w:rPr>
                    <w:t>榕政办〔2021〕123 号</w:t>
                  </w:r>
                  <w:r>
                    <w:rPr>
                      <w:rFonts w:hint="eastAsia"/>
                      <w:szCs w:val="22"/>
                      <w:lang w:eastAsia="zh-CN"/>
                    </w:rPr>
                    <w:t>）</w:t>
                  </w:r>
                </w:p>
              </w:tc>
              <w:tc>
                <w:tcPr>
                  <w:tcW w:w="2143" w:type="pct"/>
                  <w:noWrap w:val="0"/>
                  <w:vAlign w:val="center"/>
                </w:tcPr>
                <w:p w14:paraId="0EA6730E">
                  <w:pPr>
                    <w:pStyle w:val="38"/>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rPr>
                    <w:t>强化挥发性有机物整治。</w:t>
                  </w:r>
                  <w:r>
                    <w:rPr>
                      <w:rFonts w:hint="default"/>
                      <w:szCs w:val="22"/>
                      <w:lang w:val="en-US" w:eastAsia="zh-CN"/>
                    </w:rPr>
                    <w:t>......</w:t>
                  </w:r>
                  <w:r>
                    <w:rPr>
                      <w:rFonts w:hint="eastAsia"/>
                      <w:szCs w:val="22"/>
                    </w:rPr>
                    <w:t>实行挥发性有机物排放倍量替代。加大涉</w:t>
                  </w:r>
                  <w:r>
                    <w:rPr>
                      <w:rFonts w:hint="eastAsia"/>
                      <w:szCs w:val="22"/>
                      <w:lang w:eastAsia="zh-CN"/>
                    </w:rPr>
                    <w:t>VOCs</w:t>
                  </w:r>
                  <w:r>
                    <w:rPr>
                      <w:rFonts w:hint="eastAsia"/>
                      <w:szCs w:val="22"/>
                    </w:rPr>
                    <w:t>企业源头替代力度，推广使用低</w:t>
                  </w:r>
                  <w:r>
                    <w:rPr>
                      <w:rFonts w:hint="eastAsia"/>
                      <w:szCs w:val="22"/>
                      <w:lang w:eastAsia="zh-CN"/>
                    </w:rPr>
                    <w:t>（</w:t>
                  </w:r>
                  <w:r>
                    <w:rPr>
                      <w:rFonts w:hint="eastAsia"/>
                      <w:szCs w:val="22"/>
                    </w:rPr>
                    <w:t>无</w:t>
                  </w:r>
                  <w:r>
                    <w:rPr>
                      <w:rFonts w:hint="eastAsia"/>
                      <w:szCs w:val="22"/>
                      <w:lang w:eastAsia="zh-CN"/>
                    </w:rPr>
                    <w:t>）VOCs</w:t>
                  </w:r>
                  <w:r>
                    <w:rPr>
                      <w:rFonts w:hint="eastAsia"/>
                      <w:szCs w:val="22"/>
                    </w:rPr>
                    <w:t>原辅材料替代，禁止生产高</w:t>
                  </w:r>
                  <w:r>
                    <w:rPr>
                      <w:rFonts w:hint="eastAsia"/>
                      <w:szCs w:val="22"/>
                      <w:lang w:eastAsia="zh-CN"/>
                    </w:rPr>
                    <w:t>VOCs</w:t>
                  </w:r>
                  <w:r>
                    <w:rPr>
                      <w:rFonts w:hint="eastAsia"/>
                      <w:szCs w:val="22"/>
                    </w:rPr>
                    <w:t>含量有机溶剂型涂料、油墨和胶黏剂的新、改、扩建项目，推进重点企业</w:t>
                  </w:r>
                  <w:r>
                    <w:rPr>
                      <w:rFonts w:hint="eastAsia"/>
                      <w:szCs w:val="22"/>
                      <w:lang w:eastAsia="zh-CN"/>
                    </w:rPr>
                    <w:t>“</w:t>
                  </w:r>
                  <w:r>
                    <w:rPr>
                      <w:rFonts w:hint="eastAsia"/>
                      <w:szCs w:val="22"/>
                    </w:rPr>
                    <w:t>油改水</w:t>
                  </w:r>
                  <w:r>
                    <w:rPr>
                      <w:rFonts w:hint="eastAsia"/>
                      <w:szCs w:val="22"/>
                      <w:lang w:eastAsia="zh-CN"/>
                    </w:rPr>
                    <w:t>”</w:t>
                  </w:r>
                  <w:r>
                    <w:rPr>
                      <w:rFonts w:hint="eastAsia"/>
                      <w:szCs w:val="22"/>
                    </w:rPr>
                    <w:t>治理，提高有机溶剂回收率。</w:t>
                  </w:r>
                </w:p>
              </w:tc>
              <w:tc>
                <w:tcPr>
                  <w:tcW w:w="1479" w:type="pct"/>
                  <w:noWrap w:val="0"/>
                  <w:vAlign w:val="center"/>
                </w:tcPr>
                <w:p w14:paraId="50AF3D28">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default"/>
                      <w:szCs w:val="22"/>
                      <w:lang w:val="en-US" w:eastAsia="zh-CN"/>
                    </w:rPr>
                    <w:t>项目排放的</w:t>
                  </w:r>
                  <w:r>
                    <w:rPr>
                      <w:rFonts w:hint="eastAsia"/>
                      <w:szCs w:val="22"/>
                      <w:lang w:val="en-US" w:eastAsia="zh-CN"/>
                    </w:rPr>
                    <w:t>VOCs</w:t>
                  </w:r>
                  <w:r>
                    <w:rPr>
                      <w:rFonts w:hint="default"/>
                      <w:szCs w:val="22"/>
                      <w:lang w:val="en-US" w:eastAsia="zh-CN"/>
                    </w:rPr>
                    <w:t>拟实行区域内倍量替代</w:t>
                  </w:r>
                  <w:r>
                    <w:rPr>
                      <w:rFonts w:hint="eastAsia"/>
                      <w:szCs w:val="22"/>
                      <w:lang w:val="en-US" w:eastAsia="zh-CN"/>
                    </w:rPr>
                    <w:t>；</w:t>
                  </w:r>
                  <w:r>
                    <w:rPr>
                      <w:rFonts w:hint="default"/>
                      <w:szCs w:val="22"/>
                      <w:lang w:val="en-US" w:eastAsia="zh-CN"/>
                    </w:rPr>
                    <w:t>项目仅涉及使用低</w:t>
                  </w:r>
                  <w:r>
                    <w:rPr>
                      <w:rFonts w:hint="eastAsia"/>
                      <w:szCs w:val="22"/>
                      <w:lang w:val="en-US" w:eastAsia="zh-CN"/>
                    </w:rPr>
                    <w:t>VOCs</w:t>
                  </w:r>
                  <w:r>
                    <w:rPr>
                      <w:rFonts w:hint="default"/>
                      <w:szCs w:val="22"/>
                      <w:lang w:val="en-US" w:eastAsia="zh-CN"/>
                    </w:rPr>
                    <w:t>含量的</w:t>
                  </w:r>
                  <w:r>
                    <w:rPr>
                      <w:rFonts w:hint="eastAsia"/>
                      <w:szCs w:val="22"/>
                      <w:lang w:val="en-US" w:eastAsia="zh-CN"/>
                    </w:rPr>
                    <w:t>原辅材料</w:t>
                  </w:r>
                  <w:r>
                    <w:rPr>
                      <w:rFonts w:hint="default"/>
                      <w:szCs w:val="22"/>
                      <w:lang w:val="en-US" w:eastAsia="zh-CN"/>
                    </w:rPr>
                    <w:t>，不涉及所需的</w:t>
                  </w:r>
                  <w:r>
                    <w:rPr>
                      <w:rFonts w:hint="eastAsia"/>
                      <w:szCs w:val="22"/>
                      <w:lang w:val="en-US" w:eastAsia="zh-CN"/>
                    </w:rPr>
                    <w:t>VOCs</w:t>
                  </w:r>
                  <w:r>
                    <w:rPr>
                      <w:rFonts w:hint="default"/>
                      <w:szCs w:val="22"/>
                      <w:lang w:val="en-US" w:eastAsia="zh-CN"/>
                    </w:rPr>
                    <w:t>原料的生产，全部外购。</w:t>
                  </w:r>
                </w:p>
              </w:tc>
              <w:tc>
                <w:tcPr>
                  <w:tcW w:w="268" w:type="pct"/>
                  <w:noWrap w:val="0"/>
                  <w:vAlign w:val="center"/>
                </w:tcPr>
                <w:p w14:paraId="3793DC13">
                  <w:pPr>
                    <w:pStyle w:val="38"/>
                    <w:keepNext w:val="0"/>
                    <w:keepLines w:val="0"/>
                    <w:widowControl/>
                    <w:suppressLineNumbers w:val="0"/>
                    <w:bidi w:val="0"/>
                    <w:spacing w:before="0" w:beforeAutospacing="0" w:after="0" w:afterAutospacing="0"/>
                    <w:ind w:left="0" w:right="0"/>
                    <w:rPr>
                      <w:rFonts w:hint="eastAsia"/>
                      <w:szCs w:val="22"/>
                      <w:lang w:eastAsia="zh-CN"/>
                    </w:rPr>
                  </w:pPr>
                </w:p>
              </w:tc>
            </w:tr>
            <w:tr w14:paraId="09A32E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874" w:hRule="atLeast"/>
                <w:jc w:val="center"/>
              </w:trPr>
              <w:tc>
                <w:tcPr>
                  <w:tcW w:w="1108" w:type="pct"/>
                  <w:noWrap w:val="0"/>
                  <w:vAlign w:val="center"/>
                </w:tcPr>
                <w:p w14:paraId="6BF81CD3">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rPr>
                    <w:t>《关于开展福州市重点行业挥发性有机物综合治理工作（</w:t>
                  </w:r>
                  <w:r>
                    <w:rPr>
                      <w:rFonts w:hint="eastAsia"/>
                      <w:szCs w:val="22"/>
                      <w:lang w:eastAsia="zh-CN"/>
                    </w:rPr>
                    <w:t>VOCs</w:t>
                  </w:r>
                  <w:r>
                    <w:rPr>
                      <w:rFonts w:hint="eastAsia"/>
                      <w:szCs w:val="22"/>
                    </w:rPr>
                    <w:t>2.0）》</w:t>
                  </w:r>
                  <w:r>
                    <w:rPr>
                      <w:rFonts w:hint="eastAsia"/>
                      <w:szCs w:val="22"/>
                      <w:lang w:eastAsia="zh-CN"/>
                    </w:rPr>
                    <w:t>（</w:t>
                  </w:r>
                  <w:r>
                    <w:rPr>
                      <w:rFonts w:hint="eastAsia"/>
                      <w:szCs w:val="22"/>
                    </w:rPr>
                    <w:t>榕环保综</w:t>
                  </w:r>
                  <w:r>
                    <w:rPr>
                      <w:rFonts w:hint="eastAsia"/>
                      <w:szCs w:val="22"/>
                      <w:lang w:eastAsia="zh-CN"/>
                    </w:rPr>
                    <w:t>〔2021〕100号）</w:t>
                  </w:r>
                </w:p>
              </w:tc>
              <w:tc>
                <w:tcPr>
                  <w:tcW w:w="2143" w:type="pct"/>
                  <w:noWrap w:val="0"/>
                  <w:vAlign w:val="center"/>
                </w:tcPr>
                <w:p w14:paraId="1B78EBFB">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（三）严格审批，加强管控</w:t>
                  </w:r>
                </w:p>
                <w:p w14:paraId="66343D7E">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1.严格涉挥发性有机物建设项目环境影响评价审批。新、改、扩建排放挥发性有机物的建设项目实行倍量替代。鼓励使用低（无）挥发性有机物含量的原辅材料</w:t>
                  </w:r>
                </w:p>
              </w:tc>
              <w:tc>
                <w:tcPr>
                  <w:tcW w:w="1479" w:type="pct"/>
                  <w:noWrap w:val="0"/>
                  <w:vAlign w:val="center"/>
                </w:tcPr>
                <w:p w14:paraId="5022DCE3">
                  <w:pPr>
                    <w:pStyle w:val="38"/>
                    <w:keepNext w:val="0"/>
                    <w:keepLines w:val="0"/>
                    <w:widowControl/>
                    <w:suppressLineNumbers w:val="0"/>
                    <w:bidi w:val="0"/>
                    <w:spacing w:before="0" w:beforeAutospacing="0" w:after="0" w:afterAutospacing="0"/>
                    <w:ind w:left="0" w:right="0"/>
                    <w:jc w:val="both"/>
                    <w:rPr>
                      <w:rFonts w:hint="default"/>
                      <w:szCs w:val="22"/>
                      <w:lang w:val="en-US" w:eastAsia="zh-CN"/>
                    </w:rPr>
                  </w:pPr>
                  <w:r>
                    <w:rPr>
                      <w:rFonts w:hint="default"/>
                      <w:szCs w:val="22"/>
                      <w:lang w:val="en-US" w:eastAsia="zh-CN"/>
                    </w:rPr>
                    <w:t>项目使用低</w:t>
                  </w:r>
                  <w:r>
                    <w:rPr>
                      <w:rFonts w:hint="eastAsia"/>
                      <w:szCs w:val="22"/>
                      <w:lang w:val="en-US" w:eastAsia="zh-CN"/>
                    </w:rPr>
                    <w:t>VOCs</w:t>
                  </w:r>
                  <w:r>
                    <w:rPr>
                      <w:rFonts w:hint="default"/>
                      <w:szCs w:val="22"/>
                      <w:lang w:val="en-US" w:eastAsia="zh-CN"/>
                    </w:rPr>
                    <w:t>含量的</w:t>
                  </w:r>
                  <w:r>
                    <w:rPr>
                      <w:rFonts w:hint="eastAsia"/>
                      <w:szCs w:val="22"/>
                      <w:lang w:val="en-US" w:eastAsia="zh-CN"/>
                    </w:rPr>
                    <w:t>原辅材料</w:t>
                  </w:r>
                  <w:r>
                    <w:rPr>
                      <w:rFonts w:hint="default"/>
                      <w:szCs w:val="22"/>
                      <w:lang w:val="en-US" w:eastAsia="zh-CN"/>
                    </w:rPr>
                    <w:t>，</w:t>
                  </w:r>
                  <w:r>
                    <w:rPr>
                      <w:rFonts w:hint="eastAsia"/>
                      <w:szCs w:val="22"/>
                    </w:rPr>
                    <w:t>项目</w:t>
                  </w:r>
                  <w:r>
                    <w:rPr>
                      <w:rFonts w:hint="eastAsia"/>
                      <w:szCs w:val="22"/>
                      <w:lang w:eastAsia="zh-CN"/>
                    </w:rPr>
                    <w:t>VOCs</w:t>
                  </w:r>
                  <w:r>
                    <w:rPr>
                      <w:rFonts w:hint="eastAsia"/>
                      <w:szCs w:val="22"/>
                    </w:rPr>
                    <w:t>排放拟实行区域内倍量替代</w:t>
                  </w:r>
                  <w:r>
                    <w:rPr>
                      <w:rFonts w:hint="default"/>
                      <w:szCs w:val="22"/>
                      <w:lang w:val="en-US" w:eastAsia="zh-CN"/>
                    </w:rPr>
                    <w:t>。</w:t>
                  </w:r>
                </w:p>
              </w:tc>
              <w:tc>
                <w:tcPr>
                  <w:tcW w:w="268" w:type="pct"/>
                  <w:noWrap w:val="0"/>
                  <w:vAlign w:val="center"/>
                </w:tcPr>
                <w:p w14:paraId="4B4FEB23">
                  <w:pPr>
                    <w:pStyle w:val="38"/>
                    <w:keepNext w:val="0"/>
                    <w:keepLines w:val="0"/>
                    <w:widowControl/>
                    <w:suppressLineNumbers w:val="0"/>
                    <w:bidi w:val="0"/>
                    <w:spacing w:before="0" w:beforeAutospacing="0" w:after="0" w:afterAutospacing="0"/>
                    <w:ind w:left="0" w:right="0"/>
                    <w:rPr>
                      <w:rFonts w:hint="eastAsia"/>
                      <w:szCs w:val="22"/>
                      <w:lang w:eastAsia="zh-CN"/>
                    </w:rPr>
                  </w:pPr>
                </w:p>
              </w:tc>
            </w:tr>
            <w:tr w14:paraId="6D35FA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1108" w:type="pct"/>
                  <w:noWrap w:val="0"/>
                  <w:vAlign w:val="center"/>
                </w:tcPr>
                <w:p w14:paraId="1956063C">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rPr>
                    <w:t>《福建省2020年挥发性有机物治理攻坚实施方案》的通知（闽环保大气〔2020〕6号）</w:t>
                  </w:r>
                </w:p>
              </w:tc>
              <w:tc>
                <w:tcPr>
                  <w:tcW w:w="2143" w:type="pct"/>
                  <w:noWrap w:val="0"/>
                  <w:vAlign w:val="center"/>
                </w:tcPr>
                <w:p w14:paraId="7EB8FBF9">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eastAsia="zh-CN"/>
                    </w:rPr>
                    <w:t>（</w:t>
                  </w:r>
                  <w:r>
                    <w:rPr>
                      <w:rFonts w:hint="eastAsia"/>
                      <w:szCs w:val="22"/>
                      <w:lang w:val="en-US" w:eastAsia="zh-CN"/>
                    </w:rPr>
                    <w:t>1</w:t>
                  </w:r>
                  <w:r>
                    <w:rPr>
                      <w:rFonts w:hint="eastAsia"/>
                      <w:szCs w:val="22"/>
                      <w:lang w:eastAsia="zh-CN"/>
                    </w:rPr>
                    <w:t>）</w:t>
                  </w:r>
                  <w:r>
                    <w:rPr>
                      <w:rFonts w:hint="eastAsia"/>
                      <w:szCs w:val="22"/>
                    </w:rPr>
                    <w:t>大力推进源头替代，有效减少</w:t>
                  </w:r>
                  <w:r>
                    <w:rPr>
                      <w:rFonts w:hint="eastAsia"/>
                      <w:szCs w:val="22"/>
                      <w:lang w:eastAsia="zh-CN"/>
                    </w:rPr>
                    <w:t>VOCs</w:t>
                  </w:r>
                  <w:r>
                    <w:rPr>
                      <w:rFonts w:hint="eastAsia"/>
                      <w:szCs w:val="22"/>
                    </w:rPr>
                    <w:t>产生；</w:t>
                  </w:r>
                </w:p>
                <w:p w14:paraId="1E8FABDF">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（2）全面落实标准要求，强化无组织排放控制。加强含</w:t>
                  </w:r>
                  <w:r>
                    <w:rPr>
                      <w:rFonts w:hint="eastAsia"/>
                      <w:szCs w:val="22"/>
                      <w:lang w:eastAsia="zh-CN"/>
                    </w:rPr>
                    <w:t>VOCs</w:t>
                  </w:r>
                  <w:r>
                    <w:rPr>
                      <w:rFonts w:hint="eastAsia"/>
                      <w:szCs w:val="22"/>
                    </w:rPr>
                    <w:t>物料全方位、全链条、全环节密闭管理........。生产和使用环节应采用密闭设备，或在密闭空间中操作并有效收集废气，或进行局部气体收集；处置环节应将盛装过</w:t>
                  </w:r>
                  <w:r>
                    <w:rPr>
                      <w:rFonts w:hint="eastAsia"/>
                      <w:szCs w:val="22"/>
                      <w:lang w:eastAsia="zh-CN"/>
                    </w:rPr>
                    <w:t>VOCs</w:t>
                  </w:r>
                  <w:r>
                    <w:rPr>
                      <w:rFonts w:hint="eastAsia"/>
                      <w:szCs w:val="22"/>
                    </w:rPr>
                    <w:t>物料的包装容器、含</w:t>
                  </w:r>
                  <w:r>
                    <w:rPr>
                      <w:rFonts w:hint="eastAsia"/>
                      <w:szCs w:val="22"/>
                      <w:lang w:eastAsia="zh-CN"/>
                    </w:rPr>
                    <w:t>VOCs</w:t>
                  </w:r>
                  <w:r>
                    <w:rPr>
                      <w:rFonts w:hint="eastAsia"/>
                      <w:szCs w:val="22"/>
                    </w:rPr>
                    <w:t>废料（渣、液）、废吸附剂等通过加盖、封装等方式密闭，妥善存放，集中清运，交有资质的单位处置，不得随意丢弃；</w:t>
                  </w:r>
                </w:p>
                <w:p w14:paraId="053AC336">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（3）聚焦治污设施</w:t>
                  </w:r>
                  <w:r>
                    <w:rPr>
                      <w:rFonts w:hint="eastAsia"/>
                      <w:szCs w:val="22"/>
                      <w:lang w:eastAsia="zh-CN"/>
                    </w:rPr>
                    <w:t>“</w:t>
                  </w:r>
                  <w:r>
                    <w:rPr>
                      <w:rFonts w:hint="eastAsia"/>
                      <w:szCs w:val="22"/>
                    </w:rPr>
                    <w:t>三率</w:t>
                  </w:r>
                  <w:r>
                    <w:rPr>
                      <w:rFonts w:hint="eastAsia"/>
                      <w:szCs w:val="22"/>
                      <w:lang w:eastAsia="zh-CN"/>
                    </w:rPr>
                    <w:t>”</w:t>
                  </w:r>
                  <w:r>
                    <w:rPr>
                      <w:rFonts w:hint="eastAsia"/>
                      <w:szCs w:val="22"/>
                    </w:rPr>
                    <w:t>，提升综合治理效率。......除恶臭异味治理外，一般不采用低温等离子、光催化、光氧化等技术。优先采用密闭设备、在密闭空间中操作或采用全密闭集气罩收集方式；</w:t>
                  </w:r>
                  <w:r>
                    <w:rPr>
                      <w:rFonts w:hint="eastAsia"/>
                      <w:szCs w:val="22"/>
                      <w:lang w:eastAsia="zh-CN"/>
                    </w:rPr>
                    <w:t>……</w:t>
                  </w:r>
                  <w:r>
                    <w:rPr>
                      <w:rFonts w:hint="eastAsia"/>
                      <w:szCs w:val="22"/>
                    </w:rPr>
                    <w:t>采用活性炭吸附技术的，应选择碘值不低于800毫克/克的活性炭，并按设计要求足量添加</w:t>
                  </w:r>
                  <w:r>
                    <w:rPr>
                      <w:rFonts w:hint="eastAsia"/>
                      <w:szCs w:val="22"/>
                      <w:lang w:eastAsia="zh-CN"/>
                    </w:rPr>
                    <w:t>及</w:t>
                  </w:r>
                  <w:r>
                    <w:rPr>
                      <w:rFonts w:hint="eastAsia"/>
                      <w:szCs w:val="22"/>
                    </w:rPr>
                    <w:t>时更换。</w:t>
                  </w:r>
                </w:p>
              </w:tc>
              <w:tc>
                <w:tcPr>
                  <w:tcW w:w="1479" w:type="pct"/>
                  <w:noWrap w:val="0"/>
                  <w:vAlign w:val="center"/>
                </w:tcPr>
                <w:p w14:paraId="20E49855">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（1）项目使用低VOCs原辅料；常温下不产生VOCs。</w:t>
                  </w:r>
                </w:p>
                <w:p w14:paraId="65A58358">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val="en-US" w:eastAsia="zh-CN"/>
                    </w:rPr>
                    <w:t>（2）</w:t>
                  </w:r>
                  <w:r>
                    <w:rPr>
                      <w:rFonts w:hint="default"/>
                      <w:szCs w:val="22"/>
                      <w:lang w:val="en-US" w:eastAsia="zh-CN"/>
                    </w:rPr>
                    <w:t>项目</w:t>
                  </w:r>
                  <w:r>
                    <w:rPr>
                      <w:rFonts w:hint="eastAsia"/>
                      <w:szCs w:val="22"/>
                      <w:lang w:val="en-US" w:eastAsia="zh-CN"/>
                    </w:rPr>
                    <w:t>水性漆及油性漆采</w:t>
                  </w:r>
                  <w:r>
                    <w:rPr>
                      <w:rFonts w:hint="eastAsia"/>
                      <w:szCs w:val="22"/>
                      <w:highlight w:val="none"/>
                      <w:lang w:val="en-US" w:eastAsia="zh-CN"/>
                    </w:rPr>
                    <w:t>用密闭桶装暂存</w:t>
                  </w:r>
                  <w:r>
                    <w:rPr>
                      <w:rFonts w:hint="default"/>
                      <w:szCs w:val="22"/>
                      <w:highlight w:val="none"/>
                      <w:lang w:val="en-US" w:eastAsia="zh-CN"/>
                    </w:rPr>
                    <w:t>；</w:t>
                  </w:r>
                  <w:r>
                    <w:rPr>
                      <w:rFonts w:hint="eastAsia"/>
                      <w:szCs w:val="22"/>
                      <w:highlight w:val="none"/>
                      <w:lang w:val="en-US" w:eastAsia="zh-CN"/>
                    </w:rPr>
                    <w:t>项目喷漆、烘干、加烤工序车间密闭负压收集废气，收集效率90%，拟将更换的废活性炭及过滤棉当作</w:t>
                  </w:r>
                  <w:r>
                    <w:rPr>
                      <w:rFonts w:hint="eastAsia"/>
                      <w:szCs w:val="22"/>
                      <w:lang w:val="en-US" w:eastAsia="zh-CN"/>
                    </w:rPr>
                    <w:t>危险废物，</w:t>
                  </w:r>
                  <w:r>
                    <w:rPr>
                      <w:rFonts w:hint="default"/>
                      <w:szCs w:val="22"/>
                      <w:lang w:val="en-US" w:eastAsia="zh-CN"/>
                    </w:rPr>
                    <w:t>密闭暂存于</w:t>
                  </w:r>
                  <w:r>
                    <w:rPr>
                      <w:rFonts w:hint="eastAsia"/>
                      <w:szCs w:val="22"/>
                      <w:lang w:val="en-US" w:eastAsia="zh-CN"/>
                    </w:rPr>
                    <w:t>危险废物贮存库</w:t>
                  </w:r>
                  <w:r>
                    <w:rPr>
                      <w:rFonts w:hint="default"/>
                      <w:szCs w:val="22"/>
                      <w:lang w:val="en-US" w:eastAsia="zh-CN"/>
                    </w:rPr>
                    <w:t>内</w:t>
                  </w:r>
                  <w:r>
                    <w:rPr>
                      <w:rFonts w:hint="eastAsia"/>
                      <w:szCs w:val="22"/>
                      <w:lang w:val="en-US" w:eastAsia="zh-CN"/>
                    </w:rPr>
                    <w:t>，定期委托有资质单位统一处置；（3）</w:t>
                  </w:r>
                  <w:r>
                    <w:rPr>
                      <w:rFonts w:hint="eastAsia"/>
                      <w:szCs w:val="22"/>
                      <w:highlight w:val="none"/>
                    </w:rPr>
                    <w:t>项目烘干废气及加烤废气各自经密闭管道集气收集，然后与经水帘柜净化后的喷漆废气一起并入</w:t>
                  </w:r>
                  <w:r>
                    <w:rPr>
                      <w:rFonts w:hint="eastAsia"/>
                      <w:szCs w:val="22"/>
                      <w:highlight w:val="none"/>
                      <w:lang w:eastAsia="zh-CN"/>
                    </w:rPr>
                    <w:t>“</w:t>
                  </w:r>
                  <w:r>
                    <w:rPr>
                      <w:rFonts w:hint="eastAsia"/>
                      <w:szCs w:val="22"/>
                      <w:highlight w:val="none"/>
                    </w:rPr>
                    <w:t>过滤棉+</w:t>
                  </w:r>
                  <w:r>
                    <w:rPr>
                      <w:rFonts w:hint="eastAsia"/>
                      <w:szCs w:val="22"/>
                      <w:highlight w:val="none"/>
                      <w:lang w:eastAsia="zh-CN"/>
                    </w:rPr>
                    <w:t>二级活性炭</w:t>
                  </w:r>
                  <w:r>
                    <w:rPr>
                      <w:rFonts w:hint="eastAsia"/>
                      <w:szCs w:val="22"/>
                      <w:highlight w:val="none"/>
                    </w:rPr>
                    <w:t>吸附装置</w:t>
                  </w:r>
                  <w:r>
                    <w:rPr>
                      <w:rFonts w:hint="eastAsia"/>
                      <w:szCs w:val="22"/>
                      <w:highlight w:val="none"/>
                      <w:lang w:eastAsia="zh-CN"/>
                    </w:rPr>
                    <w:t>”处理</w:t>
                  </w:r>
                  <w:r>
                    <w:rPr>
                      <w:rFonts w:hint="eastAsia"/>
                      <w:szCs w:val="22"/>
                      <w:highlight w:val="none"/>
                    </w:rPr>
                    <w:t>后</w:t>
                  </w:r>
                  <w:r>
                    <w:rPr>
                      <w:rFonts w:hint="eastAsia"/>
                      <w:szCs w:val="22"/>
                      <w:highlight w:val="none"/>
                      <w:lang w:eastAsia="zh-CN"/>
                    </w:rPr>
                    <w:t>达标排放</w:t>
                  </w:r>
                  <w:r>
                    <w:rPr>
                      <w:rFonts w:hint="eastAsia"/>
                      <w:szCs w:val="22"/>
                      <w:lang w:val="en-US" w:eastAsia="zh-CN"/>
                    </w:rPr>
                    <w:t>，</w:t>
                  </w:r>
                  <w:r>
                    <w:rPr>
                      <w:rFonts w:hint="eastAsia"/>
                      <w:szCs w:val="22"/>
                    </w:rPr>
                    <w:t>项目生产设备除进出料口全部密闭，</w:t>
                  </w:r>
                  <w:r>
                    <w:rPr>
                      <w:rFonts w:hint="eastAsia"/>
                      <w:szCs w:val="22"/>
                      <w:lang w:val="en-US" w:eastAsia="zh-CN"/>
                    </w:rPr>
                    <w:t>VOCs采用集气罩收集，采用碘值不低于800毫克/克的活性炭，并定期更换</w:t>
                  </w:r>
                  <w:r>
                    <w:rPr>
                      <w:rFonts w:hint="eastAsia"/>
                      <w:szCs w:val="22"/>
                    </w:rPr>
                    <w:t>。</w:t>
                  </w:r>
                </w:p>
              </w:tc>
              <w:tc>
                <w:tcPr>
                  <w:tcW w:w="268" w:type="pct"/>
                  <w:noWrap w:val="0"/>
                  <w:vAlign w:val="center"/>
                </w:tcPr>
                <w:p w14:paraId="249F94EB">
                  <w:pPr>
                    <w:pStyle w:val="38"/>
                    <w:keepNext w:val="0"/>
                    <w:keepLines w:val="0"/>
                    <w:widowControl/>
                    <w:suppressLineNumbers w:val="0"/>
                    <w:bidi w:val="0"/>
                    <w:spacing w:before="0" w:beforeAutospacing="0" w:after="0" w:afterAutospacing="0"/>
                    <w:ind w:left="0" w:right="0"/>
                    <w:rPr>
                      <w:rFonts w:hint="eastAsia"/>
                      <w:szCs w:val="22"/>
                      <w:lang w:eastAsia="zh-CN"/>
                    </w:rPr>
                  </w:pPr>
                </w:p>
              </w:tc>
            </w:tr>
            <w:tr w14:paraId="63CD31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1108" w:type="pct"/>
                  <w:noWrap w:val="0"/>
                  <w:vAlign w:val="center"/>
                </w:tcPr>
                <w:p w14:paraId="28977B8C">
                  <w:pPr>
                    <w:pStyle w:val="38"/>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福建省重点行业挥发性有机物污染防治工作方案</w:t>
                  </w:r>
                  <w:r>
                    <w:rPr>
                      <w:rFonts w:hint="eastAsia"/>
                      <w:szCs w:val="22"/>
                      <w:lang w:val="en-US" w:eastAsia="zh-CN"/>
                    </w:rPr>
                    <w:t>（</w:t>
                  </w:r>
                  <w:r>
                    <w:rPr>
                      <w:rFonts w:hint="default"/>
                      <w:szCs w:val="22"/>
                      <w:lang w:val="en-US" w:eastAsia="zh-CN"/>
                    </w:rPr>
                    <w:t>闽环保大气〔2017〕6号</w:t>
                  </w:r>
                  <w:r>
                    <w:rPr>
                      <w:rFonts w:hint="eastAsia"/>
                      <w:szCs w:val="22"/>
                      <w:lang w:val="en-US" w:eastAsia="zh-CN"/>
                    </w:rPr>
                    <w:t>）</w:t>
                  </w:r>
                </w:p>
              </w:tc>
              <w:tc>
                <w:tcPr>
                  <w:tcW w:w="2143" w:type="pct"/>
                  <w:noWrap w:val="0"/>
                  <w:vAlign w:val="center"/>
                </w:tcPr>
                <w:p w14:paraId="170988DF">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二、主要任务</w:t>
                  </w:r>
                </w:p>
                <w:p w14:paraId="606DC811">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（一）严格环境准入</w:t>
                  </w:r>
                </w:p>
                <w:p w14:paraId="26DC98C9">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进一步提高行业准入门槛，严格控制新增污染物排放量。严格限制石化、化工、包装印刷、工业涂装等高</w:t>
                  </w:r>
                  <w:r>
                    <w:rPr>
                      <w:rFonts w:hint="eastAsia"/>
                      <w:szCs w:val="22"/>
                      <w:lang w:eastAsia="zh-CN"/>
                    </w:rPr>
                    <w:t>VOCs</w:t>
                  </w:r>
                  <w:r>
                    <w:rPr>
                      <w:rFonts w:hint="eastAsia"/>
                      <w:szCs w:val="22"/>
                    </w:rPr>
                    <w:t>排放建设项目。新改扩建项目要使用低</w:t>
                  </w:r>
                  <w:r>
                    <w:rPr>
                      <w:rFonts w:hint="eastAsia"/>
                      <w:szCs w:val="22"/>
                      <w:lang w:eastAsia="zh-CN"/>
                    </w:rPr>
                    <w:t>VOCs</w:t>
                  </w:r>
                  <w:r>
                    <w:rPr>
                      <w:rFonts w:hint="eastAsia"/>
                      <w:szCs w:val="22"/>
                    </w:rPr>
                    <w:t>含量原辅材料，采取密闭措施，加强废气收集，配套安装高效治理设施，减少污染排放。淘汰国家及地方明令禁止的落后工艺和设备。</w:t>
                  </w:r>
                </w:p>
                <w:p w14:paraId="03D47B1C">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（二）大力推进清洁生产</w:t>
                  </w:r>
                </w:p>
                <w:p w14:paraId="66EFC8C2">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……在重点行业大力倡导环境标志产品生产及使用，尤其是水性涂料的生产和使用，从源头控制</w:t>
                  </w:r>
                  <w:r>
                    <w:rPr>
                      <w:rFonts w:hint="eastAsia"/>
                      <w:szCs w:val="22"/>
                      <w:lang w:eastAsia="zh-CN"/>
                    </w:rPr>
                    <w:t>VOCs</w:t>
                  </w:r>
                  <w:r>
                    <w:rPr>
                      <w:rFonts w:hint="eastAsia"/>
                      <w:szCs w:val="22"/>
                    </w:rPr>
                    <w:t>排放。</w:t>
                  </w:r>
                </w:p>
              </w:tc>
              <w:tc>
                <w:tcPr>
                  <w:tcW w:w="1479" w:type="pct"/>
                  <w:noWrap w:val="0"/>
                  <w:vAlign w:val="center"/>
                </w:tcPr>
                <w:p w14:paraId="14C1FE1A">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eastAsia="zh-CN"/>
                    </w:rPr>
                    <w:t>本项目使用</w:t>
                  </w:r>
                  <w:r>
                    <w:rPr>
                      <w:rFonts w:hint="eastAsia"/>
                      <w:szCs w:val="22"/>
                    </w:rPr>
                    <w:t>低</w:t>
                  </w:r>
                  <w:r>
                    <w:rPr>
                      <w:rFonts w:hint="eastAsia"/>
                      <w:szCs w:val="22"/>
                      <w:lang w:eastAsia="zh-CN"/>
                    </w:rPr>
                    <w:t>VOCs</w:t>
                  </w:r>
                  <w:r>
                    <w:rPr>
                      <w:rFonts w:hint="eastAsia"/>
                      <w:szCs w:val="22"/>
                    </w:rPr>
                    <w:t>含量原</w:t>
                  </w:r>
                  <w:r>
                    <w:rPr>
                      <w:rFonts w:hint="eastAsia"/>
                      <w:szCs w:val="22"/>
                      <w:highlight w:val="none"/>
                    </w:rPr>
                    <w:t>辅材料</w:t>
                  </w:r>
                  <w:r>
                    <w:rPr>
                      <w:rFonts w:hint="eastAsia"/>
                      <w:szCs w:val="22"/>
                      <w:highlight w:val="none"/>
                      <w:lang w:eastAsia="zh-CN"/>
                    </w:rPr>
                    <w:t>且使用量较少，</w:t>
                  </w:r>
                  <w:r>
                    <w:rPr>
                      <w:rFonts w:hint="eastAsia"/>
                      <w:szCs w:val="22"/>
                      <w:highlight w:val="none"/>
                    </w:rPr>
                    <w:t>项目烘干废气及加烤废气各自经密闭管道集气收集，然后与经水帘柜净化后的喷漆废气一起并入</w:t>
                  </w:r>
                  <w:r>
                    <w:rPr>
                      <w:rFonts w:hint="eastAsia"/>
                      <w:szCs w:val="22"/>
                      <w:highlight w:val="none"/>
                      <w:lang w:eastAsia="zh-CN"/>
                    </w:rPr>
                    <w:t>“</w:t>
                  </w:r>
                  <w:r>
                    <w:rPr>
                      <w:rFonts w:hint="eastAsia"/>
                      <w:szCs w:val="22"/>
                      <w:highlight w:val="none"/>
                    </w:rPr>
                    <w:t>过滤棉+</w:t>
                  </w:r>
                  <w:r>
                    <w:rPr>
                      <w:rFonts w:hint="eastAsia"/>
                      <w:szCs w:val="22"/>
                      <w:highlight w:val="none"/>
                      <w:lang w:eastAsia="zh-CN"/>
                    </w:rPr>
                    <w:t>二级活性炭</w:t>
                  </w:r>
                  <w:r>
                    <w:rPr>
                      <w:rFonts w:hint="eastAsia"/>
                      <w:szCs w:val="22"/>
                      <w:highlight w:val="none"/>
                    </w:rPr>
                    <w:t>吸附装置</w:t>
                  </w:r>
                  <w:r>
                    <w:rPr>
                      <w:rFonts w:hint="eastAsia"/>
                      <w:szCs w:val="22"/>
                      <w:highlight w:val="none"/>
                      <w:lang w:eastAsia="zh-CN"/>
                    </w:rPr>
                    <w:t>”处理</w:t>
                  </w:r>
                  <w:r>
                    <w:rPr>
                      <w:rFonts w:hint="eastAsia"/>
                      <w:szCs w:val="22"/>
                      <w:highlight w:val="none"/>
                    </w:rPr>
                    <w:t>后</w:t>
                  </w:r>
                  <w:r>
                    <w:rPr>
                      <w:rFonts w:hint="eastAsia"/>
                      <w:szCs w:val="22"/>
                      <w:highlight w:val="none"/>
                      <w:lang w:eastAsia="zh-CN"/>
                    </w:rPr>
                    <w:t>达标排放。</w:t>
                  </w:r>
                </w:p>
              </w:tc>
              <w:tc>
                <w:tcPr>
                  <w:tcW w:w="268" w:type="pct"/>
                  <w:noWrap w:val="0"/>
                  <w:vAlign w:val="center"/>
                </w:tcPr>
                <w:p w14:paraId="3574CA2D">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eastAsia="zh-CN"/>
                    </w:rPr>
                    <w:t>符合</w:t>
                  </w:r>
                </w:p>
              </w:tc>
            </w:tr>
            <w:tr w14:paraId="35C41D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1108" w:type="pct"/>
                  <w:noWrap w:val="0"/>
                  <w:vAlign w:val="center"/>
                </w:tcPr>
                <w:p w14:paraId="70F4BE16">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《福建省2020年挥发性有机物治理攻坚实施方案》的通知</w:t>
                  </w:r>
                  <w:r>
                    <w:rPr>
                      <w:rFonts w:hint="eastAsia"/>
                      <w:szCs w:val="22"/>
                      <w:lang w:val="en-US" w:eastAsia="zh-CN"/>
                    </w:rPr>
                    <w:t>（</w:t>
                  </w:r>
                  <w:r>
                    <w:rPr>
                      <w:rFonts w:hint="default"/>
                      <w:szCs w:val="22"/>
                      <w:lang w:val="en-US" w:eastAsia="zh-CN"/>
                    </w:rPr>
                    <w:t>闽环保大气〔2020〕6号</w:t>
                  </w:r>
                  <w:r>
                    <w:rPr>
                      <w:rFonts w:hint="eastAsia"/>
                      <w:szCs w:val="22"/>
                      <w:lang w:val="en-US" w:eastAsia="zh-CN"/>
                    </w:rPr>
                    <w:t>）</w:t>
                  </w:r>
                </w:p>
              </w:tc>
              <w:tc>
                <w:tcPr>
                  <w:tcW w:w="2143" w:type="pct"/>
                  <w:noWrap w:val="0"/>
                  <w:vAlign w:val="center"/>
                </w:tcPr>
                <w:p w14:paraId="120C1C64">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大力推进源头替代，有效减少</w:t>
                  </w:r>
                  <w:r>
                    <w:rPr>
                      <w:rFonts w:hint="eastAsia"/>
                      <w:szCs w:val="22"/>
                      <w:lang w:val="en-US" w:eastAsia="zh-CN"/>
                    </w:rPr>
                    <w:t>VOCs</w:t>
                  </w:r>
                  <w:r>
                    <w:rPr>
                      <w:rFonts w:hint="default"/>
                      <w:szCs w:val="22"/>
                      <w:lang w:val="en-US" w:eastAsia="zh-CN"/>
                    </w:rPr>
                    <w:t>产生；</w:t>
                  </w:r>
                </w:p>
                <w:p w14:paraId="4A8AE805">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全面落实标准要求，强化无组织排放控制。加强含</w:t>
                  </w:r>
                  <w:r>
                    <w:rPr>
                      <w:rFonts w:hint="eastAsia"/>
                      <w:szCs w:val="22"/>
                      <w:lang w:val="en-US" w:eastAsia="zh-CN"/>
                    </w:rPr>
                    <w:t>VOCs</w:t>
                  </w:r>
                  <w:r>
                    <w:rPr>
                      <w:rFonts w:hint="default"/>
                      <w:szCs w:val="22"/>
                      <w:lang w:val="en-US" w:eastAsia="zh-CN"/>
                    </w:rPr>
                    <w:t>物料全方位、全链条、全环节密闭管理........。生产和使用环节应采用密闭设备，或在密闭空间中操作并有效收集废气，或进行局部气体收集；处置环节应将盛装过</w:t>
                  </w:r>
                  <w:r>
                    <w:rPr>
                      <w:rFonts w:hint="eastAsia"/>
                      <w:szCs w:val="22"/>
                      <w:lang w:val="en-US" w:eastAsia="zh-CN"/>
                    </w:rPr>
                    <w:t>VOCs</w:t>
                  </w:r>
                  <w:r>
                    <w:rPr>
                      <w:rFonts w:hint="default"/>
                      <w:szCs w:val="22"/>
                      <w:lang w:val="en-US" w:eastAsia="zh-CN"/>
                    </w:rPr>
                    <w:t>物料的包装容器、含</w:t>
                  </w:r>
                  <w:r>
                    <w:rPr>
                      <w:rFonts w:hint="eastAsia"/>
                      <w:szCs w:val="22"/>
                      <w:lang w:val="en-US" w:eastAsia="zh-CN"/>
                    </w:rPr>
                    <w:t>VOCs</w:t>
                  </w:r>
                  <w:r>
                    <w:rPr>
                      <w:rFonts w:hint="default"/>
                      <w:szCs w:val="22"/>
                      <w:lang w:val="en-US" w:eastAsia="zh-CN"/>
                    </w:rPr>
                    <w:t>废料</w:t>
                  </w:r>
                  <w:r>
                    <w:rPr>
                      <w:rFonts w:hint="eastAsia"/>
                      <w:szCs w:val="22"/>
                      <w:lang w:val="en-US" w:eastAsia="zh-CN"/>
                    </w:rPr>
                    <w:t>（</w:t>
                  </w:r>
                  <w:r>
                    <w:rPr>
                      <w:rFonts w:hint="default"/>
                      <w:szCs w:val="22"/>
                      <w:lang w:val="en-US" w:eastAsia="zh-CN"/>
                    </w:rPr>
                    <w:t>渣、液</w:t>
                  </w:r>
                  <w:r>
                    <w:rPr>
                      <w:rFonts w:hint="eastAsia"/>
                      <w:szCs w:val="22"/>
                      <w:lang w:val="en-US" w:eastAsia="zh-CN"/>
                    </w:rPr>
                    <w:t>）</w:t>
                  </w:r>
                  <w:r>
                    <w:rPr>
                      <w:rFonts w:hint="default"/>
                      <w:szCs w:val="22"/>
                      <w:lang w:val="en-US" w:eastAsia="zh-CN"/>
                    </w:rPr>
                    <w:t>、废吸附剂等通过加盖、封装等方式密闭，妥善存放，集中清运，交有资质的单位处置，不得随意丢弃；</w:t>
                  </w:r>
                </w:p>
                <w:p w14:paraId="5B86765A">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w:t>
                  </w:r>
                  <w:r>
                    <w:rPr>
                      <w:rFonts w:hint="default"/>
                      <w:szCs w:val="22"/>
                      <w:lang w:val="en-US" w:eastAsia="zh-CN"/>
                    </w:rPr>
                    <w:t>3</w:t>
                  </w:r>
                  <w:r>
                    <w:rPr>
                      <w:rFonts w:hint="eastAsia"/>
                      <w:szCs w:val="22"/>
                      <w:lang w:val="en-US" w:eastAsia="zh-CN"/>
                    </w:rPr>
                    <w:t>）</w:t>
                  </w:r>
                  <w:r>
                    <w:rPr>
                      <w:rFonts w:hint="default"/>
                      <w:szCs w:val="22"/>
                      <w:lang w:val="en-US" w:eastAsia="zh-CN"/>
                    </w:rPr>
                    <w:t>聚焦治污设施</w:t>
                  </w:r>
                  <w:r>
                    <w:rPr>
                      <w:rFonts w:hint="eastAsia"/>
                      <w:szCs w:val="22"/>
                      <w:lang w:val="en-US" w:eastAsia="zh-CN"/>
                    </w:rPr>
                    <w:t>“</w:t>
                  </w:r>
                  <w:r>
                    <w:rPr>
                      <w:rFonts w:hint="default"/>
                      <w:szCs w:val="22"/>
                      <w:lang w:val="en-US" w:eastAsia="zh-CN"/>
                    </w:rPr>
                    <w:t>三率</w:t>
                  </w:r>
                  <w:r>
                    <w:rPr>
                      <w:rFonts w:hint="eastAsia"/>
                      <w:szCs w:val="22"/>
                      <w:lang w:val="en-US" w:eastAsia="zh-CN"/>
                    </w:rPr>
                    <w:t>”</w:t>
                  </w:r>
                  <w:r>
                    <w:rPr>
                      <w:rFonts w:hint="default"/>
                      <w:szCs w:val="22"/>
                      <w:lang w:val="en-US" w:eastAsia="zh-CN"/>
                    </w:rPr>
                    <w:t>，提升综合治理效率。......除恶臭异味治理外，一般不采用低温等离子、光催化、光氧化等技术。优先采用密闭设备、在密闭空间中操作或采用全密闭集气罩收集方式；......采用活性炭吸附技术的，应选择碘值不低于800毫克/克的活性炭，并按设计要求足量添加</w:t>
                  </w:r>
                  <w:r>
                    <w:rPr>
                      <w:rFonts w:hint="eastAsia"/>
                      <w:szCs w:val="22"/>
                      <w:lang w:val="en-US" w:eastAsia="zh-CN"/>
                    </w:rPr>
                    <w:t>及</w:t>
                  </w:r>
                  <w:r>
                    <w:rPr>
                      <w:rFonts w:hint="default"/>
                      <w:szCs w:val="22"/>
                      <w:lang w:val="en-US" w:eastAsia="zh-CN"/>
                    </w:rPr>
                    <w:t>时更换。</w:t>
                  </w:r>
                </w:p>
              </w:tc>
              <w:tc>
                <w:tcPr>
                  <w:tcW w:w="1479" w:type="pct"/>
                  <w:noWrap w:val="0"/>
                  <w:vAlign w:val="center"/>
                </w:tcPr>
                <w:p w14:paraId="2A62125F">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（1）项目使用的物料</w:t>
                  </w:r>
                  <w:r>
                    <w:rPr>
                      <w:rFonts w:hint="eastAsia"/>
                      <w:szCs w:val="22"/>
                      <w:lang w:val="en-US" w:eastAsia="zh-CN"/>
                    </w:rPr>
                    <w:t>VOCs</w:t>
                  </w:r>
                  <w:r>
                    <w:rPr>
                      <w:rFonts w:hint="default"/>
                      <w:szCs w:val="22"/>
                      <w:lang w:val="en-US" w:eastAsia="zh-CN"/>
                    </w:rPr>
                    <w:t>含量低；</w:t>
                  </w:r>
                </w:p>
                <w:p w14:paraId="2520B6F9">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（2）本项目</w:t>
                  </w:r>
                  <w:r>
                    <w:rPr>
                      <w:rFonts w:hint="eastAsia"/>
                      <w:szCs w:val="22"/>
                      <w:lang w:val="en-US" w:eastAsia="zh-CN"/>
                    </w:rPr>
                    <w:t>水性漆及油性漆</w:t>
                  </w:r>
                  <w:r>
                    <w:rPr>
                      <w:rFonts w:hint="default"/>
                      <w:szCs w:val="22"/>
                      <w:lang w:val="en-US" w:eastAsia="zh-CN"/>
                    </w:rPr>
                    <w:t>储存于密封的桶内；将</w:t>
                  </w:r>
                  <w:r>
                    <w:rPr>
                      <w:rFonts w:hint="default"/>
                      <w:szCs w:val="22"/>
                    </w:rPr>
                    <w:t>更换的</w:t>
                  </w:r>
                  <w:r>
                    <w:rPr>
                      <w:rFonts w:hint="default"/>
                      <w:szCs w:val="22"/>
                      <w:lang w:val="en-US" w:eastAsia="zh-CN"/>
                    </w:rPr>
                    <w:t>废</w:t>
                  </w:r>
                  <w:r>
                    <w:rPr>
                      <w:rFonts w:hint="eastAsia"/>
                      <w:szCs w:val="22"/>
                      <w:lang w:val="en-US" w:eastAsia="zh-CN"/>
                    </w:rPr>
                    <w:t>活性炭当作</w:t>
                  </w:r>
                  <w:r>
                    <w:rPr>
                      <w:rFonts w:hint="default"/>
                      <w:szCs w:val="22"/>
                    </w:rPr>
                    <w:t>危险废物</w:t>
                  </w:r>
                  <w:r>
                    <w:rPr>
                      <w:rFonts w:hint="default"/>
                      <w:szCs w:val="22"/>
                      <w:lang w:eastAsia="zh-CN"/>
                    </w:rPr>
                    <w:t>，</w:t>
                  </w:r>
                  <w:r>
                    <w:rPr>
                      <w:rFonts w:hint="default"/>
                      <w:szCs w:val="22"/>
                    </w:rPr>
                    <w:t>袋装密闭暂存于</w:t>
                  </w:r>
                  <w:r>
                    <w:rPr>
                      <w:rFonts w:hint="default"/>
                      <w:szCs w:val="22"/>
                      <w:lang w:eastAsia="zh-CN"/>
                    </w:rPr>
                    <w:t>危废贮存库</w:t>
                  </w:r>
                  <w:r>
                    <w:rPr>
                      <w:rFonts w:hint="default"/>
                      <w:szCs w:val="22"/>
                    </w:rPr>
                    <w:t>内</w:t>
                  </w:r>
                  <w:r>
                    <w:rPr>
                      <w:rFonts w:hint="default"/>
                      <w:szCs w:val="22"/>
                      <w:lang w:eastAsia="zh-CN"/>
                    </w:rPr>
                    <w:t>，</w:t>
                  </w:r>
                  <w:r>
                    <w:rPr>
                      <w:rFonts w:hint="default"/>
                      <w:szCs w:val="22"/>
                      <w:lang w:val="en-US" w:eastAsia="zh-CN"/>
                    </w:rPr>
                    <w:t>定期委托有资质单位统一处置；</w:t>
                  </w:r>
                </w:p>
                <w:p w14:paraId="1003818D">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default"/>
                      <w:szCs w:val="22"/>
                      <w:lang w:val="en-US" w:eastAsia="zh-CN"/>
                    </w:rPr>
                    <w:t>（3）本项目</w:t>
                  </w:r>
                  <w:r>
                    <w:rPr>
                      <w:rFonts w:hint="eastAsia"/>
                      <w:szCs w:val="22"/>
                      <w:lang w:val="en-US" w:eastAsia="zh-CN"/>
                    </w:rPr>
                    <w:t>VOCs</w:t>
                  </w:r>
                  <w:r>
                    <w:rPr>
                      <w:rFonts w:hint="default"/>
                      <w:szCs w:val="22"/>
                      <w:lang w:val="en-US" w:eastAsia="zh-CN"/>
                    </w:rPr>
                    <w:t>通过采取</w:t>
                  </w:r>
                  <w:r>
                    <w:rPr>
                      <w:rFonts w:hint="eastAsia"/>
                      <w:szCs w:val="22"/>
                      <w:lang w:val="en-US" w:eastAsia="zh-CN"/>
                    </w:rPr>
                    <w:t>废气处理设施</w:t>
                  </w:r>
                  <w:r>
                    <w:rPr>
                      <w:rFonts w:hint="default"/>
                      <w:szCs w:val="22"/>
                      <w:lang w:val="en-US" w:eastAsia="zh-CN"/>
                    </w:rPr>
                    <w:t>处理后达标排放，采用</w:t>
                  </w:r>
                  <w:r>
                    <w:rPr>
                      <w:rFonts w:hint="default"/>
                      <w:szCs w:val="22"/>
                    </w:rPr>
                    <w:t>碘值不低于800毫克/克的活性炭</w:t>
                  </w:r>
                  <w:r>
                    <w:rPr>
                      <w:rFonts w:hint="default"/>
                      <w:szCs w:val="22"/>
                      <w:lang w:eastAsia="zh-CN"/>
                    </w:rPr>
                    <w:t>，</w:t>
                  </w:r>
                  <w:r>
                    <w:rPr>
                      <w:rFonts w:hint="default"/>
                      <w:szCs w:val="22"/>
                      <w:lang w:val="en-US" w:eastAsia="zh-CN"/>
                    </w:rPr>
                    <w:t>并定期更换。</w:t>
                  </w:r>
                </w:p>
              </w:tc>
              <w:tc>
                <w:tcPr>
                  <w:tcW w:w="268" w:type="pct"/>
                  <w:noWrap w:val="0"/>
                  <w:vAlign w:val="center"/>
                </w:tcPr>
                <w:p w14:paraId="2A6EB1A5">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default"/>
                      <w:szCs w:val="22"/>
                      <w:lang w:val="en-US" w:eastAsia="zh-CN"/>
                    </w:rPr>
                    <w:t>符合</w:t>
                  </w:r>
                </w:p>
              </w:tc>
            </w:tr>
            <w:tr w14:paraId="650C00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1108" w:type="pct"/>
                  <w:noWrap w:val="0"/>
                  <w:vAlign w:val="center"/>
                </w:tcPr>
                <w:p w14:paraId="156BA571">
                  <w:pPr>
                    <w:pStyle w:val="38"/>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rPr>
                    <w:t>《2021年福州市提升空气质量行动计划》的通知</w:t>
                  </w:r>
                  <w:r>
                    <w:rPr>
                      <w:rFonts w:hint="eastAsia"/>
                      <w:szCs w:val="22"/>
                      <w:lang w:eastAsia="zh-CN"/>
                    </w:rPr>
                    <w:t>（榕环委办〔2021〕23号）</w:t>
                  </w:r>
                </w:p>
              </w:tc>
              <w:tc>
                <w:tcPr>
                  <w:tcW w:w="2143" w:type="pct"/>
                  <w:noWrap w:val="0"/>
                  <w:vAlign w:val="top"/>
                </w:tcPr>
                <w:p w14:paraId="776DFDD0">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（2）严格涉</w:t>
                  </w:r>
                  <w:r>
                    <w:rPr>
                      <w:rFonts w:hint="eastAsia"/>
                      <w:szCs w:val="22"/>
                      <w:lang w:eastAsia="zh-CN"/>
                    </w:rPr>
                    <w:t>VOCs</w:t>
                  </w:r>
                  <w:r>
                    <w:rPr>
                      <w:rFonts w:hint="eastAsia"/>
                      <w:szCs w:val="22"/>
                    </w:rPr>
                    <w:t>建设项目环境影响评价审批，新、改、扩建涉</w:t>
                  </w:r>
                  <w:r>
                    <w:rPr>
                      <w:rFonts w:hint="eastAsia"/>
                      <w:szCs w:val="22"/>
                      <w:lang w:eastAsia="zh-CN"/>
                    </w:rPr>
                    <w:t>VOCs</w:t>
                  </w:r>
                  <w:r>
                    <w:rPr>
                      <w:rFonts w:hint="eastAsia"/>
                      <w:szCs w:val="22"/>
                    </w:rPr>
                    <w:t>排放项目，应使用低（无）</w:t>
                  </w:r>
                  <w:r>
                    <w:rPr>
                      <w:rFonts w:hint="eastAsia"/>
                      <w:szCs w:val="22"/>
                      <w:lang w:eastAsia="zh-CN"/>
                    </w:rPr>
                    <w:t>VOCs</w:t>
                  </w:r>
                  <w:r>
                    <w:rPr>
                      <w:rFonts w:hint="eastAsia"/>
                      <w:szCs w:val="22"/>
                    </w:rPr>
                    <w:t>涂料、粘胶剂等，实施新建项目</w:t>
                  </w:r>
                  <w:r>
                    <w:rPr>
                      <w:rFonts w:hint="eastAsia"/>
                      <w:szCs w:val="22"/>
                      <w:lang w:eastAsia="zh-CN"/>
                    </w:rPr>
                    <w:t>VOCs</w:t>
                  </w:r>
                  <w:r>
                    <w:rPr>
                      <w:rFonts w:hint="eastAsia"/>
                      <w:szCs w:val="22"/>
                    </w:rPr>
                    <w:t>排放区域内倍量替代。</w:t>
                  </w:r>
                  <w:r>
                    <w:rPr>
                      <w:rFonts w:hint="eastAsia"/>
                      <w:szCs w:val="22"/>
                      <w:lang w:eastAsia="zh-CN"/>
                    </w:rPr>
                    <w:t>VOCs</w:t>
                  </w:r>
                  <w:r>
                    <w:rPr>
                      <w:rFonts w:hint="eastAsia"/>
                      <w:szCs w:val="22"/>
                    </w:rPr>
                    <w:t>年排放量大于10吨的新建项目投运前应安装</w:t>
                  </w:r>
                  <w:r>
                    <w:rPr>
                      <w:rFonts w:hint="eastAsia"/>
                      <w:szCs w:val="22"/>
                      <w:lang w:eastAsia="zh-CN"/>
                    </w:rPr>
                    <w:t>VOCs</w:t>
                  </w:r>
                  <w:r>
                    <w:rPr>
                      <w:rFonts w:hint="eastAsia"/>
                      <w:szCs w:val="22"/>
                    </w:rPr>
                    <w:t>在线监控设备，并接入市生态云平台。</w:t>
                  </w:r>
                </w:p>
              </w:tc>
              <w:tc>
                <w:tcPr>
                  <w:tcW w:w="1479" w:type="pct"/>
                  <w:noWrap w:val="0"/>
                  <w:vAlign w:val="center"/>
                </w:tcPr>
                <w:p w14:paraId="26A40F22">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eastAsia="zh-CN"/>
                    </w:rPr>
                    <w:t>本项目使用低VOCs含量的原辅材料，VOCs</w:t>
                  </w:r>
                  <w:r>
                    <w:rPr>
                      <w:rFonts w:hint="eastAsia"/>
                      <w:szCs w:val="22"/>
                    </w:rPr>
                    <w:t>年排放量</w:t>
                  </w:r>
                  <w:r>
                    <w:rPr>
                      <w:rFonts w:hint="eastAsia"/>
                      <w:szCs w:val="22"/>
                      <w:lang w:eastAsia="zh-CN"/>
                    </w:rPr>
                    <w:t>小于</w:t>
                  </w:r>
                  <w:r>
                    <w:rPr>
                      <w:rFonts w:hint="eastAsia"/>
                      <w:szCs w:val="22"/>
                    </w:rPr>
                    <w:t>10吨</w:t>
                  </w:r>
                  <w:r>
                    <w:rPr>
                      <w:rFonts w:hint="eastAsia"/>
                      <w:szCs w:val="22"/>
                      <w:lang w:eastAsia="zh-CN"/>
                    </w:rPr>
                    <w:t>，无需安装VOCs</w:t>
                  </w:r>
                  <w:r>
                    <w:rPr>
                      <w:rFonts w:hint="eastAsia"/>
                      <w:szCs w:val="22"/>
                    </w:rPr>
                    <w:t>在线监控设备</w:t>
                  </w:r>
                  <w:r>
                    <w:rPr>
                      <w:rFonts w:hint="eastAsia"/>
                      <w:szCs w:val="22"/>
                      <w:lang w:eastAsia="zh-CN"/>
                    </w:rPr>
                    <w:t>。</w:t>
                  </w:r>
                </w:p>
              </w:tc>
              <w:tc>
                <w:tcPr>
                  <w:tcW w:w="268" w:type="pct"/>
                  <w:noWrap w:val="0"/>
                  <w:vAlign w:val="center"/>
                </w:tcPr>
                <w:p w14:paraId="541D1B7A">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eastAsia="zh-CN"/>
                    </w:rPr>
                    <w:t>符合</w:t>
                  </w:r>
                </w:p>
              </w:tc>
            </w:tr>
            <w:tr w14:paraId="123208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1108" w:type="pct"/>
                  <w:noWrap w:val="0"/>
                  <w:vAlign w:val="center"/>
                </w:tcPr>
                <w:p w14:paraId="4B5D0C58">
                  <w:pPr>
                    <w:pStyle w:val="38"/>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rPr>
                    <w:t>《福州市生态环境保护委员会办公室关于印发2022年度福州市蓝天碧海净土保卫战行动计划通知》</w:t>
                  </w:r>
                  <w:r>
                    <w:rPr>
                      <w:rFonts w:hint="eastAsia"/>
                      <w:szCs w:val="22"/>
                      <w:lang w:eastAsia="zh-CN"/>
                    </w:rPr>
                    <w:t>（</w:t>
                  </w:r>
                  <w:r>
                    <w:rPr>
                      <w:rFonts w:hint="eastAsia"/>
                      <w:szCs w:val="22"/>
                    </w:rPr>
                    <w:t>榕环委办[2022]49号</w:t>
                  </w:r>
                  <w:r>
                    <w:rPr>
                      <w:rFonts w:hint="eastAsia"/>
                      <w:szCs w:val="22"/>
                      <w:lang w:eastAsia="zh-CN"/>
                    </w:rPr>
                    <w:t>）</w:t>
                  </w:r>
                </w:p>
              </w:tc>
              <w:tc>
                <w:tcPr>
                  <w:tcW w:w="2143" w:type="pct"/>
                  <w:noWrap w:val="0"/>
                  <w:vAlign w:val="center"/>
                </w:tcPr>
                <w:p w14:paraId="42499DF2">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四是严格涉</w:t>
                  </w:r>
                  <w:r>
                    <w:rPr>
                      <w:rFonts w:hint="eastAsia"/>
                      <w:szCs w:val="22"/>
                      <w:lang w:eastAsia="zh-CN"/>
                    </w:rPr>
                    <w:t>VOCs</w:t>
                  </w:r>
                  <w:r>
                    <w:rPr>
                      <w:rFonts w:hint="eastAsia"/>
                      <w:szCs w:val="22"/>
                    </w:rPr>
                    <w:t>建设项目环境影响评价审批。新、改、扩建涉</w:t>
                  </w:r>
                  <w:r>
                    <w:rPr>
                      <w:rFonts w:hint="eastAsia"/>
                      <w:szCs w:val="22"/>
                      <w:lang w:eastAsia="zh-CN"/>
                    </w:rPr>
                    <w:t>VOCs</w:t>
                  </w:r>
                  <w:r>
                    <w:rPr>
                      <w:rFonts w:hint="eastAsia"/>
                      <w:szCs w:val="22"/>
                    </w:rPr>
                    <w:t>排放项目，应使用低</w:t>
                  </w:r>
                  <w:r>
                    <w:rPr>
                      <w:rFonts w:hint="eastAsia"/>
                      <w:szCs w:val="22"/>
                      <w:lang w:eastAsia="zh-CN"/>
                    </w:rPr>
                    <w:t>（</w:t>
                  </w:r>
                  <w:r>
                    <w:rPr>
                      <w:rFonts w:hint="eastAsia"/>
                      <w:szCs w:val="22"/>
                    </w:rPr>
                    <w:t>无</w:t>
                  </w:r>
                  <w:r>
                    <w:rPr>
                      <w:rFonts w:hint="eastAsia"/>
                      <w:szCs w:val="22"/>
                      <w:lang w:eastAsia="zh-CN"/>
                    </w:rPr>
                    <w:t>）VOCs</w:t>
                  </w:r>
                  <w:r>
                    <w:rPr>
                      <w:rFonts w:hint="eastAsia"/>
                      <w:szCs w:val="22"/>
                    </w:rPr>
                    <w:t>涂料、粘胶剂等，实施新建项目</w:t>
                  </w:r>
                  <w:r>
                    <w:rPr>
                      <w:rFonts w:hint="eastAsia"/>
                      <w:szCs w:val="22"/>
                      <w:lang w:eastAsia="zh-CN"/>
                    </w:rPr>
                    <w:t>VOCs</w:t>
                  </w:r>
                  <w:r>
                    <w:rPr>
                      <w:rFonts w:hint="eastAsia"/>
                      <w:szCs w:val="22"/>
                    </w:rPr>
                    <w:t>排放区域内1.2及以上倍量替代。</w:t>
                  </w:r>
                  <w:r>
                    <w:rPr>
                      <w:rFonts w:hint="eastAsia"/>
                      <w:szCs w:val="22"/>
                      <w:lang w:eastAsia="zh-CN"/>
                    </w:rPr>
                    <w:t>VOCs</w:t>
                  </w:r>
                  <w:r>
                    <w:rPr>
                      <w:rFonts w:hint="eastAsia"/>
                      <w:szCs w:val="22"/>
                    </w:rPr>
                    <w:t>年排放量大于5吨的新建项目投运前应安装</w:t>
                  </w:r>
                  <w:r>
                    <w:rPr>
                      <w:rFonts w:hint="eastAsia"/>
                      <w:szCs w:val="22"/>
                      <w:lang w:eastAsia="zh-CN"/>
                    </w:rPr>
                    <w:t>VOCs</w:t>
                  </w:r>
                  <w:r>
                    <w:rPr>
                      <w:rFonts w:hint="eastAsia"/>
                      <w:szCs w:val="22"/>
                    </w:rPr>
                    <w:t>在线监控设备，并接入市生态云平台。</w:t>
                  </w:r>
                </w:p>
              </w:tc>
              <w:tc>
                <w:tcPr>
                  <w:tcW w:w="1479" w:type="pct"/>
                  <w:noWrap w:val="0"/>
                  <w:vAlign w:val="center"/>
                </w:tcPr>
                <w:p w14:paraId="52BC95B1">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rPr>
                    <w:t>项目</w:t>
                  </w:r>
                  <w:r>
                    <w:rPr>
                      <w:rFonts w:hint="eastAsia"/>
                      <w:szCs w:val="22"/>
                      <w:lang w:eastAsia="zh-CN"/>
                    </w:rPr>
                    <w:t>使用低VOCs含量的原辅材料</w:t>
                  </w:r>
                  <w:r>
                    <w:rPr>
                      <w:rFonts w:hint="eastAsia"/>
                      <w:szCs w:val="22"/>
                    </w:rPr>
                    <w:t>；项目</w:t>
                  </w:r>
                  <w:r>
                    <w:rPr>
                      <w:rFonts w:hint="eastAsia"/>
                      <w:szCs w:val="22"/>
                      <w:lang w:eastAsia="zh-CN"/>
                    </w:rPr>
                    <w:t>VOCs</w:t>
                  </w:r>
                  <w:r>
                    <w:rPr>
                      <w:rFonts w:hint="eastAsia"/>
                      <w:szCs w:val="22"/>
                    </w:rPr>
                    <w:t>排放拟实行区域内倍量替代，项目</w:t>
                  </w:r>
                  <w:r>
                    <w:rPr>
                      <w:rFonts w:hint="eastAsia"/>
                      <w:szCs w:val="22"/>
                      <w:lang w:eastAsia="zh-CN"/>
                    </w:rPr>
                    <w:t>VOCs</w:t>
                  </w:r>
                  <w:r>
                    <w:rPr>
                      <w:rFonts w:hint="eastAsia"/>
                      <w:szCs w:val="22"/>
                    </w:rPr>
                    <w:t>年排放量远小于5吨，不需安装</w:t>
                  </w:r>
                  <w:r>
                    <w:rPr>
                      <w:rFonts w:hint="eastAsia"/>
                      <w:szCs w:val="22"/>
                      <w:lang w:eastAsia="zh-CN"/>
                    </w:rPr>
                    <w:t>VOCs</w:t>
                  </w:r>
                  <w:r>
                    <w:rPr>
                      <w:rFonts w:hint="eastAsia"/>
                      <w:szCs w:val="22"/>
                    </w:rPr>
                    <w:t>在线监控设备。</w:t>
                  </w:r>
                </w:p>
              </w:tc>
              <w:tc>
                <w:tcPr>
                  <w:tcW w:w="268" w:type="pct"/>
                  <w:noWrap w:val="0"/>
                  <w:vAlign w:val="center"/>
                </w:tcPr>
                <w:p w14:paraId="53D8B35D">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rPr>
                    <w:t>符合</w:t>
                  </w:r>
                </w:p>
              </w:tc>
            </w:tr>
            <w:tr w14:paraId="596645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1108" w:type="pct"/>
                  <w:noWrap w:val="0"/>
                  <w:vAlign w:val="center"/>
                </w:tcPr>
                <w:p w14:paraId="7AD70C72">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福州市挥发性有机物污染整治工作方案</w:t>
                  </w:r>
                </w:p>
              </w:tc>
              <w:tc>
                <w:tcPr>
                  <w:tcW w:w="2143" w:type="pct"/>
                  <w:noWrap w:val="0"/>
                  <w:vAlign w:val="top"/>
                </w:tcPr>
                <w:p w14:paraId="099A24CC">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（二）严格</w:t>
                  </w:r>
                  <w:r>
                    <w:rPr>
                      <w:rFonts w:hint="eastAsia"/>
                      <w:szCs w:val="22"/>
                      <w:lang w:eastAsia="zh-CN"/>
                    </w:rPr>
                    <w:t>VOCs</w:t>
                  </w:r>
                  <w:r>
                    <w:rPr>
                      <w:rFonts w:hint="eastAsia"/>
                      <w:szCs w:val="22"/>
                    </w:rPr>
                    <w:t>项目环境准入</w:t>
                  </w:r>
                  <w:r>
                    <w:rPr>
                      <w:rFonts w:hint="eastAsia"/>
                      <w:szCs w:val="22"/>
                      <w:lang w:eastAsia="zh-CN"/>
                    </w:rPr>
                    <w:t>，</w:t>
                  </w:r>
                  <w:r>
                    <w:rPr>
                      <w:rFonts w:hint="eastAsia"/>
                      <w:szCs w:val="22"/>
                    </w:rPr>
                    <w:t>提高行业准入门槛，鼓励支持企业通过技改减少挥发性有机物排放，严格控制新增污染物排放量，对挥发性有机物新增排放量实行现役源2倍削减量替代。</w:t>
                  </w:r>
                </w:p>
              </w:tc>
              <w:tc>
                <w:tcPr>
                  <w:tcW w:w="1479" w:type="pct"/>
                  <w:noWrap w:val="0"/>
                  <w:vAlign w:val="top"/>
                </w:tcPr>
                <w:p w14:paraId="0AEA417C">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项目烘干废气及加烤废气各自经密闭管道集气收集，然后与经水帘柜净化后的喷漆废气一起并入</w:t>
                  </w:r>
                  <w:r>
                    <w:rPr>
                      <w:rFonts w:hint="eastAsia"/>
                      <w:szCs w:val="22"/>
                      <w:lang w:eastAsia="zh-CN"/>
                    </w:rPr>
                    <w:t>“</w:t>
                  </w:r>
                  <w:r>
                    <w:rPr>
                      <w:rFonts w:hint="eastAsia"/>
                      <w:szCs w:val="22"/>
                    </w:rPr>
                    <w:t>过滤棉+</w:t>
                  </w:r>
                  <w:r>
                    <w:rPr>
                      <w:rFonts w:hint="eastAsia"/>
                      <w:szCs w:val="22"/>
                      <w:lang w:val="en-US" w:eastAsia="zh-CN"/>
                    </w:rPr>
                    <w:t>二级</w:t>
                  </w:r>
                  <w:r>
                    <w:rPr>
                      <w:rFonts w:hint="eastAsia"/>
                      <w:szCs w:val="22"/>
                    </w:rPr>
                    <w:t>活性炭吸附装置</w:t>
                  </w:r>
                  <w:r>
                    <w:rPr>
                      <w:rFonts w:hint="eastAsia"/>
                      <w:szCs w:val="22"/>
                      <w:lang w:eastAsia="zh-CN"/>
                    </w:rPr>
                    <w:t>”</w:t>
                  </w:r>
                  <w:r>
                    <w:rPr>
                      <w:rFonts w:hint="eastAsia"/>
                      <w:szCs w:val="22"/>
                    </w:rPr>
                    <w:t>处理达标后</w:t>
                  </w:r>
                  <w:r>
                    <w:rPr>
                      <w:rFonts w:hint="eastAsia"/>
                      <w:szCs w:val="22"/>
                      <w:lang w:val="en-US" w:eastAsia="zh-CN"/>
                    </w:rPr>
                    <w:t>排放</w:t>
                  </w:r>
                  <w:r>
                    <w:rPr>
                      <w:rFonts w:hint="eastAsia"/>
                      <w:szCs w:val="22"/>
                      <w:lang w:eastAsia="zh-CN"/>
                    </w:rPr>
                    <w:t>，</w:t>
                  </w:r>
                  <w:r>
                    <w:rPr>
                      <w:rFonts w:hint="eastAsia"/>
                      <w:szCs w:val="22"/>
                      <w:lang w:val="en-US" w:eastAsia="zh-CN"/>
                    </w:rPr>
                    <w:t>通过上述措施可有效减少污染排放。</w:t>
                  </w:r>
                  <w:r>
                    <w:rPr>
                      <w:rFonts w:hint="eastAsia"/>
                      <w:szCs w:val="22"/>
                    </w:rPr>
                    <w:t>建设单位将严格按照文件规定要求对</w:t>
                  </w:r>
                  <w:r>
                    <w:rPr>
                      <w:rFonts w:hint="eastAsia"/>
                      <w:szCs w:val="22"/>
                      <w:lang w:eastAsia="zh-CN"/>
                    </w:rPr>
                    <w:t>VOCs</w:t>
                  </w:r>
                  <w:r>
                    <w:rPr>
                      <w:rFonts w:hint="eastAsia"/>
                      <w:szCs w:val="22"/>
                    </w:rPr>
                    <w:t>排放实行倍量替代。</w:t>
                  </w:r>
                </w:p>
              </w:tc>
              <w:tc>
                <w:tcPr>
                  <w:tcW w:w="268" w:type="pct"/>
                  <w:noWrap w:val="0"/>
                  <w:vAlign w:val="center"/>
                </w:tcPr>
                <w:p w14:paraId="1619FA65">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eastAsia="zh-CN"/>
                    </w:rPr>
                    <w:t>符合</w:t>
                  </w:r>
                </w:p>
              </w:tc>
            </w:tr>
            <w:tr w14:paraId="1A1E96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1475" w:type="dxa"/>
                  <w:noWrap w:val="0"/>
                  <w:vAlign w:val="center"/>
                </w:tcPr>
                <w:p w14:paraId="656C85E3">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《福建省重点行业挥发性有机物排放控制要求(试行)的通知》(闽环保大气〔2017〕9号)</w:t>
                  </w:r>
                </w:p>
              </w:tc>
              <w:tc>
                <w:tcPr>
                  <w:tcW w:w="2854" w:type="dxa"/>
                  <w:noWrap w:val="0"/>
                  <w:vAlign w:val="top"/>
                </w:tcPr>
                <w:p w14:paraId="31A13200">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(1)工艺过程控制要求</w:t>
                  </w:r>
                </w:p>
                <w:p w14:paraId="5FE3B052">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含</w:t>
                  </w:r>
                  <w:r>
                    <w:rPr>
                      <w:rFonts w:hint="eastAsia"/>
                      <w:szCs w:val="22"/>
                      <w:lang w:eastAsia="zh-CN"/>
                    </w:rPr>
                    <w:t>VOCs</w:t>
                  </w:r>
                  <w:r>
                    <w:rPr>
                      <w:rFonts w:hint="eastAsia"/>
                      <w:szCs w:val="22"/>
                    </w:rPr>
                    <w:t>物料应储存于密闭容器中。盛装含</w:t>
                  </w:r>
                  <w:r>
                    <w:rPr>
                      <w:rFonts w:hint="eastAsia"/>
                      <w:szCs w:val="22"/>
                      <w:lang w:eastAsia="zh-CN"/>
                    </w:rPr>
                    <w:t>VOCs</w:t>
                  </w:r>
                  <w:r>
                    <w:rPr>
                      <w:rFonts w:hint="eastAsia"/>
                      <w:szCs w:val="22"/>
                    </w:rPr>
                    <w:t>物料的容器应存放于储存室内，或至少设置遮阳挡雨等设施；</w:t>
                  </w:r>
                </w:p>
                <w:p w14:paraId="7F479774">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(2)其他控制要求</w:t>
                  </w:r>
                </w:p>
                <w:p w14:paraId="4194EC9F">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产生有废气的生产工艺和装置均设有收集系统和净化处理装置；所有产生</w:t>
                  </w:r>
                  <w:r>
                    <w:rPr>
                      <w:rFonts w:hint="eastAsia"/>
                      <w:szCs w:val="22"/>
                      <w:lang w:eastAsia="zh-CN"/>
                    </w:rPr>
                    <w:t>VOCs</w:t>
                  </w:r>
                  <w:r>
                    <w:rPr>
                      <w:rFonts w:hint="eastAsia"/>
                      <w:szCs w:val="22"/>
                    </w:rPr>
                    <w:t>的生产车间(或生产设施)均进行密闭，无露天和敞开式涂装、流平、干燥作业；不能完全密闭的部位设置软帘阻隔设施，减少废气排放；更换的</w:t>
                  </w:r>
                  <w:r>
                    <w:rPr>
                      <w:rFonts w:hint="eastAsia"/>
                      <w:szCs w:val="22"/>
                      <w:lang w:eastAsia="zh-CN"/>
                    </w:rPr>
                    <w:t>VOCs</w:t>
                  </w:r>
                  <w:r>
                    <w:rPr>
                      <w:rFonts w:hint="eastAsia"/>
                      <w:szCs w:val="22"/>
                    </w:rPr>
                    <w:t>吸附剂的废弃物等，产生后马上密闭，存放在不透气的容器内，贮存、转移期间保持密闭；密闭式局部收集的逸散的</w:t>
                  </w:r>
                  <w:r>
                    <w:rPr>
                      <w:rFonts w:hint="eastAsia"/>
                      <w:szCs w:val="22"/>
                      <w:lang w:eastAsia="zh-CN"/>
                    </w:rPr>
                    <w:t>VOCs</w:t>
                  </w:r>
                  <w:r>
                    <w:rPr>
                      <w:rFonts w:hint="eastAsia"/>
                      <w:szCs w:val="22"/>
                    </w:rPr>
                    <w:t>废气收集率达到80%以上。</w:t>
                  </w:r>
                </w:p>
              </w:tc>
              <w:tc>
                <w:tcPr>
                  <w:tcW w:w="1970" w:type="dxa"/>
                  <w:noWrap w:val="0"/>
                  <w:vAlign w:val="center"/>
                </w:tcPr>
                <w:p w14:paraId="1964CA21">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(1)项目</w:t>
                  </w:r>
                  <w:r>
                    <w:rPr>
                      <w:rFonts w:hint="eastAsia"/>
                      <w:szCs w:val="22"/>
                      <w:lang w:val="en-US" w:eastAsia="zh-CN"/>
                    </w:rPr>
                    <w:t>涉</w:t>
                  </w:r>
                  <w:r>
                    <w:rPr>
                      <w:rFonts w:hint="eastAsia"/>
                      <w:szCs w:val="22"/>
                      <w:lang w:eastAsia="zh-CN"/>
                    </w:rPr>
                    <w:t>VOCs</w:t>
                  </w:r>
                  <w:r>
                    <w:rPr>
                      <w:rFonts w:hint="eastAsia"/>
                      <w:szCs w:val="22"/>
                    </w:rPr>
                    <w:t>物料采桶装暂存在原料仓库；</w:t>
                  </w:r>
                </w:p>
                <w:p w14:paraId="56B593E1">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(2)本项目拟将产生的</w:t>
                  </w:r>
                  <w:r>
                    <w:rPr>
                      <w:rFonts w:hint="eastAsia"/>
                      <w:szCs w:val="22"/>
                      <w:lang w:eastAsia="zh-CN"/>
                    </w:rPr>
                    <w:t>VOCs</w:t>
                  </w:r>
                  <w:r>
                    <w:rPr>
                      <w:rFonts w:hint="eastAsia"/>
                      <w:szCs w:val="22"/>
                    </w:rPr>
                    <w:t>收集后通过“</w:t>
                  </w:r>
                  <w:r>
                    <w:rPr>
                      <w:rFonts w:hint="eastAsia"/>
                      <w:szCs w:val="22"/>
                      <w:lang w:eastAsia="zh-CN"/>
                    </w:rPr>
                    <w:t>二级活性炭</w:t>
                  </w:r>
                  <w:r>
                    <w:rPr>
                      <w:rFonts w:hint="eastAsia"/>
                      <w:szCs w:val="22"/>
                    </w:rPr>
                    <w:t>吸附装置”处理后排放，拟将更换的废活性炭等当作危险废物，袋装密闭暂存于危险废物暂存间内，</w:t>
                  </w:r>
                  <w:r>
                    <w:rPr>
                      <w:rFonts w:hint="eastAsia"/>
                      <w:szCs w:val="22"/>
                      <w:lang w:eastAsia="zh-CN"/>
                    </w:rPr>
                    <w:t>VOCs</w:t>
                  </w:r>
                  <w:r>
                    <w:rPr>
                      <w:rFonts w:hint="eastAsia"/>
                      <w:szCs w:val="22"/>
                    </w:rPr>
                    <w:t>设计收集效率≥</w:t>
                  </w:r>
                  <w:r>
                    <w:rPr>
                      <w:rFonts w:hint="eastAsia"/>
                      <w:szCs w:val="22"/>
                      <w:lang w:val="en-US" w:eastAsia="zh-CN"/>
                    </w:rPr>
                    <w:t>90</w:t>
                  </w:r>
                  <w:r>
                    <w:rPr>
                      <w:rFonts w:hint="eastAsia"/>
                      <w:szCs w:val="22"/>
                    </w:rPr>
                    <w:t>%。</w:t>
                  </w:r>
                </w:p>
              </w:tc>
              <w:tc>
                <w:tcPr>
                  <w:tcW w:w="268" w:type="pct"/>
                  <w:noWrap w:val="0"/>
                  <w:vAlign w:val="center"/>
                </w:tcPr>
                <w:p w14:paraId="0F0C7C8C">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符合</w:t>
                  </w:r>
                </w:p>
              </w:tc>
            </w:tr>
            <w:tr w14:paraId="49F84D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1475" w:type="dxa"/>
                  <w:noWrap w:val="0"/>
                  <w:vAlign w:val="center"/>
                </w:tcPr>
                <w:p w14:paraId="3B5B5A55">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《关于开展福州市重点行业挥发性有机物综合治理工作(V0Cs2.0)的通知》</w:t>
                  </w:r>
                </w:p>
              </w:tc>
              <w:tc>
                <w:tcPr>
                  <w:tcW w:w="2854" w:type="dxa"/>
                  <w:noWrap w:val="0"/>
                  <w:vAlign w:val="center"/>
                </w:tcPr>
                <w:p w14:paraId="45B685A2">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深入开展重点行业</w:t>
                  </w:r>
                  <w:r>
                    <w:rPr>
                      <w:rFonts w:hint="eastAsia"/>
                      <w:szCs w:val="22"/>
                      <w:lang w:eastAsia="zh-CN"/>
                    </w:rPr>
                    <w:t>VOCs</w:t>
                  </w:r>
                  <w:r>
                    <w:rPr>
                      <w:rFonts w:hint="eastAsia"/>
                      <w:szCs w:val="22"/>
                    </w:rPr>
                    <w:t>2.0综合治理，以工业涂装、制鞋、包装印刷、房屋建筑、市政工程等行业为重点，推进原辅材料和产品源头替代工程，提高低（无）</w:t>
                  </w:r>
                  <w:r>
                    <w:rPr>
                      <w:rFonts w:hint="eastAsia"/>
                      <w:szCs w:val="22"/>
                      <w:lang w:eastAsia="zh-CN"/>
                    </w:rPr>
                    <w:t>VOCs</w:t>
                  </w:r>
                  <w:r>
                    <w:rPr>
                      <w:rFonts w:hint="eastAsia"/>
                      <w:szCs w:val="22"/>
                    </w:rPr>
                    <w:t>含量原辅材料使用比例。以石化、化工、化纤、纺织染整等行业为重点，实施涉挥发性有机物提标改造综合整治工程，全面提升废气收集率、治理设施同步运行率和去除率。开展易挥发有机液体储罐改造，对浮顶罐推广采用全接液浮盘和高效双重密封技术，对废水系统高浓度废气实施单独收集处理。加强油船和原油、成品油码头以及油库油气回收治理。积极探索在制鞋、汽车配件、家具集中区开展第三方治理,试点集中喷涂中心、活性炭集中处理中心、溶剂回收中心等集中处理处置新模式。严格涉</w:t>
                  </w:r>
                  <w:r>
                    <w:rPr>
                      <w:rFonts w:hint="eastAsia"/>
                      <w:szCs w:val="22"/>
                      <w:lang w:eastAsia="zh-CN"/>
                    </w:rPr>
                    <w:t>VOCs</w:t>
                  </w:r>
                  <w:r>
                    <w:rPr>
                      <w:rFonts w:hint="eastAsia"/>
                      <w:szCs w:val="22"/>
                    </w:rPr>
                    <w:t>建设项目准入，新、改、扩建涉</w:t>
                  </w:r>
                  <w:r>
                    <w:rPr>
                      <w:rFonts w:hint="eastAsia"/>
                      <w:szCs w:val="22"/>
                      <w:lang w:eastAsia="zh-CN"/>
                    </w:rPr>
                    <w:t>VOCs</w:t>
                  </w:r>
                  <w:r>
                    <w:rPr>
                      <w:rFonts w:hint="eastAsia"/>
                      <w:szCs w:val="22"/>
                    </w:rPr>
                    <w:t>排放项目，应使用低（无）</w:t>
                  </w:r>
                  <w:r>
                    <w:rPr>
                      <w:rFonts w:hint="eastAsia"/>
                      <w:szCs w:val="22"/>
                      <w:lang w:eastAsia="zh-CN"/>
                    </w:rPr>
                    <w:t>VOCs</w:t>
                  </w:r>
                  <w:r>
                    <w:rPr>
                      <w:rFonts w:hint="eastAsia"/>
                      <w:szCs w:val="22"/>
                    </w:rPr>
                    <w:t>涂料、粘胶剂等，实行新建项目挥发性有机物排放区域内1.2及以上倍量替代。</w:t>
                  </w:r>
                  <w:r>
                    <w:rPr>
                      <w:rFonts w:hint="eastAsia"/>
                      <w:szCs w:val="22"/>
                      <w:lang w:eastAsia="zh-CN"/>
                    </w:rPr>
                    <w:t>VOCs</w:t>
                  </w:r>
                  <w:r>
                    <w:rPr>
                      <w:rFonts w:hint="eastAsia"/>
                      <w:szCs w:val="22"/>
                    </w:rPr>
                    <w:t>年排放量大于5吨的新建项目投运前应安装</w:t>
                  </w:r>
                  <w:r>
                    <w:rPr>
                      <w:rFonts w:hint="eastAsia"/>
                      <w:szCs w:val="22"/>
                      <w:lang w:eastAsia="zh-CN"/>
                    </w:rPr>
                    <w:t>VOCs</w:t>
                  </w:r>
                  <w:r>
                    <w:rPr>
                      <w:rFonts w:hint="eastAsia"/>
                      <w:szCs w:val="22"/>
                    </w:rPr>
                    <w:t>在线监控设备，并接入市生态云平台。到2025年，溶剂型工业涂料、油墨使用比例分别降低20个百分点、10个百分点，溶剂型胶粘剂使用量降低20%。</w:t>
                  </w:r>
                </w:p>
              </w:tc>
              <w:tc>
                <w:tcPr>
                  <w:tcW w:w="1970" w:type="dxa"/>
                  <w:noWrap w:val="0"/>
                  <w:vAlign w:val="center"/>
                </w:tcPr>
                <w:p w14:paraId="36DD261B">
                  <w:pPr>
                    <w:pStyle w:val="38"/>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（1）</w:t>
                  </w:r>
                  <w:r>
                    <w:rPr>
                      <w:rFonts w:hint="eastAsia"/>
                      <w:szCs w:val="22"/>
                    </w:rPr>
                    <w:t>本项目使用低</w:t>
                  </w:r>
                  <w:r>
                    <w:rPr>
                      <w:rFonts w:hint="eastAsia"/>
                      <w:szCs w:val="22"/>
                      <w:lang w:eastAsia="zh-CN"/>
                    </w:rPr>
                    <w:t>VOCs</w:t>
                  </w:r>
                  <w:r>
                    <w:rPr>
                      <w:rFonts w:hint="eastAsia"/>
                      <w:szCs w:val="22"/>
                    </w:rPr>
                    <w:t>含量的原辅材料；</w:t>
                  </w:r>
                </w:p>
                <w:p w14:paraId="21DCA5AD">
                  <w:pPr>
                    <w:pStyle w:val="38"/>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（2）</w:t>
                  </w:r>
                  <w:r>
                    <w:rPr>
                      <w:rFonts w:hint="eastAsia"/>
                      <w:szCs w:val="22"/>
                    </w:rPr>
                    <w:t>本项目</w:t>
                  </w:r>
                  <w:r>
                    <w:rPr>
                      <w:rFonts w:hint="eastAsia"/>
                      <w:szCs w:val="22"/>
                      <w:lang w:eastAsia="zh-CN"/>
                    </w:rPr>
                    <w:t>VOCs</w:t>
                  </w:r>
                  <w:r>
                    <w:rPr>
                      <w:rFonts w:hint="eastAsia"/>
                      <w:szCs w:val="22"/>
                    </w:rPr>
                    <w:t>年排放量小于5吨</w:t>
                  </w:r>
                  <w:r>
                    <w:rPr>
                      <w:rFonts w:hint="eastAsia"/>
                      <w:szCs w:val="22"/>
                      <w:lang w:eastAsia="zh-CN"/>
                    </w:rPr>
                    <w:t>。</w:t>
                  </w:r>
                </w:p>
              </w:tc>
              <w:tc>
                <w:tcPr>
                  <w:tcW w:w="357" w:type="dxa"/>
                  <w:noWrap w:val="0"/>
                  <w:vAlign w:val="center"/>
                </w:tcPr>
                <w:p w14:paraId="7D6D0A88">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rPr>
                    <w:t>符合</w:t>
                  </w:r>
                </w:p>
              </w:tc>
            </w:tr>
          </w:tbl>
          <w:p w14:paraId="042DB2C6">
            <w:pPr>
              <w:keepNext w:val="0"/>
              <w:keepLines w:val="0"/>
              <w:suppressLineNumbers w:val="0"/>
              <w:bidi w:val="0"/>
              <w:spacing w:before="0" w:beforeAutospacing="0" w:after="0" w:afterAutospacing="0"/>
              <w:ind w:left="0" w:right="0"/>
              <w:rPr>
                <w:rFonts w:hint="eastAsia"/>
              </w:rPr>
            </w:pPr>
            <w:r>
              <w:rPr>
                <w:rFonts w:hint="eastAsia"/>
              </w:rPr>
              <w:t>本项目属于C2929塑料零件及其他塑料制品制造以及C3360金属表面处理及热处理加工</w:t>
            </w:r>
            <w:r>
              <w:rPr>
                <w:rFonts w:hint="eastAsia"/>
                <w:lang w:eastAsia="zh-CN"/>
              </w:rPr>
              <w:t>，</w:t>
            </w:r>
            <w:r>
              <w:rPr>
                <w:rFonts w:hint="eastAsia"/>
              </w:rPr>
              <w:t>原辅材料均不涉及高</w:t>
            </w:r>
            <w:r>
              <w:rPr>
                <w:rFonts w:hint="eastAsia"/>
                <w:lang w:eastAsia="zh-CN"/>
              </w:rPr>
              <w:t>VOCs</w:t>
            </w:r>
            <w:r>
              <w:rPr>
                <w:rFonts w:hint="eastAsia"/>
              </w:rPr>
              <w:t>含量的物料，项目通过采取有效的治理措施后，挥发性有机物可以得到有效的控制，符合挥发性有机物污染防治相关政策的要求。</w:t>
            </w:r>
          </w:p>
          <w:p w14:paraId="5373DF1B">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根据关于印发《重点行业挥发性有机物综合治理方案》的通知（环大气〔2019〕53号），项目符合性见表1.11-2。</w:t>
            </w:r>
          </w:p>
          <w:p w14:paraId="2B75B8FB">
            <w:pPr>
              <w:pStyle w:val="39"/>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auto"/>
              </w:rPr>
            </w:pPr>
            <w:r>
              <w:rPr>
                <w:rFonts w:hint="default"/>
              </w:rPr>
              <w:t>表</w:t>
            </w:r>
            <w:r>
              <w:rPr>
                <w:rFonts w:hint="eastAsia"/>
                <w:lang w:val="en-US" w:eastAsia="zh-CN"/>
              </w:rPr>
              <w:t>1.11-2</w:t>
            </w:r>
            <w:r>
              <w:rPr>
                <w:rFonts w:hint="default"/>
              </w:rPr>
              <w:t xml:space="preserve"> 与《重点行业挥发性有机物综合治理方案》符合性分析</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335"/>
              <w:gridCol w:w="4119"/>
              <w:gridCol w:w="1992"/>
              <w:gridCol w:w="674"/>
            </w:tblGrid>
            <w:tr w14:paraId="22841E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36" w:type="pct"/>
                  <w:noWrap w:val="0"/>
                  <w:vAlign w:val="center"/>
                </w:tcPr>
                <w:p w14:paraId="709E8130">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序号</w:t>
                  </w:r>
                </w:p>
              </w:tc>
              <w:tc>
                <w:tcPr>
                  <w:tcW w:w="2891" w:type="pct"/>
                  <w:noWrap w:val="0"/>
                  <w:vAlign w:val="center"/>
                </w:tcPr>
                <w:p w14:paraId="637E6495">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相关内容</w:t>
                  </w:r>
                </w:p>
              </w:tc>
              <w:tc>
                <w:tcPr>
                  <w:tcW w:w="1398" w:type="pct"/>
                  <w:noWrap w:val="0"/>
                  <w:vAlign w:val="center"/>
                </w:tcPr>
                <w:p w14:paraId="482AADE6">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eastAsia="zh-CN"/>
                    </w:rPr>
                    <w:t>本项目内容</w:t>
                  </w:r>
                </w:p>
              </w:tc>
              <w:tc>
                <w:tcPr>
                  <w:tcW w:w="473" w:type="pct"/>
                  <w:noWrap w:val="0"/>
                  <w:vAlign w:val="center"/>
                </w:tcPr>
                <w:p w14:paraId="25643BED">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eastAsia="zh-CN"/>
                    </w:rPr>
                    <w:t>符合性</w:t>
                  </w:r>
                </w:p>
              </w:tc>
            </w:tr>
            <w:tr w14:paraId="5AF51C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36" w:type="pct"/>
                  <w:noWrap w:val="0"/>
                  <w:vAlign w:val="center"/>
                </w:tcPr>
                <w:p w14:paraId="0185B301">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1</w:t>
                  </w:r>
                </w:p>
              </w:tc>
              <w:tc>
                <w:tcPr>
                  <w:tcW w:w="2891" w:type="pct"/>
                  <w:noWrap w:val="0"/>
                  <w:vAlign w:val="top"/>
                </w:tcPr>
                <w:p w14:paraId="66846505">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eastAsia="zh-CN"/>
                    </w:rPr>
                    <w:t>（一）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化工行业要推广使用低（无）VOCs含量、低反应活性的原辅材料，加快对芳香烃、含卤素有机化合物的绿色替代。企业应大力推广使用低VOCs含量木器涂料、车辆涂料、机械设备涂料、集装箱涂料以及建筑物和构筑物防护涂料等，在技术成熟的行业，推广使用低VOCs含量油墨和胶粘剂，重点区域到2020年年底前基本完成。鼓励加快低VOCs含量涂料、油墨、胶粘剂等研发和生产。</w:t>
                  </w:r>
                </w:p>
              </w:tc>
              <w:tc>
                <w:tcPr>
                  <w:tcW w:w="1398" w:type="pct"/>
                  <w:noWrap w:val="0"/>
                  <w:vAlign w:val="center"/>
                </w:tcPr>
                <w:p w14:paraId="50B175FB">
                  <w:pPr>
                    <w:pStyle w:val="38"/>
                    <w:keepNext w:val="0"/>
                    <w:keepLines w:val="0"/>
                    <w:widowControl/>
                    <w:suppressLineNumbers w:val="0"/>
                    <w:bidi w:val="0"/>
                    <w:spacing w:before="0" w:beforeAutospacing="0" w:after="0" w:afterAutospacing="0"/>
                    <w:ind w:left="0" w:right="0"/>
                    <w:rPr>
                      <w:rFonts w:hint="default"/>
                      <w:szCs w:val="22"/>
                      <w:lang w:val="en-US"/>
                    </w:rPr>
                  </w:pPr>
                  <w:r>
                    <w:rPr>
                      <w:rFonts w:hint="eastAsia"/>
                      <w:szCs w:val="22"/>
                    </w:rPr>
                    <w:t>项目</w:t>
                  </w:r>
                  <w:r>
                    <w:rPr>
                      <w:rFonts w:hint="eastAsia"/>
                      <w:szCs w:val="22"/>
                      <w:lang w:eastAsia="zh-CN"/>
                    </w:rPr>
                    <w:t>使用低VOCs含量的原辅材料，从源头减少VOCs产生，</w:t>
                  </w:r>
                  <w:r>
                    <w:rPr>
                      <w:rFonts w:hint="eastAsia"/>
                      <w:szCs w:val="22"/>
                      <w:lang w:val="en-US" w:eastAsia="zh-CN"/>
                    </w:rPr>
                    <w:t>符合要求</w:t>
                  </w:r>
                </w:p>
              </w:tc>
              <w:tc>
                <w:tcPr>
                  <w:tcW w:w="473" w:type="pct"/>
                  <w:noWrap w:val="0"/>
                  <w:vAlign w:val="center"/>
                </w:tcPr>
                <w:p w14:paraId="09487764">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eastAsia="zh-CN"/>
                    </w:rPr>
                    <w:t>符合</w:t>
                  </w:r>
                </w:p>
              </w:tc>
            </w:tr>
            <w:tr w14:paraId="41B895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36" w:type="pct"/>
                  <w:noWrap w:val="0"/>
                  <w:vAlign w:val="center"/>
                </w:tcPr>
                <w:p w14:paraId="6B1B127B">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2</w:t>
                  </w:r>
                </w:p>
              </w:tc>
              <w:tc>
                <w:tcPr>
                  <w:tcW w:w="2891" w:type="pct"/>
                  <w:noWrap w:val="0"/>
                  <w:vAlign w:val="top"/>
                </w:tcPr>
                <w:p w14:paraId="67CDCA84">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eastAsia="zh-CN"/>
                    </w:rPr>
                    <w:t>全面加强无组织排放控制。　加强设备与场所密闭管理。含VOCs物料应储存于密闭容器、包装袋，高效密封储罐，封闭式储库、料仓等。含VOCs物料转移和输送，应采用密闭管道或密闭容器、罐车等。高VOCs含量废水（废水液面上方100毫米处VOCs检测浓度超过200ppm，其中，重点区域超过100ppm，以碳计）的集输、储存和处理过程，应加盖密闭。含VOCs物料生产和使用过程，应采取有效收集措施或在密闭空间中操作。</w:t>
                  </w:r>
                </w:p>
              </w:tc>
              <w:tc>
                <w:tcPr>
                  <w:tcW w:w="1398" w:type="pct"/>
                  <w:noWrap w:val="0"/>
                  <w:vAlign w:val="center"/>
                </w:tcPr>
                <w:p w14:paraId="28F91A3A">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本项目含VOCs物料应储存于密闭容器内，采用密闭容器运输。不涉及高VOCs含量废气。</w:t>
                  </w:r>
                  <w:r>
                    <w:rPr>
                      <w:rFonts w:hint="eastAsia"/>
                      <w:szCs w:val="22"/>
                      <w:lang w:eastAsia="zh-CN"/>
                    </w:rPr>
                    <w:t>含VOCs物料在密闭空间中操作使用。</w:t>
                  </w:r>
                  <w:r>
                    <w:rPr>
                      <w:rFonts w:hint="eastAsia"/>
                      <w:szCs w:val="22"/>
                      <w:lang w:val="en-US" w:eastAsia="zh-CN"/>
                    </w:rPr>
                    <w:t>符合要求</w:t>
                  </w:r>
                </w:p>
              </w:tc>
              <w:tc>
                <w:tcPr>
                  <w:tcW w:w="473" w:type="pct"/>
                  <w:noWrap w:val="0"/>
                  <w:vAlign w:val="center"/>
                </w:tcPr>
                <w:p w14:paraId="7BFD12B4">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符合</w:t>
                  </w:r>
                </w:p>
              </w:tc>
            </w:tr>
            <w:tr w14:paraId="01B5D8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36" w:type="pct"/>
                  <w:noWrap w:val="0"/>
                  <w:vAlign w:val="center"/>
                </w:tcPr>
                <w:p w14:paraId="775D444E">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3</w:t>
                  </w:r>
                </w:p>
              </w:tc>
              <w:tc>
                <w:tcPr>
                  <w:tcW w:w="2891" w:type="pct"/>
                  <w:noWrap w:val="0"/>
                  <w:vAlign w:val="top"/>
                </w:tcPr>
                <w:p w14:paraId="3FFD3837">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eastAsia="zh-CN"/>
                    </w:rPr>
                    <w:t>（三）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tc>
              <w:tc>
                <w:tcPr>
                  <w:tcW w:w="1398" w:type="pct"/>
                  <w:noWrap w:val="0"/>
                  <w:vAlign w:val="center"/>
                </w:tcPr>
                <w:p w14:paraId="04148654">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项目烘干废气及加烤废气各自经密闭管道集气收集，然后与经水帘柜净化后的喷漆废气一起并入</w:t>
                  </w:r>
                  <w:r>
                    <w:rPr>
                      <w:rFonts w:hint="eastAsia"/>
                      <w:szCs w:val="22"/>
                      <w:lang w:eastAsia="zh-CN"/>
                    </w:rPr>
                    <w:t>“</w:t>
                  </w:r>
                  <w:r>
                    <w:rPr>
                      <w:rFonts w:hint="eastAsia"/>
                      <w:szCs w:val="22"/>
                    </w:rPr>
                    <w:t>过滤棉+</w:t>
                  </w:r>
                  <w:r>
                    <w:rPr>
                      <w:rFonts w:hint="eastAsia"/>
                      <w:szCs w:val="22"/>
                      <w:lang w:eastAsia="zh-CN"/>
                    </w:rPr>
                    <w:t>二级活性炭</w:t>
                  </w:r>
                  <w:r>
                    <w:rPr>
                      <w:rFonts w:hint="eastAsia"/>
                      <w:szCs w:val="22"/>
                    </w:rPr>
                    <w:t>吸附装置</w:t>
                  </w:r>
                  <w:r>
                    <w:rPr>
                      <w:rFonts w:hint="eastAsia"/>
                      <w:szCs w:val="22"/>
                      <w:lang w:eastAsia="zh-CN"/>
                    </w:rPr>
                    <w:t>”</w:t>
                  </w:r>
                  <w:r>
                    <w:rPr>
                      <w:rFonts w:hint="eastAsia"/>
                      <w:szCs w:val="22"/>
                    </w:rPr>
                    <w:t>处理达标后</w:t>
                  </w:r>
                  <w:r>
                    <w:rPr>
                      <w:rFonts w:hint="eastAsia"/>
                      <w:szCs w:val="22"/>
                      <w:lang w:val="en-US" w:eastAsia="zh-CN"/>
                    </w:rPr>
                    <w:t>排放</w:t>
                  </w:r>
                  <w:r>
                    <w:rPr>
                      <w:rFonts w:hint="eastAsia"/>
                      <w:szCs w:val="22"/>
                      <w:lang w:eastAsia="zh-CN"/>
                    </w:rPr>
                    <w:t>，</w:t>
                  </w:r>
                  <w:r>
                    <w:rPr>
                      <w:rFonts w:hint="eastAsia"/>
                      <w:szCs w:val="22"/>
                      <w:lang w:val="en-US" w:eastAsia="zh-CN"/>
                    </w:rPr>
                    <w:t>定期更换活性炭，通过上述措施可有效减少污染排放。</w:t>
                  </w:r>
                </w:p>
              </w:tc>
              <w:tc>
                <w:tcPr>
                  <w:tcW w:w="473" w:type="pct"/>
                  <w:noWrap w:val="0"/>
                  <w:vAlign w:val="center"/>
                </w:tcPr>
                <w:p w14:paraId="47C52DFB">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符合</w:t>
                  </w:r>
                </w:p>
              </w:tc>
            </w:tr>
          </w:tbl>
          <w:p w14:paraId="305E40D4">
            <w:pPr>
              <w:keepNext w:val="0"/>
              <w:keepLines w:val="0"/>
              <w:suppressLineNumbers w:val="0"/>
              <w:bidi w:val="0"/>
              <w:spacing w:before="0" w:beforeAutospacing="0" w:after="0" w:afterAutospacing="0"/>
              <w:ind w:left="0" w:leftChars="0" w:right="0" w:firstLine="0" w:firstLineChars="0"/>
              <w:rPr>
                <w:rFonts w:hint="eastAsia"/>
              </w:rPr>
            </w:pPr>
          </w:p>
        </w:tc>
      </w:tr>
    </w:tbl>
    <w:p w14:paraId="7A4CFD16">
      <w:pPr>
        <w:spacing w:line="360" w:lineRule="auto"/>
        <w:outlineLvl w:val="9"/>
        <w:rPr>
          <w:rFonts w:eastAsia="黑体"/>
          <w:color w:val="auto"/>
          <w:sz w:val="30"/>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16F2E1F0">
      <w:pPr>
        <w:pStyle w:val="2"/>
        <w:tabs>
          <w:tab w:val="left" w:pos="420"/>
          <w:tab w:val="clear" w:pos="715"/>
        </w:tabs>
        <w:bidi w:val="0"/>
      </w:pPr>
      <w:bookmarkStart w:id="13" w:name="_Toc25463"/>
      <w:bookmarkStart w:id="14" w:name="_Toc20283"/>
      <w:r>
        <w:t>建设项目工程分析</w:t>
      </w:r>
      <w:bookmarkEnd w:id="13"/>
      <w:bookmarkEnd w:id="14"/>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8161"/>
      </w:tblGrid>
      <w:tr w14:paraId="4F625E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823" w:type="dxa"/>
            <w:noWrap w:val="0"/>
            <w:vAlign w:val="center"/>
          </w:tcPr>
          <w:p w14:paraId="4F6C24C9">
            <w:pPr>
              <w:pStyle w:val="40"/>
              <w:keepNext w:val="0"/>
              <w:keepLines w:val="0"/>
              <w:suppressLineNumbers w:val="0"/>
              <w:bidi w:val="0"/>
              <w:spacing w:before="0" w:beforeAutospacing="0" w:after="0" w:afterAutospacing="0"/>
              <w:ind w:left="0" w:right="0"/>
              <w:rPr>
                <w:rFonts w:hint="eastAsia"/>
              </w:rPr>
            </w:pPr>
            <w:r>
              <w:rPr>
                <w:rFonts w:hint="eastAsia"/>
              </w:rPr>
              <w:t>建设内容</w:t>
            </w:r>
          </w:p>
        </w:tc>
        <w:tc>
          <w:tcPr>
            <w:tcW w:w="8161" w:type="dxa"/>
            <w:noWrap w:val="0"/>
            <w:vAlign w:val="top"/>
          </w:tcPr>
          <w:p w14:paraId="306ABB7F">
            <w:pPr>
              <w:pStyle w:val="3"/>
              <w:keepNext w:val="0"/>
              <w:keepLines w:val="0"/>
              <w:suppressLineNumbers w:val="0"/>
              <w:bidi w:val="0"/>
              <w:spacing w:before="0" w:beforeAutospacing="0" w:after="0" w:afterAutospacing="0"/>
              <w:ind w:left="0" w:right="0"/>
              <w:rPr>
                <w:rFonts w:hint="eastAsia"/>
              </w:rPr>
            </w:pPr>
            <w:r>
              <w:rPr>
                <w:rFonts w:hint="eastAsia"/>
              </w:rPr>
              <w:t>项目由来</w:t>
            </w:r>
          </w:p>
          <w:p w14:paraId="5ABED2CD">
            <w:pPr>
              <w:keepNext w:val="0"/>
              <w:keepLines w:val="0"/>
              <w:suppressLineNumbers w:val="0"/>
              <w:bidi w:val="0"/>
              <w:spacing w:before="0" w:beforeAutospacing="0" w:after="0" w:afterAutospacing="0"/>
              <w:ind w:left="0" w:right="0"/>
              <w:rPr>
                <w:rFonts w:hint="eastAsia"/>
                <w:lang w:val="en-US" w:eastAsia="zh-CN"/>
              </w:rPr>
            </w:pPr>
            <w:r>
              <w:rPr>
                <w:rFonts w:hint="eastAsia"/>
                <w:lang w:eastAsia="zh-CN"/>
              </w:rPr>
              <w:t>福清市三合电子科技有限公司</w:t>
            </w:r>
            <w:r>
              <w:rPr>
                <w:rFonts w:hint="eastAsia"/>
                <w:lang w:val="en-US" w:eastAsia="zh-CN"/>
              </w:rPr>
              <w:t>成立于2023年6月21日，经营范围主要包括软件开发、电子专业材料研发、电力电子元器件制造、塑料制品制造、金属表面处理及热处理加工及喷涂加工等（营业执照见</w:t>
            </w:r>
            <w:r>
              <w:rPr>
                <w:rFonts w:hint="eastAsia"/>
                <w:lang w:val="en-US" w:eastAsia="zh-CN"/>
              </w:rPr>
              <w:fldChar w:fldCharType="begin"/>
            </w:r>
            <w:r>
              <w:rPr>
                <w:rFonts w:hint="eastAsia"/>
                <w:lang w:val="en-US" w:eastAsia="zh-CN"/>
              </w:rPr>
              <w:instrText xml:space="preserve"> REF _Ref22130 \h </w:instrText>
            </w:r>
            <w:r>
              <w:rPr>
                <w:rFonts w:hint="eastAsia"/>
                <w:lang w:val="en-US" w:eastAsia="zh-CN"/>
              </w:rPr>
              <w:fldChar w:fldCharType="separate"/>
            </w:r>
            <w:r>
              <w:rPr>
                <w:rFonts w:hint="eastAsia"/>
              </w:rPr>
              <w:t>附件 2</w:t>
            </w:r>
            <w:r>
              <w:rPr>
                <w:rFonts w:hint="eastAsia"/>
                <w:lang w:val="en-US" w:eastAsia="zh-CN"/>
              </w:rPr>
              <w:fldChar w:fldCharType="end"/>
            </w:r>
            <w:r>
              <w:rPr>
                <w:rFonts w:hint="eastAsia"/>
                <w:lang w:val="en-US" w:eastAsia="zh-CN"/>
              </w:rPr>
              <w:t>）。原址位于福建省福州市福清融侨经济技术开发区（租赁东光精密钟表（福清）有限公司5号厂房2层），2023年7月委托福州朴诚至信环保科技有限公司编写了《</w:t>
            </w:r>
            <w:r>
              <w:rPr>
                <w:rFonts w:hint="eastAsia"/>
                <w:lang w:eastAsia="zh-CN"/>
              </w:rPr>
              <w:t>福清市三合电子科技有限公司年加工铝合金20万套、塑胶件5万套、板金件5万套项目</w:t>
            </w:r>
            <w:r>
              <w:rPr>
                <w:rFonts w:hint="eastAsia"/>
                <w:lang w:val="en-US" w:eastAsia="zh-CN"/>
              </w:rPr>
              <w:t>环境影响评价报告表》，现由于原厂址场地面积的限制，已无法满足生产需要，注销原项目，计划另行选址，同时重新调整产品方案。待本项目建成投产以后，位于福建省福州市福清融侨经济技术开发区（租赁东光精密钟表（福清）有限公司5号厂房2层）的现有项目进行注销，停止生产。</w:t>
            </w:r>
          </w:p>
          <w:p w14:paraId="341F76F8">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新厂址位于福清融侨经济技术开发区（租赁福清洪添科技有限公司车间2第3层）</w:t>
            </w:r>
            <w:r>
              <w:rPr>
                <w:rFonts w:hint="eastAsia"/>
                <w:lang w:eastAsia="zh-CN"/>
              </w:rPr>
              <w:t>，</w:t>
            </w:r>
            <w:r>
              <w:rPr>
                <w:rFonts w:hint="eastAsia"/>
                <w:lang w:val="en-US" w:eastAsia="zh-CN"/>
              </w:rPr>
              <w:t>系租赁福清洪添科技有限公司厂房作为经营场所，租赁厂房面积2212.46m</w:t>
            </w:r>
            <w:r>
              <w:rPr>
                <w:rFonts w:hint="eastAsia"/>
                <w:vertAlign w:val="superscript"/>
                <w:lang w:val="en-US" w:eastAsia="zh-CN"/>
              </w:rPr>
              <w:t>2</w:t>
            </w:r>
            <w:r>
              <w:rPr>
                <w:rFonts w:hint="eastAsia"/>
                <w:lang w:val="en-US" w:eastAsia="zh-CN"/>
              </w:rPr>
              <w:t>，</w:t>
            </w:r>
            <w:r>
              <w:rPr>
                <w:rFonts w:hint="eastAsia"/>
                <w:lang w:eastAsia="zh-CN"/>
              </w:rPr>
              <w:t>福清市三合电子科技有限公司</w:t>
            </w:r>
            <w:r>
              <w:rPr>
                <w:rFonts w:hint="eastAsia"/>
                <w:lang w:val="zh-CN"/>
              </w:rPr>
              <w:t>拟</w:t>
            </w:r>
            <w:r>
              <w:rPr>
                <w:rFonts w:hint="eastAsia"/>
              </w:rPr>
              <w:t>投资</w:t>
            </w:r>
            <w:r>
              <w:rPr>
                <w:rFonts w:hint="eastAsia"/>
                <w:lang w:val="en-US" w:eastAsia="zh-CN"/>
              </w:rPr>
              <w:t>120</w:t>
            </w:r>
            <w:r>
              <w:rPr>
                <w:rFonts w:hint="eastAsia"/>
              </w:rPr>
              <w:t>万元</w:t>
            </w:r>
            <w:r>
              <w:rPr>
                <w:rFonts w:hint="eastAsia"/>
                <w:lang w:val="en-US" w:eastAsia="zh-CN"/>
              </w:rPr>
              <w:t>主要从事</w:t>
            </w:r>
            <w:r>
              <w:rPr>
                <w:rFonts w:hint="eastAsia"/>
                <w:lang w:val="zh-CN"/>
              </w:rPr>
              <w:t>铝合金、塑胶件及钣金件加工生产</w:t>
            </w:r>
            <w:r>
              <w:rPr>
                <w:rFonts w:hint="eastAsia"/>
                <w:lang w:val="en-US" w:eastAsia="zh-CN"/>
              </w:rPr>
              <w:t>，</w:t>
            </w:r>
            <w:r>
              <w:rPr>
                <w:rFonts w:hint="eastAsia"/>
                <w:highlight w:val="none"/>
                <w:shd w:val="clear"/>
                <w:lang w:val="en-US" w:eastAsia="zh-CN"/>
              </w:rPr>
              <w:t>生产规模</w:t>
            </w:r>
            <w:r>
              <w:rPr>
                <w:rFonts w:hint="eastAsia"/>
                <w:lang w:val="zh-CN"/>
              </w:rPr>
              <w:t>年加工铝合金20万套、塑胶件</w:t>
            </w:r>
            <w:r>
              <w:rPr>
                <w:rFonts w:hint="eastAsia"/>
                <w:lang w:val="en-US" w:eastAsia="zh-CN"/>
              </w:rPr>
              <w:t>30</w:t>
            </w:r>
            <w:r>
              <w:rPr>
                <w:rFonts w:hint="eastAsia"/>
                <w:lang w:val="zh-CN"/>
              </w:rPr>
              <w:t>万套、</w:t>
            </w:r>
            <w:r>
              <w:rPr>
                <w:rFonts w:hint="eastAsia"/>
                <w:lang w:val="en-US" w:eastAsia="zh-CN"/>
              </w:rPr>
              <w:t>钣</w:t>
            </w:r>
            <w:r>
              <w:rPr>
                <w:rFonts w:hint="eastAsia"/>
                <w:lang w:val="zh-CN"/>
              </w:rPr>
              <w:t>金件</w:t>
            </w:r>
            <w:r>
              <w:rPr>
                <w:rFonts w:hint="eastAsia"/>
                <w:lang w:val="en-US" w:eastAsia="zh-CN"/>
              </w:rPr>
              <w:t>10</w:t>
            </w:r>
            <w:r>
              <w:rPr>
                <w:rFonts w:hint="eastAsia"/>
                <w:lang w:val="zh-CN"/>
              </w:rPr>
              <w:t>万套</w:t>
            </w:r>
            <w:r>
              <w:rPr>
                <w:rFonts w:hint="eastAsia"/>
                <w:lang w:val="en-US" w:eastAsia="zh-CN"/>
              </w:rPr>
              <w:t>。</w:t>
            </w:r>
          </w:p>
          <w:p w14:paraId="2E1C52C4">
            <w:pPr>
              <w:keepNext w:val="0"/>
              <w:keepLines w:val="0"/>
              <w:suppressLineNumbers w:val="0"/>
              <w:bidi w:val="0"/>
              <w:spacing w:before="0" w:beforeAutospacing="0" w:after="0" w:afterAutospacing="0"/>
              <w:ind w:left="0" w:right="0"/>
              <w:rPr>
                <w:rFonts w:hint="default"/>
              </w:rPr>
            </w:pPr>
            <w:r>
              <w:rPr>
                <w:rFonts w:hint="default" w:ascii="Times New Roman" w:hAnsi="Times New Roman" w:eastAsia="宋体" w:cs="Times New Roman"/>
                <w:color w:val="auto"/>
                <w:sz w:val="24"/>
                <w:szCs w:val="24"/>
                <w:u w:val="none"/>
                <w:lang w:val="en-US" w:eastAsia="zh-CN"/>
              </w:rPr>
              <w:t>根据《中华人民共和国环境保护法》</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2015年</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、《中华人民共和国环境影响评价法》</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2018年修正</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、《建设项目环境保护管理条例》</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2017年</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的相关规定，项目需要办理环境影响评价手续；根据《建设项目环境影响评价分类管理名录》</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2021年版</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规定</w:t>
            </w:r>
            <w:r>
              <w:rPr>
                <w:rFonts w:hint="default"/>
                <w:lang w:eastAsia="zh-CN"/>
              </w:rPr>
              <w:t>，</w:t>
            </w:r>
            <w:r>
              <w:rPr>
                <w:rFonts w:hint="default"/>
              </w:rPr>
              <w:t>本项目环评类别为环境影响报告表，详见表2-1。</w:t>
            </w:r>
            <w:r>
              <w:rPr>
                <w:rFonts w:hint="default"/>
                <w:lang w:eastAsia="zh-CN"/>
              </w:rPr>
              <w:t>为此，建设单位</w:t>
            </w:r>
            <w:r>
              <w:rPr>
                <w:rFonts w:hint="default"/>
              </w:rPr>
              <w:t>委托</w:t>
            </w:r>
            <w:r>
              <w:rPr>
                <w:rFonts w:hint="eastAsia"/>
                <w:lang w:val="en-US" w:eastAsia="zh-CN"/>
              </w:rPr>
              <w:t>我单位</w:t>
            </w:r>
            <w:r>
              <w:rPr>
                <w:rFonts w:hint="default"/>
              </w:rPr>
              <w:t>编制该项目的环境影响报告表</w:t>
            </w:r>
            <w:r>
              <w:rPr>
                <w:rFonts w:hint="eastAsia"/>
                <w:lang w:eastAsia="zh-CN"/>
              </w:rPr>
              <w:t>（</w:t>
            </w:r>
            <w:r>
              <w:rPr>
                <w:rFonts w:hint="default"/>
              </w:rPr>
              <w:t>委托书详见附件</w:t>
            </w:r>
            <w:r>
              <w:rPr>
                <w:rFonts w:hint="eastAsia"/>
                <w:lang w:val="en-US" w:eastAsia="zh-CN"/>
              </w:rPr>
              <w:t>1</w:t>
            </w:r>
            <w:r>
              <w:rPr>
                <w:rFonts w:hint="eastAsia"/>
                <w:lang w:eastAsia="zh-CN"/>
              </w:rPr>
              <w:t>）</w:t>
            </w:r>
            <w:r>
              <w:rPr>
                <w:rFonts w:hint="default"/>
              </w:rPr>
              <w:t>。本环评单位接受委托后，立即派技术人员踏勘现场和收集有关资料，按照</w:t>
            </w:r>
            <w:r>
              <w:rPr>
                <w:rFonts w:hint="default"/>
                <w:lang w:eastAsia="zh-CN"/>
              </w:rPr>
              <w:t>《</w:t>
            </w:r>
            <w:r>
              <w:rPr>
                <w:rFonts w:hint="default"/>
              </w:rPr>
              <w:t>建设项目环境影响报告表编制技术指南</w:t>
            </w:r>
            <w:r>
              <w:rPr>
                <w:rFonts w:hint="eastAsia"/>
                <w:lang w:val="en-US" w:eastAsia="zh-CN"/>
              </w:rPr>
              <w:t>（</w:t>
            </w:r>
            <w:r>
              <w:rPr>
                <w:rFonts w:hint="default"/>
              </w:rPr>
              <w:t>污染影响类</w:t>
            </w:r>
            <w:r>
              <w:rPr>
                <w:rFonts w:hint="eastAsia"/>
                <w:lang w:val="en-US" w:eastAsia="zh-CN"/>
              </w:rPr>
              <w:t>）（试行）》</w:t>
            </w:r>
            <w:r>
              <w:rPr>
                <w:rFonts w:hint="default"/>
              </w:rPr>
              <w:t>及相关技术规范要求，编制了本环境影响报告表，供建设单位上报</w:t>
            </w:r>
            <w:r>
              <w:rPr>
                <w:rFonts w:hint="default"/>
                <w:lang w:eastAsia="zh-CN"/>
              </w:rPr>
              <w:t>生态环境行政主管部门</w:t>
            </w:r>
            <w:r>
              <w:rPr>
                <w:rFonts w:hint="default"/>
              </w:rPr>
              <w:t>审批。</w:t>
            </w:r>
          </w:p>
          <w:p w14:paraId="45603D9A">
            <w:pPr>
              <w:keepNext w:val="0"/>
              <w:keepLines w:val="0"/>
              <w:suppressLineNumbers w:val="0"/>
              <w:bidi w:val="0"/>
              <w:spacing w:before="0" w:beforeAutospacing="0" w:after="0" w:afterAutospacing="0"/>
              <w:ind w:left="0" w:right="0"/>
              <w:rPr>
                <w:rFonts w:hint="default"/>
              </w:rPr>
            </w:pPr>
          </w:p>
          <w:p w14:paraId="5D684EC6">
            <w:pPr>
              <w:keepNext w:val="0"/>
              <w:keepLines w:val="0"/>
              <w:suppressLineNumbers w:val="0"/>
              <w:bidi w:val="0"/>
              <w:spacing w:before="0" w:beforeAutospacing="0" w:after="0" w:afterAutospacing="0"/>
              <w:ind w:left="0" w:right="0"/>
              <w:rPr>
                <w:rFonts w:hint="default"/>
              </w:rPr>
            </w:pPr>
          </w:p>
          <w:p w14:paraId="57241612">
            <w:pPr>
              <w:pStyle w:val="39"/>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rPr>
            </w:pPr>
            <w:bookmarkStart w:id="15" w:name="_Toc21531"/>
            <w:bookmarkStart w:id="16" w:name="_Toc17739"/>
            <w:bookmarkStart w:id="17" w:name="_Toc2858"/>
            <w:bookmarkStart w:id="18" w:name="_Toc1709"/>
            <w:r>
              <w:rPr>
                <w:rFonts w:hint="default"/>
              </w:rPr>
              <w:t>表2</w:t>
            </w:r>
            <w:r>
              <w:rPr>
                <w:rFonts w:hint="eastAsia"/>
                <w:lang w:val="en-US" w:eastAsia="zh-CN"/>
              </w:rPr>
              <w:t>.1</w:t>
            </w:r>
            <w:r>
              <w:rPr>
                <w:rFonts w:hint="default"/>
              </w:rPr>
              <w:t>-1  建设项目环境影响评价分类管理名录</w:t>
            </w:r>
            <w:bookmarkEnd w:id="15"/>
            <w:bookmarkEnd w:id="16"/>
            <w:bookmarkEnd w:id="17"/>
            <w:bookmarkEnd w:id="18"/>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5"/>
              <w:gridCol w:w="1382"/>
              <w:gridCol w:w="27"/>
              <w:gridCol w:w="3398"/>
              <w:gridCol w:w="1811"/>
              <w:gridCol w:w="799"/>
            </w:tblGrid>
            <w:tr w14:paraId="647A30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1" w:type="pct"/>
                  <w:gridSpan w:val="2"/>
                  <w:tcBorders>
                    <w:tl2br w:val="single" w:color="auto" w:sz="6" w:space="0"/>
                  </w:tcBorders>
                  <w:shd w:val="clear" w:color="auto" w:fill="auto"/>
                  <w:noWrap w:val="0"/>
                  <w:vAlign w:val="top"/>
                </w:tcPr>
                <w:p w14:paraId="71F45389">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环评类别</w:t>
                  </w:r>
                </w:p>
                <w:p w14:paraId="57C8081C">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项目类别</w:t>
                  </w:r>
                </w:p>
              </w:tc>
              <w:tc>
                <w:tcPr>
                  <w:tcW w:w="2156" w:type="pct"/>
                  <w:gridSpan w:val="2"/>
                  <w:tcBorders>
                    <w:tl2br w:val="nil"/>
                    <w:tr2bl w:val="nil"/>
                  </w:tcBorders>
                  <w:shd w:val="clear" w:color="auto" w:fill="auto"/>
                  <w:noWrap w:val="0"/>
                  <w:vAlign w:val="center"/>
                </w:tcPr>
                <w:p w14:paraId="05D0A88D">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报告书</w:t>
                  </w:r>
                </w:p>
              </w:tc>
              <w:tc>
                <w:tcPr>
                  <w:tcW w:w="1140" w:type="pct"/>
                  <w:tcBorders>
                    <w:tl2br w:val="nil"/>
                    <w:tr2bl w:val="nil"/>
                  </w:tcBorders>
                  <w:shd w:val="clear" w:color="auto" w:fill="BEBEBE"/>
                  <w:noWrap w:val="0"/>
                  <w:vAlign w:val="center"/>
                </w:tcPr>
                <w:p w14:paraId="12CEBA65">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报告表</w:t>
                  </w:r>
                </w:p>
              </w:tc>
              <w:tc>
                <w:tcPr>
                  <w:tcW w:w="501" w:type="pct"/>
                  <w:tcBorders>
                    <w:tl2br w:val="nil"/>
                    <w:tr2bl w:val="nil"/>
                  </w:tcBorders>
                  <w:noWrap w:val="0"/>
                  <w:vAlign w:val="center"/>
                </w:tcPr>
                <w:p w14:paraId="132ECA78">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登记表</w:t>
                  </w:r>
                </w:p>
              </w:tc>
            </w:tr>
            <w:tr w14:paraId="5CDE6B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tcBorders>
                    <w:tl2br w:val="nil"/>
                    <w:tr2bl w:val="nil"/>
                  </w:tcBorders>
                  <w:noWrap w:val="0"/>
                  <w:vAlign w:val="center"/>
                </w:tcPr>
                <w:p w14:paraId="3285C262">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二十六、橡胶和塑料制品业 29</w:t>
                  </w:r>
                </w:p>
              </w:tc>
            </w:tr>
            <w:tr w14:paraId="2B8417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1" w:type="pct"/>
                  <w:tcBorders>
                    <w:tl2br w:val="nil"/>
                    <w:tr2bl w:val="nil"/>
                  </w:tcBorders>
                  <w:shd w:val="clear" w:color="auto" w:fill="auto"/>
                  <w:noWrap w:val="0"/>
                  <w:vAlign w:val="center"/>
                </w:tcPr>
                <w:p w14:paraId="3FF88D08">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53</w:t>
                  </w:r>
                </w:p>
              </w:tc>
              <w:tc>
                <w:tcPr>
                  <w:tcW w:w="870" w:type="pct"/>
                  <w:tcBorders>
                    <w:tl2br w:val="nil"/>
                    <w:tr2bl w:val="nil"/>
                  </w:tcBorders>
                  <w:shd w:val="clear" w:color="auto" w:fill="auto"/>
                  <w:noWrap w:val="0"/>
                  <w:vAlign w:val="center"/>
                </w:tcPr>
                <w:p w14:paraId="06242C20">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塑料制品业 292</w:t>
                  </w:r>
                </w:p>
              </w:tc>
              <w:tc>
                <w:tcPr>
                  <w:tcW w:w="2156" w:type="pct"/>
                  <w:gridSpan w:val="2"/>
                  <w:tcBorders>
                    <w:tl2br w:val="nil"/>
                    <w:tr2bl w:val="nil"/>
                  </w:tcBorders>
                  <w:shd w:val="clear" w:color="auto" w:fill="auto"/>
                  <w:noWrap w:val="0"/>
                  <w:vAlign w:val="center"/>
                </w:tcPr>
                <w:p w14:paraId="52410911">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以再生塑料为原料生产的；有电镀工艺的；年用溶剂型胶粘剂10吨及以上的；年用溶剂型涂料</w:t>
                  </w:r>
                  <w:r>
                    <w:rPr>
                      <w:rFonts w:hint="eastAsia"/>
                      <w:szCs w:val="22"/>
                      <w:lang w:val="en-US" w:eastAsia="zh-CN"/>
                    </w:rPr>
                    <w:t>（</w:t>
                  </w:r>
                  <w:r>
                    <w:rPr>
                      <w:rFonts w:hint="default"/>
                      <w:szCs w:val="22"/>
                      <w:lang w:val="en-US" w:eastAsia="zh-CN"/>
                    </w:rPr>
                    <w:t>含稀释剂</w:t>
                  </w:r>
                  <w:r>
                    <w:rPr>
                      <w:rFonts w:hint="eastAsia"/>
                      <w:szCs w:val="22"/>
                      <w:lang w:val="en-US" w:eastAsia="zh-CN"/>
                    </w:rPr>
                    <w:t>）</w:t>
                  </w:r>
                  <w:r>
                    <w:rPr>
                      <w:rFonts w:hint="default"/>
                      <w:szCs w:val="22"/>
                      <w:lang w:val="en-US" w:eastAsia="zh-CN"/>
                    </w:rPr>
                    <w:t>10吨及以上的</w:t>
                  </w:r>
                </w:p>
              </w:tc>
              <w:tc>
                <w:tcPr>
                  <w:tcW w:w="1140" w:type="pct"/>
                  <w:tcBorders>
                    <w:tl2br w:val="nil"/>
                    <w:tr2bl w:val="nil"/>
                  </w:tcBorders>
                  <w:shd w:val="clear" w:color="auto" w:fill="BEBEBE"/>
                  <w:noWrap w:val="0"/>
                  <w:vAlign w:val="center"/>
                </w:tcPr>
                <w:p w14:paraId="7360FF2D">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其他</w:t>
                  </w:r>
                  <w:r>
                    <w:rPr>
                      <w:rFonts w:hint="eastAsia"/>
                      <w:szCs w:val="22"/>
                      <w:lang w:val="en-US" w:eastAsia="zh-CN"/>
                    </w:rPr>
                    <w:t>（</w:t>
                  </w:r>
                  <w:r>
                    <w:rPr>
                      <w:rFonts w:hint="default"/>
                      <w:szCs w:val="22"/>
                      <w:lang w:val="en-US" w:eastAsia="zh-CN"/>
                    </w:rPr>
                    <w:t>年用非溶剂型低</w:t>
                  </w:r>
                  <w:r>
                    <w:rPr>
                      <w:rFonts w:hint="eastAsia"/>
                      <w:szCs w:val="22"/>
                      <w:lang w:val="en-US" w:eastAsia="zh-CN"/>
                    </w:rPr>
                    <w:t>VOCs</w:t>
                  </w:r>
                  <w:r>
                    <w:rPr>
                      <w:rFonts w:hint="default"/>
                      <w:szCs w:val="22"/>
                      <w:lang w:val="en-US" w:eastAsia="zh-CN"/>
                    </w:rPr>
                    <w:t>含量涂料10吨以下的除外</w:t>
                  </w:r>
                  <w:r>
                    <w:rPr>
                      <w:rFonts w:hint="eastAsia"/>
                      <w:szCs w:val="22"/>
                      <w:lang w:val="en-US" w:eastAsia="zh-CN"/>
                    </w:rPr>
                    <w:t>）</w:t>
                  </w:r>
                </w:p>
              </w:tc>
              <w:tc>
                <w:tcPr>
                  <w:tcW w:w="501" w:type="pct"/>
                  <w:tcBorders>
                    <w:tl2br w:val="nil"/>
                    <w:tr2bl w:val="nil"/>
                  </w:tcBorders>
                  <w:noWrap w:val="0"/>
                  <w:vAlign w:val="center"/>
                </w:tcPr>
                <w:p w14:paraId="02D903C6">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r>
            <w:tr w14:paraId="248ADF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tcBorders>
                    <w:tl2br w:val="nil"/>
                    <w:tr2bl w:val="nil"/>
                  </w:tcBorders>
                  <w:noWrap w:val="0"/>
                  <w:vAlign w:val="top"/>
                </w:tcPr>
                <w:p w14:paraId="16837632">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rPr>
                    <w:t>三十、金属制品业 33</w:t>
                  </w:r>
                </w:p>
              </w:tc>
            </w:tr>
            <w:tr w14:paraId="6A5E60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1" w:type="pct"/>
                  <w:tcBorders>
                    <w:tl2br w:val="nil"/>
                    <w:tr2bl w:val="nil"/>
                  </w:tcBorders>
                  <w:shd w:val="clear" w:color="auto" w:fill="auto"/>
                  <w:noWrap w:val="0"/>
                  <w:vAlign w:val="center"/>
                </w:tcPr>
                <w:p w14:paraId="47782355">
                  <w:pPr>
                    <w:pStyle w:val="38"/>
                    <w:keepNext w:val="0"/>
                    <w:keepLines w:val="0"/>
                    <w:widowControl/>
                    <w:suppressLineNumbers w:val="0"/>
                    <w:bidi w:val="0"/>
                    <w:spacing w:before="0" w:beforeAutospacing="0" w:after="0" w:afterAutospacing="0"/>
                    <w:ind w:left="0" w:right="0"/>
                    <w:rPr>
                      <w:rFonts w:hint="eastAsia"/>
                      <w:szCs w:val="22"/>
                    </w:rPr>
                  </w:pPr>
                </w:p>
                <w:p w14:paraId="59677513">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rPr>
                    <w:t>67</w:t>
                  </w:r>
                </w:p>
              </w:tc>
              <w:tc>
                <w:tcPr>
                  <w:tcW w:w="887" w:type="pct"/>
                  <w:gridSpan w:val="2"/>
                  <w:tcBorders>
                    <w:tl2br w:val="nil"/>
                    <w:tr2bl w:val="nil"/>
                  </w:tcBorders>
                  <w:shd w:val="clear" w:color="auto" w:fill="auto"/>
                  <w:noWrap w:val="0"/>
                  <w:vAlign w:val="center"/>
                </w:tcPr>
                <w:p w14:paraId="5765ADE4">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rPr>
                    <w:t>金属表面处理及热处理加工</w:t>
                  </w:r>
                </w:p>
              </w:tc>
              <w:tc>
                <w:tcPr>
                  <w:tcW w:w="2139" w:type="pct"/>
                  <w:tcBorders>
                    <w:tl2br w:val="nil"/>
                    <w:tr2bl w:val="nil"/>
                  </w:tcBorders>
                  <w:shd w:val="clear" w:color="auto" w:fill="auto"/>
                  <w:noWrap w:val="0"/>
                  <w:vAlign w:val="center"/>
                </w:tcPr>
                <w:p w14:paraId="07613538">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rPr>
                    <w:t>有电镀工艺的；有钝化工艺的热镀锌；使用有机涂层的（喷粉、喷塑、浸塑和电泳除外；年用溶剂型涂料（含稀释剂）10吨以下和用非溶剂型低</w:t>
                  </w:r>
                  <w:r>
                    <w:rPr>
                      <w:rFonts w:hint="eastAsia"/>
                      <w:szCs w:val="22"/>
                      <w:lang w:eastAsia="zh-CN"/>
                    </w:rPr>
                    <w:t>VOCs</w:t>
                  </w:r>
                  <w:r>
                    <w:rPr>
                      <w:rFonts w:hint="eastAsia"/>
                      <w:szCs w:val="22"/>
                    </w:rPr>
                    <w:t xml:space="preserve">含量涂料的除外） </w:t>
                  </w:r>
                </w:p>
              </w:tc>
              <w:tc>
                <w:tcPr>
                  <w:tcW w:w="1140" w:type="pct"/>
                  <w:tcBorders>
                    <w:tl2br w:val="nil"/>
                    <w:tr2bl w:val="nil"/>
                  </w:tcBorders>
                  <w:shd w:val="clear" w:color="auto" w:fill="BEBEBE"/>
                  <w:noWrap w:val="0"/>
                  <w:vAlign w:val="center"/>
                </w:tcPr>
                <w:p w14:paraId="684E0520">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rPr>
                    <w:t>其他（年用非溶剂型低</w:t>
                  </w:r>
                  <w:r>
                    <w:rPr>
                      <w:rFonts w:hint="eastAsia"/>
                      <w:szCs w:val="22"/>
                      <w:lang w:eastAsia="zh-CN"/>
                    </w:rPr>
                    <w:t>VOCs</w:t>
                  </w:r>
                  <w:r>
                    <w:rPr>
                      <w:rFonts w:hint="eastAsia"/>
                      <w:szCs w:val="22"/>
                    </w:rPr>
                    <w:t>含量涂料10吨以下的除外）</w:t>
                  </w:r>
                </w:p>
              </w:tc>
              <w:tc>
                <w:tcPr>
                  <w:tcW w:w="501" w:type="pct"/>
                  <w:tcBorders>
                    <w:tl2br w:val="nil"/>
                    <w:tr2bl w:val="nil"/>
                  </w:tcBorders>
                  <w:noWrap w:val="0"/>
                  <w:vAlign w:val="center"/>
                </w:tcPr>
                <w:p w14:paraId="527FACB5">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rPr>
                    <w:t>/</w:t>
                  </w:r>
                </w:p>
              </w:tc>
            </w:tr>
          </w:tbl>
          <w:p w14:paraId="61618FFC">
            <w:pPr>
              <w:pStyle w:val="3"/>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出租方概况</w:t>
            </w:r>
          </w:p>
          <w:p w14:paraId="1C0468CD">
            <w:pPr>
              <w:keepNext w:val="0"/>
              <w:keepLines w:val="0"/>
              <w:pageBreakBefore w:val="0"/>
              <w:widowControl/>
              <w:suppressLineNumbers w:val="0"/>
              <w:kinsoku/>
              <w:wordWrap/>
              <w:topLinePunct w:val="0"/>
              <w:autoSpaceDE/>
              <w:autoSpaceDN/>
              <w:bidi w:val="0"/>
              <w:adjustRightIn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000000" w:themeColor="text1"/>
                <w:kern w:val="0"/>
                <w:sz w:val="24"/>
                <w:vertAlign w:val="baseline"/>
                <w:lang w:eastAsia="zh-CN"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本项目生产厂址位于福建省福州市福清市阳下街道洪宽工业区（租赁福清洪添科技有限公司车间</w:t>
            </w:r>
            <w:r>
              <w:rPr>
                <w:rFonts w:hint="eastAsia" w:ascii="Times New Roman" w:hAnsi="Times New Roman" w:cs="Times New Roman"/>
                <w:color w:val="000000" w:themeColor="text1"/>
                <w:kern w:val="0"/>
                <w:sz w:val="24"/>
                <w:lang w:val="en-US" w:eastAsia="zh-CN" w:bidi="ar"/>
                <w14:textFill>
                  <w14:solidFill>
                    <w14:schemeClr w14:val="tx1"/>
                  </w14:solidFill>
                </w14:textFill>
              </w:rPr>
              <w:t>2三层</w:t>
            </w:r>
            <w:r>
              <w:rPr>
                <w:rFonts w:hint="default" w:ascii="Times New Roman" w:hAnsi="Times New Roman" w:cs="Times New Roman"/>
                <w:color w:val="000000" w:themeColor="text1"/>
                <w:kern w:val="0"/>
                <w:sz w:val="24"/>
                <w:lang w:bidi="ar"/>
                <w14:textFill>
                  <w14:solidFill>
                    <w14:schemeClr w14:val="tx1"/>
                  </w14:solidFill>
                </w14:textFill>
              </w:rPr>
              <w:t>），厂房面积</w:t>
            </w:r>
            <w:r>
              <w:rPr>
                <w:rFonts w:hint="eastAsia" w:ascii="Times New Roman" w:hAnsi="Times New Roman" w:cs="Times New Roman"/>
                <w:color w:val="000000" w:themeColor="text1"/>
                <w:kern w:val="0"/>
                <w:sz w:val="24"/>
                <w:lang w:val="en-US" w:eastAsia="zh-CN" w:bidi="ar"/>
                <w14:textFill>
                  <w14:solidFill>
                    <w14:schemeClr w14:val="tx1"/>
                  </w14:solidFill>
                </w14:textFill>
              </w:rPr>
              <w:t>2212.46</w:t>
            </w:r>
            <w:r>
              <w:rPr>
                <w:rFonts w:hint="default" w:ascii="Times New Roman" w:hAnsi="Times New Roman" w:cs="Times New Roman"/>
                <w:color w:val="000000" w:themeColor="text1"/>
                <w:kern w:val="0"/>
                <w:sz w:val="24"/>
                <w:lang w:bidi="ar"/>
                <w14:textFill>
                  <w14:solidFill>
                    <w14:schemeClr w14:val="tx1"/>
                  </w14:solidFill>
                </w14:textFill>
              </w:rPr>
              <w:t>m</w:t>
            </w:r>
            <w:r>
              <w:rPr>
                <w:rFonts w:hint="default" w:ascii="Times New Roman" w:hAnsi="Times New Roman" w:cs="Times New Roman"/>
                <w:color w:val="000000" w:themeColor="text1"/>
                <w:kern w:val="0"/>
                <w:sz w:val="24"/>
                <w:vertAlign w:val="superscript"/>
                <w:lang w:bidi="ar"/>
                <w14:textFill>
                  <w14:solidFill>
                    <w14:schemeClr w14:val="tx1"/>
                  </w14:solidFill>
                </w14:textFill>
              </w:rPr>
              <w:t>2</w:t>
            </w:r>
            <w:r>
              <w:rPr>
                <w:rFonts w:hint="eastAsia" w:cs="Times New Roman"/>
                <w:color w:val="000000" w:themeColor="text1"/>
                <w:kern w:val="0"/>
                <w:sz w:val="24"/>
                <w:vertAlign w:val="baseline"/>
                <w:lang w:eastAsia="zh-CN" w:bidi="ar"/>
                <w14:textFill>
                  <w14:solidFill>
                    <w14:schemeClr w14:val="tx1"/>
                  </w14:solidFill>
                </w14:textFill>
              </w:rPr>
              <w:t>。</w:t>
            </w:r>
          </w:p>
          <w:p w14:paraId="366EFE9B">
            <w:pPr>
              <w:keepNext w:val="0"/>
              <w:keepLines w:val="0"/>
              <w:pageBreakBefore w:val="0"/>
              <w:widowControl/>
              <w:suppressLineNumbers w:val="0"/>
              <w:kinsoku/>
              <w:wordWrap/>
              <w:topLinePunct w:val="0"/>
              <w:autoSpaceDE/>
              <w:autoSpaceDN/>
              <w:bidi w:val="0"/>
              <w:adjustRightInd/>
              <w:spacing w:before="0" w:beforeAutospacing="0" w:after="0" w:afterAutospacing="0" w:line="360" w:lineRule="auto"/>
              <w:ind w:left="0" w:right="0" w:firstLine="480" w:firstLineChars="200"/>
              <w:jc w:val="left"/>
              <w:textAlignment w:val="auto"/>
              <w:rPr>
                <w:rFonts w:hint="default"/>
                <w:lang w:val="en-US" w:eastAsia="zh-CN"/>
              </w:rPr>
            </w:pPr>
            <w:r>
              <w:rPr>
                <w:rFonts w:hint="eastAsia" w:cs="Times New Roman" w:eastAsiaTheme="minorEastAsia"/>
                <w:b w:val="0"/>
                <w:bCs w:val="0"/>
                <w:color w:val="000000" w:themeColor="text1"/>
                <w:kern w:val="2"/>
                <w:sz w:val="24"/>
                <w:szCs w:val="24"/>
                <w:lang w:val="en-US" w:eastAsia="zh-CN"/>
                <w14:textFill>
                  <w14:solidFill>
                    <w14:schemeClr w14:val="tx1"/>
                  </w14:solidFill>
                </w14:textFill>
              </w:rPr>
              <w:t>福清洪添科技有限公司</w:t>
            </w:r>
            <w:r>
              <w:rPr>
                <w:rFonts w:hint="default" w:ascii="Times New Roman" w:hAnsi="Times New Roman" w:cs="Times New Roman" w:eastAsiaTheme="minorEastAsia"/>
                <w:b w:val="0"/>
                <w:bCs w:val="0"/>
                <w:color w:val="000000" w:themeColor="text1"/>
                <w:kern w:val="2"/>
                <w:sz w:val="24"/>
                <w:szCs w:val="24"/>
                <w:lang w:eastAsia="zh-CN"/>
                <w14:textFill>
                  <w14:solidFill>
                    <w14:schemeClr w14:val="tx1"/>
                  </w14:solidFill>
                </w14:textFill>
              </w:rPr>
              <w:t>是一家从事技术服务</w:t>
            </w:r>
            <w:r>
              <w:rPr>
                <w:rFonts w:hint="eastAsia" w:cs="Times New Roman" w:eastAsiaTheme="minorEastAsia"/>
                <w:b w:val="0"/>
                <w:bCs w:val="0"/>
                <w:color w:val="000000" w:themeColor="text1"/>
                <w:kern w:val="2"/>
                <w:sz w:val="24"/>
                <w:szCs w:val="24"/>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lang w:eastAsia="zh-CN"/>
                <w14:textFill>
                  <w14:solidFill>
                    <w14:schemeClr w14:val="tx1"/>
                  </w14:solidFill>
                </w14:textFill>
              </w:rPr>
              <w:t>技术开发</w:t>
            </w:r>
            <w:r>
              <w:rPr>
                <w:rFonts w:hint="eastAsia" w:cs="Times New Roman" w:eastAsiaTheme="minorEastAsia"/>
                <w:b w:val="0"/>
                <w:bCs w:val="0"/>
                <w:color w:val="000000" w:themeColor="text1"/>
                <w:kern w:val="2"/>
                <w:sz w:val="24"/>
                <w:szCs w:val="24"/>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lang w:eastAsia="zh-CN"/>
                <w14:textFill>
                  <w14:solidFill>
                    <w14:schemeClr w14:val="tx1"/>
                  </w14:solidFill>
                </w14:textFill>
              </w:rPr>
              <w:t>技术咨询等业务的公司</w:t>
            </w:r>
            <w:r>
              <w:rPr>
                <w:rFonts w:hint="eastAsia" w:cs="Times New Roman" w:eastAsiaTheme="minorEastAsia"/>
                <w:b w:val="0"/>
                <w:bCs w:val="0"/>
                <w:color w:val="000000" w:themeColor="text1"/>
                <w:kern w:val="2"/>
                <w:sz w:val="24"/>
                <w:szCs w:val="24"/>
                <w:lang w:eastAsia="zh-CN"/>
                <w14:textFill>
                  <w14:solidFill>
                    <w14:schemeClr w14:val="tx1"/>
                  </w14:solidFill>
                </w14:textFill>
              </w:rPr>
              <w:t>，</w:t>
            </w:r>
            <w:r>
              <w:rPr>
                <w:rFonts w:hint="eastAsia" w:cs="Times New Roman" w:eastAsiaTheme="minorEastAsia"/>
                <w:b w:val="0"/>
                <w:bCs w:val="0"/>
                <w:color w:val="000000" w:themeColor="text1"/>
                <w:kern w:val="2"/>
                <w:sz w:val="24"/>
                <w:szCs w:val="24"/>
                <w:lang w:val="en-US" w:eastAsia="zh-CN"/>
                <w14:textFill>
                  <w14:solidFill>
                    <w14:schemeClr w14:val="tx1"/>
                  </w14:solidFill>
                </w14:textFill>
              </w:rPr>
              <w:t>于2025年8月11日公司名称由福清洪添制刀有限公司变更为福清洪添科技有限公司，主要</w:t>
            </w:r>
            <w:r>
              <w:rPr>
                <w:rFonts w:hint="eastAsia" w:cs="Times New Roman" w:eastAsiaTheme="minorEastAsia"/>
                <w:b w:val="0"/>
                <w:bCs w:val="0"/>
                <w:color w:val="000000" w:themeColor="text1"/>
                <w:kern w:val="2"/>
                <w:sz w:val="24"/>
                <w:szCs w:val="24"/>
                <w:lang w:eastAsia="zh-CN"/>
                <w14:textFill>
                  <w14:solidFill>
                    <w14:schemeClr w14:val="tx1"/>
                  </w14:solidFill>
                </w14:textFill>
              </w:rPr>
              <w:t>生产各种家庭用刀及农具、各种钢材及各种制刀叠层板热轧冷轧，</w:t>
            </w:r>
            <w:r>
              <w:rPr>
                <w:rFonts w:hint="eastAsia"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t>建设</w:t>
            </w:r>
            <w:r>
              <w:rPr>
                <w:rFonts w:hint="eastAsia" w:cs="Times New Roman" w:eastAsiaTheme="minorEastAsia"/>
                <w:b w:val="0"/>
                <w:bCs w:val="0"/>
                <w:color w:val="000000" w:themeColor="text1"/>
                <w:kern w:val="2"/>
                <w:sz w:val="24"/>
                <w:szCs w:val="24"/>
                <w:lang w:val="en-US" w:eastAsia="zh-CN"/>
                <w14:textFill>
                  <w14:solidFill>
                    <w14:schemeClr w14:val="tx1"/>
                  </w14:solidFill>
                </w14:textFill>
              </w:rPr>
              <w:t>有</w:t>
            </w:r>
            <w:r>
              <w:rPr>
                <w:rFonts w:hint="eastAsia"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t>4栋厂房（分别为1号楼、2号楼、车间1、车间2）（产权证见</w:t>
            </w:r>
            <w:r>
              <w:rPr>
                <w:rFonts w:hint="eastAsia"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fldChar w:fldCharType="begin"/>
            </w:r>
            <w:r>
              <w:rPr>
                <w:rFonts w:hint="eastAsia"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instrText xml:space="preserve"> REF _Ref5002 \h </w:instrText>
            </w:r>
            <w:r>
              <w:rPr>
                <w:rFonts w:hint="eastAsia"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fldChar w:fldCharType="separate"/>
            </w:r>
            <w:r>
              <w:rPr>
                <w:rFonts w:hint="eastAsia"/>
              </w:rPr>
              <w:t>附件 6</w:t>
            </w:r>
            <w:r>
              <w:rPr>
                <w:rFonts w:hint="eastAsia"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fldChar w:fldCharType="end"/>
            </w:r>
            <w:r>
              <w:rPr>
                <w:rFonts w:hint="eastAsia"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t>）。</w:t>
            </w:r>
            <w:r>
              <w:rPr>
                <w:rFonts w:hint="eastAsia" w:cs="Times New Roman"/>
                <w:color w:val="000000" w:themeColor="text1"/>
                <w:kern w:val="0"/>
                <w:sz w:val="24"/>
                <w:lang w:val="en-US" w:eastAsia="zh-CN" w:bidi="ar"/>
                <w14:textFill>
                  <w14:solidFill>
                    <w14:schemeClr w14:val="tx1"/>
                  </w14:solidFill>
                </w14:textFill>
              </w:rPr>
              <w:t>2025年12月福清洪添科技有限公司</w:t>
            </w:r>
            <w:r>
              <w:rPr>
                <w:rFonts w:hint="eastAsia" w:cs="Times New Roman" w:eastAsiaTheme="minorEastAsia"/>
                <w:b w:val="0"/>
                <w:bCs w:val="0"/>
                <w:color w:val="000000" w:themeColor="text1"/>
                <w:kern w:val="2"/>
                <w:sz w:val="24"/>
                <w:szCs w:val="24"/>
                <w:lang w:val="en-US" w:eastAsia="zh-CN"/>
                <w14:textFill>
                  <w14:solidFill>
                    <w14:schemeClr w14:val="tx1"/>
                  </w14:solidFill>
                </w14:textFill>
              </w:rPr>
              <w:t>将</w:t>
            </w:r>
            <w:r>
              <w:rPr>
                <w:rFonts w:hint="default" w:ascii="Times New Roman" w:hAnsi="Times New Roman" w:cs="Times New Roman"/>
                <w:color w:val="000000" w:themeColor="text1"/>
                <w:kern w:val="0"/>
                <w:sz w:val="24"/>
                <w:lang w:bidi="ar"/>
                <w14:textFill>
                  <w14:solidFill>
                    <w14:schemeClr w14:val="tx1"/>
                  </w14:solidFill>
                </w14:textFill>
              </w:rPr>
              <w:t>车间</w:t>
            </w:r>
            <w:r>
              <w:rPr>
                <w:rFonts w:hint="eastAsia" w:ascii="Times New Roman" w:hAnsi="Times New Roman" w:cs="Times New Roman"/>
                <w:color w:val="000000" w:themeColor="text1"/>
                <w:kern w:val="0"/>
                <w:sz w:val="24"/>
                <w:lang w:val="en-US" w:eastAsia="zh-CN" w:bidi="ar"/>
                <w14:textFill>
                  <w14:solidFill>
                    <w14:schemeClr w14:val="tx1"/>
                  </w14:solidFill>
                </w14:textFill>
              </w:rPr>
              <w:t>2</w:t>
            </w:r>
            <w:r>
              <w:rPr>
                <w:rFonts w:hint="eastAsia" w:cs="Times New Roman"/>
                <w:color w:val="000000" w:themeColor="text1"/>
                <w:kern w:val="0"/>
                <w:sz w:val="24"/>
                <w:lang w:val="en-US" w:eastAsia="zh-CN" w:bidi="ar"/>
                <w14:textFill>
                  <w14:solidFill>
                    <w14:schemeClr w14:val="tx1"/>
                  </w14:solidFill>
                </w14:textFill>
              </w:rPr>
              <w:t>厂房</w:t>
            </w:r>
            <w:r>
              <w:rPr>
                <w:rFonts w:hint="default" w:ascii="Times New Roman" w:hAnsi="Times New Roman" w:cs="Times New Roman"/>
                <w:color w:val="000000" w:themeColor="text1"/>
                <w:kern w:val="0"/>
                <w:sz w:val="24"/>
                <w:lang w:bidi="ar"/>
                <w14:textFill>
                  <w14:solidFill>
                    <w14:schemeClr w14:val="tx1"/>
                  </w14:solidFill>
                </w14:textFill>
              </w:rPr>
              <w:t>第</w:t>
            </w:r>
            <w:r>
              <w:rPr>
                <w:rFonts w:hint="eastAsia" w:cs="Times New Roman"/>
                <w:color w:val="000000" w:themeColor="text1"/>
                <w:kern w:val="0"/>
                <w:sz w:val="24"/>
                <w:lang w:val="en-US" w:eastAsia="zh-CN" w:bidi="ar"/>
                <w14:textFill>
                  <w14:solidFill>
                    <w14:schemeClr w14:val="tx1"/>
                  </w14:solidFill>
                </w14:textFill>
              </w:rPr>
              <w:t>3</w:t>
            </w:r>
            <w:r>
              <w:rPr>
                <w:rFonts w:hint="default" w:ascii="Times New Roman" w:hAnsi="Times New Roman" w:cs="Times New Roman"/>
                <w:color w:val="000000" w:themeColor="text1"/>
                <w:kern w:val="0"/>
                <w:sz w:val="24"/>
                <w:lang w:bidi="ar"/>
                <w14:textFill>
                  <w14:solidFill>
                    <w14:schemeClr w14:val="tx1"/>
                  </w14:solidFill>
                </w14:textFill>
              </w:rPr>
              <w:t>层</w:t>
            </w:r>
            <w:r>
              <w:rPr>
                <w:rFonts w:hint="eastAsia"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t>（房屋租赁合同见</w:t>
            </w:r>
            <w:r>
              <w:rPr>
                <w:rFonts w:hint="eastAsia"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fldChar w:fldCharType="begin"/>
            </w:r>
            <w:r>
              <w:rPr>
                <w:rFonts w:hint="eastAsia"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instrText xml:space="preserve"> REF _Ref4970 \h </w:instrText>
            </w:r>
            <w:r>
              <w:rPr>
                <w:rFonts w:hint="eastAsia"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fldChar w:fldCharType="separate"/>
            </w:r>
            <w:r>
              <w:rPr>
                <w:rFonts w:hint="eastAsia"/>
              </w:rPr>
              <w:t>附件 7</w:t>
            </w:r>
            <w:r>
              <w:rPr>
                <w:rFonts w:hint="eastAsia"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fldChar w:fldCharType="end"/>
            </w:r>
            <w:r>
              <w:rPr>
                <w:rFonts w:hint="eastAsia" w:ascii="Times New Roman" w:hAnsi="Times New Roman" w:cs="Times New Roman" w:eastAsiaTheme="minorEastAsia"/>
                <w:b w:val="0"/>
                <w:bCs w:val="0"/>
                <w:color w:val="000000" w:themeColor="text1"/>
                <w:kern w:val="2"/>
                <w:sz w:val="24"/>
                <w:szCs w:val="24"/>
                <w:lang w:val="en-US" w:eastAsia="zh-CN"/>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出租给</w:t>
            </w:r>
            <w:r>
              <w:rPr>
                <w:rFonts w:hint="eastAsia" w:cs="Times New Roman"/>
                <w:color w:val="000000" w:themeColor="text1"/>
                <w:kern w:val="0"/>
                <w:sz w:val="24"/>
                <w:lang w:val="en-US" w:eastAsia="zh-CN" w:bidi="ar"/>
                <w14:textFill>
                  <w14:solidFill>
                    <w14:schemeClr w14:val="tx1"/>
                  </w14:solidFill>
                </w14:textFill>
              </w:rPr>
              <w:t>福清市三合电子科技有限公司年加工铝合金20万套、塑胶件30万套、钣金件10万套项目</w:t>
            </w:r>
            <w:r>
              <w:rPr>
                <w:rFonts w:hint="eastAsia" w:cs="Times New Roman" w:eastAsiaTheme="minorEastAsia"/>
                <w:b w:val="0"/>
                <w:bCs w:val="0"/>
                <w:color w:val="000000" w:themeColor="text1"/>
                <w:kern w:val="2"/>
                <w:sz w:val="24"/>
                <w:szCs w:val="24"/>
                <w:highlight w:val="none"/>
                <w:lang w:val="en-US" w:eastAsia="zh-CN"/>
                <w14:textFill>
                  <w14:solidFill>
                    <w14:schemeClr w14:val="tx1"/>
                  </w14:solidFill>
                </w14:textFill>
              </w:rPr>
              <w:t>建设使用</w:t>
            </w:r>
            <w:r>
              <w:rPr>
                <w:rFonts w:hint="default" w:ascii="Times New Roman" w:hAnsi="Times New Roman" w:cs="Times New Roman"/>
                <w:color w:val="000000" w:themeColor="text1"/>
                <w:kern w:val="0"/>
                <w:sz w:val="24"/>
                <w:lang w:val="en-US" w:eastAsia="zh-CN" w:bidi="ar"/>
                <w14:textFill>
                  <w14:solidFill>
                    <w14:schemeClr w14:val="tx1"/>
                  </w14:solidFill>
                </w14:textFill>
              </w:rPr>
              <w:t>。</w:t>
            </w:r>
          </w:p>
          <w:p w14:paraId="737B4D06">
            <w:pPr>
              <w:keepNext w:val="0"/>
              <w:keepLines w:val="0"/>
              <w:suppressLineNumbers w:val="0"/>
              <w:spacing w:before="0" w:beforeAutospacing="0" w:after="0" w:afterAutospacing="0"/>
              <w:ind w:left="0" w:right="0"/>
              <w:rPr>
                <w:rFonts w:hint="eastAsia"/>
                <w:lang w:val="en-US" w:eastAsia="zh-CN"/>
              </w:rPr>
            </w:pPr>
            <w:r>
              <w:rPr>
                <w:rFonts w:hint="default" w:ascii="Times New Roman" w:hAnsi="Times New Roman" w:cs="Times New Roman"/>
                <w:color w:val="000000" w:themeColor="text1"/>
                <w:kern w:val="0"/>
                <w:sz w:val="24"/>
                <w:lang w:bidi="ar"/>
                <w14:textFill>
                  <w14:solidFill>
                    <w14:schemeClr w14:val="tx1"/>
                  </w14:solidFill>
                </w14:textFill>
              </w:rPr>
              <w:t>根据现场勘查，该区域属于福清市融元污水处理厂服务范围内，目前生活污水经厂区内现有化粪池处理后接入</w:t>
            </w:r>
            <w:r>
              <w:rPr>
                <w:rFonts w:hint="eastAsia" w:cs="Times New Roman"/>
                <w:color w:val="000000" w:themeColor="text1"/>
                <w:kern w:val="0"/>
                <w:sz w:val="24"/>
                <w:lang w:eastAsia="zh-CN" w:bidi="ar"/>
                <w14:textFill>
                  <w14:solidFill>
                    <w14:schemeClr w14:val="tx1"/>
                  </w14:solidFill>
                </w14:textFill>
              </w:rPr>
              <w:t>市政污水管网</w:t>
            </w:r>
            <w:r>
              <w:rPr>
                <w:rFonts w:hint="default" w:ascii="Times New Roman" w:hAnsi="Times New Roman" w:cs="Times New Roman"/>
                <w:color w:val="000000" w:themeColor="text1"/>
                <w:kern w:val="0"/>
                <w:sz w:val="24"/>
                <w:lang w:bidi="ar"/>
                <w14:textFill>
                  <w14:solidFill>
                    <w14:schemeClr w14:val="tx1"/>
                  </w14:solidFill>
                </w14:textFill>
              </w:rPr>
              <w:t>送往福清市融元污水处理厂集中处理后排放。本项目可依托的设施主要为厂房内的给水管网、排水管网、供电管网及给水消防等公用工程设施</w:t>
            </w:r>
            <w:r>
              <w:rPr>
                <w:rFonts w:hint="default" w:ascii="Times New Roman" w:hAnsi="Times New Roman" w:cs="Times New Roman"/>
                <w:color w:val="000000" w:themeColor="text1"/>
                <w:kern w:val="0"/>
                <w:sz w:val="24"/>
                <w:lang w:val="en-US" w:eastAsia="zh-CN" w:bidi="ar"/>
                <w14:textFill>
                  <w14:solidFill>
                    <w14:schemeClr w14:val="tx1"/>
                  </w14:solidFill>
                </w14:textFill>
              </w:rPr>
              <w:t>。</w:t>
            </w:r>
          </w:p>
          <w:p w14:paraId="260E060B">
            <w:pPr>
              <w:pStyle w:val="3"/>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工程概况</w:t>
            </w:r>
          </w:p>
          <w:p w14:paraId="5318E1B2">
            <w:pPr>
              <w:pStyle w:val="4"/>
              <w:suppressLineNumbers w:val="0"/>
              <w:bidi w:val="0"/>
              <w:spacing w:before="0" w:beforeAutospacing="0" w:after="0" w:afterAutospacing="0"/>
              <w:ind w:left="0" w:right="0"/>
              <w:rPr>
                <w:rFonts w:hint="eastAsia"/>
                <w:lang w:val="en-US" w:eastAsia="zh-CN"/>
              </w:rPr>
            </w:pPr>
            <w:r>
              <w:rPr>
                <w:rFonts w:hint="eastAsia"/>
                <w:lang w:val="en-US" w:eastAsia="zh-CN"/>
              </w:rPr>
              <w:t>项目基本情况</w:t>
            </w:r>
          </w:p>
          <w:p w14:paraId="11C7211B">
            <w:pPr>
              <w:keepNext w:val="0"/>
              <w:keepLines w:val="0"/>
              <w:suppressLineNumbers w:val="0"/>
              <w:bidi w:val="0"/>
              <w:spacing w:before="0" w:beforeAutospacing="0" w:after="0" w:afterAutospacing="0"/>
              <w:ind w:left="0" w:right="0"/>
              <w:rPr>
                <w:rFonts w:hint="eastAsia"/>
                <w:highlight w:val="none"/>
                <w:shd w:val="clear"/>
                <w:lang w:eastAsia="zh-CN"/>
              </w:rPr>
            </w:pPr>
            <w:r>
              <w:rPr>
                <w:rFonts w:hint="eastAsia"/>
                <w:lang w:eastAsia="zh-CN"/>
              </w:rPr>
              <w:t>（</w:t>
            </w:r>
            <w:r>
              <w:rPr>
                <w:rFonts w:hint="eastAsia"/>
                <w:lang w:val="en-US" w:eastAsia="zh-CN"/>
              </w:rPr>
              <w:t>1</w:t>
            </w:r>
            <w:r>
              <w:rPr>
                <w:rFonts w:hint="eastAsia"/>
                <w:lang w:eastAsia="zh-CN"/>
              </w:rPr>
              <w:t>）</w:t>
            </w:r>
            <w:r>
              <w:rPr>
                <w:rFonts w:hint="eastAsia"/>
              </w:rPr>
              <w:t>项目名称</w:t>
            </w:r>
            <w:r>
              <w:rPr>
                <w:rFonts w:hint="eastAsia"/>
                <w:highlight w:val="none"/>
                <w:shd w:val="clear"/>
              </w:rPr>
              <w:t>：</w:t>
            </w:r>
            <w:r>
              <w:rPr>
                <w:rFonts w:hint="eastAsia"/>
                <w:highlight w:val="none"/>
                <w:shd w:val="clear"/>
                <w:lang w:eastAsia="zh-CN"/>
              </w:rPr>
              <w:t>福清市三合电子科技有限公司年加工铝合金20万套、塑胶件30万套、钣金件10万套项目</w:t>
            </w:r>
          </w:p>
          <w:p w14:paraId="633DDBE9">
            <w:pPr>
              <w:keepNext w:val="0"/>
              <w:keepLines w:val="0"/>
              <w:suppressLineNumbers w:val="0"/>
              <w:bidi w:val="0"/>
              <w:spacing w:before="0" w:beforeAutospacing="0" w:after="0" w:afterAutospacing="0"/>
              <w:ind w:left="0" w:right="0"/>
              <w:rPr>
                <w:rFonts w:hint="eastAsia"/>
              </w:rPr>
            </w:pPr>
            <w:r>
              <w:rPr>
                <w:rFonts w:hint="eastAsia"/>
              </w:rPr>
              <w:t>（2）建设单位：</w:t>
            </w:r>
            <w:r>
              <w:rPr>
                <w:rFonts w:hint="eastAsia"/>
                <w:lang w:eastAsia="zh-CN"/>
              </w:rPr>
              <w:t>福清市三合电子科技有限公司</w:t>
            </w:r>
          </w:p>
          <w:p w14:paraId="548F2E77">
            <w:pPr>
              <w:keepNext w:val="0"/>
              <w:keepLines w:val="0"/>
              <w:suppressLineNumbers w:val="0"/>
              <w:bidi w:val="0"/>
              <w:spacing w:before="0" w:beforeAutospacing="0" w:after="0" w:afterAutospacing="0"/>
              <w:ind w:left="0" w:right="0"/>
              <w:rPr>
                <w:rFonts w:hint="eastAsia"/>
                <w:lang w:eastAsia="zh-CN"/>
              </w:rPr>
            </w:pPr>
            <w:r>
              <w:rPr>
                <w:rFonts w:hint="eastAsia"/>
              </w:rPr>
              <w:t>（3）建设地点：</w:t>
            </w:r>
            <w:r>
              <w:rPr>
                <w:rFonts w:hint="eastAsia"/>
                <w:lang w:eastAsia="zh-CN"/>
              </w:rPr>
              <w:t>福清融侨经济技术开发区（租赁福清洪添科技有限公司车间2第3层）</w:t>
            </w:r>
          </w:p>
          <w:p w14:paraId="0181D89C">
            <w:pPr>
              <w:keepNext w:val="0"/>
              <w:keepLines w:val="0"/>
              <w:suppressLineNumbers w:val="0"/>
              <w:bidi w:val="0"/>
              <w:spacing w:before="0" w:beforeAutospacing="0" w:after="0" w:afterAutospacing="0"/>
              <w:ind w:left="0" w:right="0"/>
              <w:rPr>
                <w:rFonts w:hint="eastAsia" w:eastAsia="宋体"/>
                <w:lang w:val="en-US" w:eastAsia="zh-CN"/>
              </w:rPr>
            </w:pPr>
            <w:r>
              <w:rPr>
                <w:rFonts w:hint="eastAsia"/>
              </w:rPr>
              <w:t>（4）建设性质：</w:t>
            </w:r>
            <w:r>
              <w:rPr>
                <w:rFonts w:hint="eastAsia"/>
                <w:lang w:val="en-US" w:eastAsia="zh-CN"/>
              </w:rPr>
              <w:t>新建</w:t>
            </w:r>
          </w:p>
          <w:p w14:paraId="075B2AB8">
            <w:pPr>
              <w:keepNext w:val="0"/>
              <w:keepLines w:val="0"/>
              <w:suppressLineNumbers w:val="0"/>
              <w:bidi w:val="0"/>
              <w:spacing w:before="0" w:beforeAutospacing="0" w:after="0" w:afterAutospacing="0"/>
              <w:ind w:left="0" w:right="0"/>
              <w:rPr>
                <w:rFonts w:hint="eastAsia"/>
              </w:rPr>
            </w:pPr>
            <w:r>
              <w:rPr>
                <w:rFonts w:hint="eastAsia"/>
              </w:rPr>
              <w:t>（5）总 投 资：</w:t>
            </w:r>
            <w:r>
              <w:rPr>
                <w:rFonts w:hint="eastAsia"/>
                <w:lang w:val="en-US" w:eastAsia="zh-CN"/>
              </w:rPr>
              <w:t>120</w:t>
            </w:r>
            <w:r>
              <w:rPr>
                <w:rFonts w:hint="eastAsia"/>
              </w:rPr>
              <w:t>万元</w:t>
            </w:r>
          </w:p>
          <w:p w14:paraId="04C07A05">
            <w:pPr>
              <w:keepNext w:val="0"/>
              <w:keepLines w:val="0"/>
              <w:suppressLineNumbers w:val="0"/>
              <w:bidi w:val="0"/>
              <w:spacing w:before="0" w:beforeAutospacing="0" w:after="0" w:afterAutospacing="0"/>
              <w:ind w:left="0" w:right="0"/>
              <w:rPr>
                <w:rFonts w:hint="eastAsia"/>
              </w:rPr>
            </w:pPr>
            <w:r>
              <w:rPr>
                <w:rFonts w:hint="eastAsia"/>
              </w:rPr>
              <w:t>（6）工程规模：主要建筑面积</w:t>
            </w:r>
            <w:r>
              <w:rPr>
                <w:rFonts w:hint="eastAsia"/>
                <w:lang w:val="en-US" w:eastAsia="zh-CN"/>
              </w:rPr>
              <w:t>2212.46</w:t>
            </w:r>
            <w:r>
              <w:rPr>
                <w:rFonts w:hint="eastAsia"/>
              </w:rPr>
              <w:t>m</w:t>
            </w:r>
            <w:r>
              <w:rPr>
                <w:rFonts w:hint="eastAsia"/>
                <w:vertAlign w:val="superscript"/>
              </w:rPr>
              <w:t>2</w:t>
            </w:r>
          </w:p>
          <w:p w14:paraId="0C36A729">
            <w:pPr>
              <w:keepNext w:val="0"/>
              <w:keepLines w:val="0"/>
              <w:suppressLineNumbers w:val="0"/>
              <w:bidi w:val="0"/>
              <w:spacing w:before="0" w:beforeAutospacing="0" w:after="0" w:afterAutospacing="0"/>
              <w:ind w:left="0" w:right="0"/>
              <w:rPr>
                <w:rFonts w:hint="default"/>
                <w:lang w:val="en-US" w:eastAsia="zh-CN"/>
              </w:rPr>
            </w:pPr>
            <w:r>
              <w:rPr>
                <w:rFonts w:hint="eastAsia"/>
              </w:rPr>
              <w:t>（7）生产规模：</w:t>
            </w:r>
            <w:r>
              <w:rPr>
                <w:rFonts w:hint="eastAsia"/>
                <w:lang w:val="zh-CN"/>
              </w:rPr>
              <w:t>年加工铝合金20万套、塑胶件</w:t>
            </w:r>
            <w:r>
              <w:rPr>
                <w:rFonts w:hint="eastAsia"/>
                <w:lang w:val="en-US" w:eastAsia="zh-CN"/>
              </w:rPr>
              <w:t>30</w:t>
            </w:r>
            <w:r>
              <w:rPr>
                <w:rFonts w:hint="eastAsia"/>
                <w:lang w:val="zh-CN"/>
              </w:rPr>
              <w:t>万套、</w:t>
            </w:r>
            <w:r>
              <w:rPr>
                <w:rFonts w:hint="eastAsia"/>
                <w:lang w:val="en-US" w:eastAsia="zh-CN"/>
              </w:rPr>
              <w:t>钣</w:t>
            </w:r>
            <w:r>
              <w:rPr>
                <w:rFonts w:hint="eastAsia"/>
                <w:lang w:val="zh-CN"/>
              </w:rPr>
              <w:t>金件</w:t>
            </w:r>
            <w:r>
              <w:rPr>
                <w:rFonts w:hint="eastAsia"/>
                <w:lang w:val="en-US" w:eastAsia="zh-CN"/>
              </w:rPr>
              <w:t>10</w:t>
            </w:r>
            <w:r>
              <w:rPr>
                <w:rFonts w:hint="eastAsia"/>
                <w:lang w:val="zh-CN"/>
              </w:rPr>
              <w:t>万套</w:t>
            </w:r>
            <w:r>
              <w:rPr>
                <w:rFonts w:hint="eastAsia"/>
                <w:lang w:val="en-US" w:eastAsia="zh-CN"/>
              </w:rPr>
              <w:t>。</w:t>
            </w:r>
          </w:p>
          <w:p w14:paraId="2D3A0C0A">
            <w:pPr>
              <w:keepNext w:val="0"/>
              <w:keepLines w:val="0"/>
              <w:suppressLineNumbers w:val="0"/>
              <w:bidi w:val="0"/>
              <w:spacing w:before="0" w:beforeAutospacing="0" w:after="0" w:afterAutospacing="0"/>
              <w:ind w:left="0" w:right="0"/>
              <w:rPr>
                <w:rFonts w:hint="eastAsia"/>
              </w:rPr>
            </w:pPr>
            <w:r>
              <w:rPr>
                <w:rFonts w:hint="eastAsia"/>
              </w:rPr>
              <w:t>（8）生产定员：员工</w:t>
            </w:r>
            <w:r>
              <w:rPr>
                <w:rFonts w:hint="eastAsia"/>
                <w:lang w:val="en-US" w:eastAsia="zh-CN"/>
              </w:rPr>
              <w:t>13</w:t>
            </w:r>
            <w:r>
              <w:rPr>
                <w:rFonts w:hint="eastAsia"/>
              </w:rPr>
              <w:t>人（均</w:t>
            </w:r>
            <w:r>
              <w:rPr>
                <w:rFonts w:hint="eastAsia"/>
                <w:lang w:eastAsia="zh-CN"/>
              </w:rPr>
              <w:t>不</w:t>
            </w:r>
            <w:r>
              <w:rPr>
                <w:rFonts w:hint="eastAsia"/>
              </w:rPr>
              <w:t>住厂）</w:t>
            </w:r>
          </w:p>
          <w:p w14:paraId="2915AAED">
            <w:pPr>
              <w:keepNext w:val="0"/>
              <w:keepLines w:val="0"/>
              <w:suppressLineNumbers w:val="0"/>
              <w:bidi w:val="0"/>
              <w:spacing w:before="0" w:beforeAutospacing="0" w:after="0" w:afterAutospacing="0"/>
              <w:ind w:left="0" w:right="0"/>
              <w:rPr>
                <w:rFonts w:hint="eastAsia"/>
              </w:rPr>
            </w:pPr>
            <w:r>
              <w:rPr>
                <w:rFonts w:hint="eastAsia"/>
              </w:rPr>
              <w:t>（9）工作制度：</w:t>
            </w:r>
            <w:r>
              <w:rPr>
                <w:rFonts w:hint="default"/>
              </w:rPr>
              <w:t>年工作日</w:t>
            </w:r>
            <w:r>
              <w:rPr>
                <w:rFonts w:hint="default"/>
                <w:lang w:val="en-US" w:eastAsia="zh-CN"/>
              </w:rPr>
              <w:t>3</w:t>
            </w:r>
            <w:r>
              <w:rPr>
                <w:rFonts w:hint="eastAsia"/>
                <w:lang w:val="en-US" w:eastAsia="zh-CN"/>
              </w:rPr>
              <w:t>0</w:t>
            </w:r>
            <w:r>
              <w:rPr>
                <w:rFonts w:hint="default"/>
                <w:lang w:val="en-US" w:eastAsia="zh-CN"/>
              </w:rPr>
              <w:t>0</w:t>
            </w:r>
            <w:r>
              <w:rPr>
                <w:rFonts w:hint="default"/>
              </w:rPr>
              <w:t>天，实行</w:t>
            </w:r>
            <w:r>
              <w:rPr>
                <w:rFonts w:hint="eastAsia"/>
                <w:lang w:val="en-US" w:eastAsia="zh-CN"/>
              </w:rPr>
              <w:t>两</w:t>
            </w:r>
            <w:r>
              <w:rPr>
                <w:rFonts w:hint="default"/>
              </w:rPr>
              <w:t>班制，工作时间</w:t>
            </w:r>
            <w:r>
              <w:rPr>
                <w:rFonts w:hint="eastAsia"/>
                <w:lang w:val="en-US" w:eastAsia="zh-CN"/>
              </w:rPr>
              <w:t>12</w:t>
            </w:r>
            <w:r>
              <w:rPr>
                <w:rFonts w:hint="default"/>
              </w:rPr>
              <w:t>小时</w:t>
            </w:r>
            <w:r>
              <w:rPr>
                <w:rFonts w:hint="eastAsia"/>
                <w:lang w:val="en-US" w:eastAsia="zh-CN"/>
              </w:rPr>
              <w:t>/天。</w:t>
            </w:r>
          </w:p>
          <w:p w14:paraId="7CD59F33">
            <w:pPr>
              <w:pStyle w:val="4"/>
              <w:suppressLineNumbers w:val="0"/>
              <w:bidi w:val="0"/>
              <w:spacing w:before="0" w:beforeAutospacing="0" w:after="0" w:afterAutospacing="0"/>
              <w:ind w:left="0" w:right="0"/>
              <w:rPr>
                <w:rFonts w:hint="default"/>
              </w:rPr>
            </w:pPr>
            <w:r>
              <w:rPr>
                <w:rFonts w:hint="default"/>
              </w:rPr>
              <w:t>工程主要建设内容</w:t>
            </w:r>
          </w:p>
          <w:p w14:paraId="2A0BB040">
            <w:pPr>
              <w:keepNext w:val="0"/>
              <w:keepLines w:val="0"/>
              <w:suppressLineNumbers w:val="0"/>
              <w:shd w:val="clear"/>
              <w:spacing w:before="0" w:beforeAutospacing="0" w:after="0" w:afterAutospacing="0"/>
              <w:ind w:left="0" w:right="0" w:firstLine="480"/>
              <w:rPr>
                <w:rFonts w:hint="eastAsia"/>
                <w:color w:val="auto"/>
                <w:highlight w:val="none"/>
              </w:rPr>
            </w:pPr>
            <w:r>
              <w:rPr>
                <w:rFonts w:hint="eastAsia"/>
                <w:color w:val="auto"/>
              </w:rPr>
              <w:t>工程</w:t>
            </w:r>
            <w:r>
              <w:rPr>
                <w:rFonts w:hint="eastAsia"/>
                <w:color w:val="auto"/>
                <w:highlight w:val="none"/>
              </w:rPr>
              <w:t>主要建设内容见表</w:t>
            </w:r>
            <w:r>
              <w:rPr>
                <w:rFonts w:hint="eastAsia"/>
                <w:color w:val="auto"/>
                <w:highlight w:val="none"/>
                <w:lang w:val="en-US" w:eastAsia="zh-CN"/>
              </w:rPr>
              <w:t>2.3-1</w:t>
            </w:r>
            <w:r>
              <w:rPr>
                <w:rFonts w:hint="eastAsia"/>
                <w:color w:val="auto"/>
                <w:highlight w:val="none"/>
              </w:rPr>
              <w:t>。</w:t>
            </w:r>
          </w:p>
          <w:p w14:paraId="51882F0B">
            <w:pPr>
              <w:pStyle w:val="39"/>
              <w:keepNext w:val="0"/>
              <w:keepLines w:val="0"/>
              <w:suppressLineNumbers w:val="0"/>
              <w:shd w:val="clear"/>
              <w:bidi w:val="0"/>
              <w:spacing w:before="0" w:beforeAutospacing="0" w:after="0" w:afterAutospacing="0"/>
              <w:ind w:left="0" w:right="0"/>
              <w:rPr>
                <w:rFonts w:hint="default"/>
                <w:highlight w:val="none"/>
                <w:lang w:eastAsia="zh-CN"/>
              </w:rPr>
            </w:pPr>
            <w:r>
              <w:rPr>
                <w:rFonts w:hint="default"/>
                <w:highlight w:val="none"/>
                <w:lang w:eastAsia="zh-CN"/>
              </w:rPr>
              <w:t>表</w:t>
            </w:r>
            <w:r>
              <w:rPr>
                <w:rFonts w:hint="eastAsia"/>
                <w:color w:val="auto"/>
                <w:highlight w:val="none"/>
                <w:lang w:val="en-US" w:eastAsia="zh-CN"/>
              </w:rPr>
              <w:t>2.3-1</w:t>
            </w:r>
            <w:r>
              <w:rPr>
                <w:rFonts w:hint="default"/>
                <w:highlight w:val="none"/>
                <w:lang w:eastAsia="zh-CN"/>
              </w:rPr>
              <w:t xml:space="preserve"> 工程主要建设内容一览表</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405"/>
              <w:gridCol w:w="405"/>
              <w:gridCol w:w="498"/>
              <w:gridCol w:w="6607"/>
            </w:tblGrid>
            <w:tr w14:paraId="59CB72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0" w:type="auto"/>
                  <w:gridSpan w:val="3"/>
                  <w:tcBorders>
                    <w:left w:val="nil"/>
                  </w:tcBorders>
                  <w:noWrap w:val="0"/>
                  <w:vAlign w:val="center"/>
                </w:tcPr>
                <w:p w14:paraId="361BC601">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项目名称</w:t>
                  </w:r>
                </w:p>
              </w:tc>
              <w:tc>
                <w:tcPr>
                  <w:tcW w:w="0" w:type="auto"/>
                  <w:tcBorders>
                    <w:right w:val="nil"/>
                  </w:tcBorders>
                  <w:noWrap w:val="0"/>
                  <w:vAlign w:val="center"/>
                </w:tcPr>
                <w:p w14:paraId="6A554D31">
                  <w:pPr>
                    <w:pStyle w:val="38"/>
                    <w:keepNext w:val="0"/>
                    <w:keepLines w:val="0"/>
                    <w:widowControl/>
                    <w:suppressLineNumbers w:val="0"/>
                    <w:bidi w:val="0"/>
                    <w:spacing w:before="0" w:beforeAutospacing="0" w:after="0" w:afterAutospacing="0"/>
                    <w:ind w:left="0" w:right="0"/>
                    <w:rPr>
                      <w:rFonts w:hint="default" w:eastAsia="宋体"/>
                      <w:szCs w:val="22"/>
                      <w:lang w:val="en-US" w:eastAsia="zh-CN"/>
                    </w:rPr>
                  </w:pPr>
                  <w:r>
                    <w:rPr>
                      <w:rFonts w:hint="eastAsia"/>
                      <w:szCs w:val="22"/>
                      <w:lang w:val="en-US" w:eastAsia="zh-CN"/>
                    </w:rPr>
                    <w:t>本项目主要建设内容</w:t>
                  </w:r>
                </w:p>
              </w:tc>
            </w:tr>
            <w:tr w14:paraId="43AF3D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0" w:type="auto"/>
                  <w:tcBorders>
                    <w:left w:val="nil"/>
                  </w:tcBorders>
                  <w:noWrap w:val="0"/>
                  <w:vAlign w:val="center"/>
                </w:tcPr>
                <w:p w14:paraId="52097ABF">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主体工程</w:t>
                  </w:r>
                </w:p>
              </w:tc>
              <w:tc>
                <w:tcPr>
                  <w:tcW w:w="0" w:type="auto"/>
                  <w:gridSpan w:val="2"/>
                  <w:noWrap w:val="0"/>
                  <w:vAlign w:val="center"/>
                </w:tcPr>
                <w:p w14:paraId="4B5B8811">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生产区</w:t>
                  </w:r>
                </w:p>
              </w:tc>
              <w:tc>
                <w:tcPr>
                  <w:tcW w:w="0" w:type="auto"/>
                  <w:tcBorders>
                    <w:right w:val="nil"/>
                  </w:tcBorders>
                  <w:noWrap w:val="0"/>
                  <w:vAlign w:val="center"/>
                </w:tcPr>
                <w:p w14:paraId="30E876B9">
                  <w:pPr>
                    <w:pStyle w:val="38"/>
                    <w:keepNext w:val="0"/>
                    <w:keepLines w:val="0"/>
                    <w:widowControl/>
                    <w:suppressLineNumbers w:val="0"/>
                    <w:bidi w:val="0"/>
                    <w:spacing w:before="0" w:beforeAutospacing="0" w:after="0" w:afterAutospacing="0"/>
                    <w:ind w:left="0" w:leftChars="0" w:right="0" w:rightChars="0"/>
                    <w:rPr>
                      <w:rFonts w:hint="eastAsia"/>
                      <w:szCs w:val="22"/>
                      <w:lang w:val="en-US" w:eastAsia="zh-CN"/>
                    </w:rPr>
                  </w:pPr>
                  <w:r>
                    <w:rPr>
                      <w:rFonts w:hint="eastAsia"/>
                      <w:szCs w:val="22"/>
                      <w:lang w:val="en-US" w:eastAsia="zh-CN"/>
                    </w:rPr>
                    <w:t>主要包括投料区、检验区、打磨房、喷漆烘干房、加烤区</w:t>
                  </w:r>
                </w:p>
              </w:tc>
            </w:tr>
            <w:tr w14:paraId="0709CD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50" w:hRule="atLeast"/>
                <w:jc w:val="center"/>
              </w:trPr>
              <w:tc>
                <w:tcPr>
                  <w:tcW w:w="0" w:type="auto"/>
                  <w:vMerge w:val="restart"/>
                  <w:tcBorders>
                    <w:left w:val="nil"/>
                  </w:tcBorders>
                  <w:noWrap w:val="0"/>
                  <w:vAlign w:val="center"/>
                </w:tcPr>
                <w:p w14:paraId="6E200725">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辅助工程</w:t>
                  </w:r>
                </w:p>
              </w:tc>
              <w:tc>
                <w:tcPr>
                  <w:tcW w:w="0" w:type="auto"/>
                  <w:gridSpan w:val="2"/>
                  <w:noWrap w:val="0"/>
                  <w:vAlign w:val="center"/>
                </w:tcPr>
                <w:p w14:paraId="2BFFFE2F">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原料区</w:t>
                  </w:r>
                </w:p>
              </w:tc>
              <w:tc>
                <w:tcPr>
                  <w:tcW w:w="0" w:type="auto"/>
                  <w:tcBorders>
                    <w:right w:val="nil"/>
                  </w:tcBorders>
                  <w:noWrap w:val="0"/>
                  <w:vAlign w:val="center"/>
                </w:tcPr>
                <w:p w14:paraId="56DA7A94">
                  <w:pPr>
                    <w:pStyle w:val="38"/>
                    <w:keepNext w:val="0"/>
                    <w:keepLines w:val="0"/>
                    <w:widowControl/>
                    <w:suppressLineNumbers w:val="0"/>
                    <w:bidi w:val="0"/>
                    <w:spacing w:before="0" w:beforeAutospacing="0" w:after="0" w:afterAutospacing="0"/>
                    <w:ind w:left="0" w:leftChars="0" w:right="0" w:rightChars="0"/>
                    <w:rPr>
                      <w:rFonts w:hint="eastAsia"/>
                      <w:szCs w:val="22"/>
                      <w:lang w:eastAsia="zh-CN"/>
                    </w:rPr>
                  </w:pPr>
                  <w:r>
                    <w:rPr>
                      <w:rFonts w:hint="eastAsia"/>
                      <w:szCs w:val="22"/>
                      <w:lang w:eastAsia="zh-CN"/>
                    </w:rPr>
                    <w:t>位于厂房</w:t>
                  </w:r>
                  <w:r>
                    <w:rPr>
                      <w:rFonts w:hint="eastAsia"/>
                      <w:szCs w:val="22"/>
                      <w:lang w:val="en-US" w:eastAsia="zh-CN"/>
                    </w:rPr>
                    <w:t>东南侧，用于原料堆放</w:t>
                  </w:r>
                </w:p>
              </w:tc>
            </w:tr>
            <w:tr w14:paraId="1F187D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0" w:type="auto"/>
                  <w:vMerge w:val="continue"/>
                  <w:tcBorders>
                    <w:left w:val="nil"/>
                  </w:tcBorders>
                  <w:noWrap w:val="0"/>
                  <w:vAlign w:val="center"/>
                </w:tcPr>
                <w:p w14:paraId="70337363">
                  <w:pPr>
                    <w:pStyle w:val="38"/>
                    <w:keepNext w:val="0"/>
                    <w:keepLines w:val="0"/>
                    <w:widowControl/>
                    <w:suppressLineNumbers w:val="0"/>
                    <w:bidi w:val="0"/>
                    <w:spacing w:before="0" w:beforeAutospacing="0" w:after="0" w:afterAutospacing="0"/>
                    <w:ind w:left="0" w:right="0"/>
                    <w:rPr>
                      <w:rFonts w:hint="eastAsia"/>
                      <w:szCs w:val="22"/>
                    </w:rPr>
                  </w:pPr>
                </w:p>
              </w:tc>
              <w:tc>
                <w:tcPr>
                  <w:tcW w:w="0" w:type="auto"/>
                  <w:gridSpan w:val="2"/>
                  <w:noWrap w:val="0"/>
                  <w:vAlign w:val="center"/>
                </w:tcPr>
                <w:p w14:paraId="738899ED">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成品区</w:t>
                  </w:r>
                </w:p>
              </w:tc>
              <w:tc>
                <w:tcPr>
                  <w:tcW w:w="0" w:type="auto"/>
                  <w:tcBorders>
                    <w:right w:val="nil"/>
                  </w:tcBorders>
                  <w:noWrap w:val="0"/>
                  <w:vAlign w:val="center"/>
                </w:tcPr>
                <w:p w14:paraId="483AC4E5">
                  <w:pPr>
                    <w:pStyle w:val="38"/>
                    <w:keepNext w:val="0"/>
                    <w:keepLines w:val="0"/>
                    <w:widowControl/>
                    <w:suppressLineNumbers w:val="0"/>
                    <w:bidi w:val="0"/>
                    <w:spacing w:before="0" w:beforeAutospacing="0" w:after="0" w:afterAutospacing="0"/>
                    <w:ind w:left="0" w:leftChars="0" w:right="0" w:rightChars="0"/>
                    <w:rPr>
                      <w:rFonts w:hint="eastAsia"/>
                      <w:szCs w:val="22"/>
                      <w:lang w:eastAsia="zh-CN"/>
                    </w:rPr>
                  </w:pPr>
                  <w:r>
                    <w:rPr>
                      <w:rFonts w:hint="eastAsia"/>
                      <w:szCs w:val="22"/>
                      <w:lang w:eastAsia="zh-CN"/>
                    </w:rPr>
                    <w:t>位于厂房</w:t>
                  </w:r>
                  <w:r>
                    <w:rPr>
                      <w:rFonts w:hint="eastAsia"/>
                      <w:szCs w:val="22"/>
                      <w:lang w:val="en-US" w:eastAsia="zh-CN"/>
                    </w:rPr>
                    <w:t>东北侧，用于成品临时贮存</w:t>
                  </w:r>
                </w:p>
              </w:tc>
            </w:tr>
            <w:tr w14:paraId="658CE0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 w:hRule="atLeast"/>
                <w:jc w:val="center"/>
              </w:trPr>
              <w:tc>
                <w:tcPr>
                  <w:tcW w:w="0" w:type="auto"/>
                  <w:vMerge w:val="restart"/>
                  <w:tcBorders>
                    <w:left w:val="nil"/>
                  </w:tcBorders>
                  <w:noWrap w:val="0"/>
                  <w:vAlign w:val="center"/>
                </w:tcPr>
                <w:p w14:paraId="02E80E15">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公用工程</w:t>
                  </w:r>
                </w:p>
              </w:tc>
              <w:tc>
                <w:tcPr>
                  <w:tcW w:w="0" w:type="auto"/>
                  <w:gridSpan w:val="2"/>
                  <w:noWrap w:val="0"/>
                  <w:vAlign w:val="center"/>
                </w:tcPr>
                <w:p w14:paraId="38B7E59D">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供电系统</w:t>
                  </w:r>
                </w:p>
              </w:tc>
              <w:tc>
                <w:tcPr>
                  <w:tcW w:w="0" w:type="auto"/>
                  <w:tcBorders>
                    <w:right w:val="nil"/>
                  </w:tcBorders>
                  <w:noWrap w:val="0"/>
                  <w:vAlign w:val="center"/>
                </w:tcPr>
                <w:p w14:paraId="48920E05">
                  <w:pPr>
                    <w:pStyle w:val="38"/>
                    <w:keepNext w:val="0"/>
                    <w:keepLines w:val="0"/>
                    <w:widowControl/>
                    <w:suppressLineNumbers w:val="0"/>
                    <w:bidi w:val="0"/>
                    <w:spacing w:before="0" w:beforeAutospacing="0" w:after="0" w:afterAutospacing="0"/>
                    <w:ind w:left="0" w:leftChars="0" w:right="0" w:rightChars="0"/>
                    <w:rPr>
                      <w:rFonts w:hint="eastAsia"/>
                      <w:szCs w:val="22"/>
                    </w:rPr>
                  </w:pPr>
                  <w:r>
                    <w:rPr>
                      <w:rFonts w:hint="eastAsia"/>
                      <w:szCs w:val="22"/>
                    </w:rPr>
                    <w:t>接市政供电系统，依托</w:t>
                  </w:r>
                  <w:r>
                    <w:rPr>
                      <w:rFonts w:hint="eastAsia"/>
                      <w:szCs w:val="22"/>
                      <w:lang w:eastAsia="zh-CN"/>
                    </w:rPr>
                    <w:t>福清洪添科技有限公司</w:t>
                  </w:r>
                  <w:r>
                    <w:rPr>
                      <w:rFonts w:hint="eastAsia"/>
                      <w:szCs w:val="22"/>
                    </w:rPr>
                    <w:t>厂区供电</w:t>
                  </w:r>
                </w:p>
              </w:tc>
            </w:tr>
            <w:tr w14:paraId="372DD4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 w:hRule="atLeast"/>
                <w:jc w:val="center"/>
              </w:trPr>
              <w:tc>
                <w:tcPr>
                  <w:tcW w:w="0" w:type="auto"/>
                  <w:vMerge w:val="continue"/>
                  <w:tcBorders>
                    <w:left w:val="nil"/>
                  </w:tcBorders>
                  <w:noWrap w:val="0"/>
                  <w:vAlign w:val="center"/>
                </w:tcPr>
                <w:p w14:paraId="714BD84C">
                  <w:pPr>
                    <w:pStyle w:val="38"/>
                    <w:keepNext w:val="0"/>
                    <w:keepLines w:val="0"/>
                    <w:widowControl/>
                    <w:suppressLineNumbers w:val="0"/>
                    <w:bidi w:val="0"/>
                    <w:spacing w:before="0" w:beforeAutospacing="0" w:after="0" w:afterAutospacing="0"/>
                    <w:ind w:left="0" w:right="0"/>
                    <w:rPr>
                      <w:rFonts w:hint="eastAsia"/>
                      <w:szCs w:val="22"/>
                    </w:rPr>
                  </w:pPr>
                </w:p>
              </w:tc>
              <w:tc>
                <w:tcPr>
                  <w:tcW w:w="0" w:type="auto"/>
                  <w:gridSpan w:val="2"/>
                  <w:noWrap w:val="0"/>
                  <w:vAlign w:val="center"/>
                </w:tcPr>
                <w:p w14:paraId="1EECA819">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给水系统</w:t>
                  </w:r>
                </w:p>
              </w:tc>
              <w:tc>
                <w:tcPr>
                  <w:tcW w:w="0" w:type="auto"/>
                  <w:tcBorders>
                    <w:right w:val="nil"/>
                  </w:tcBorders>
                  <w:noWrap w:val="0"/>
                  <w:vAlign w:val="center"/>
                </w:tcPr>
                <w:p w14:paraId="08DF829C">
                  <w:pPr>
                    <w:pStyle w:val="38"/>
                    <w:keepNext w:val="0"/>
                    <w:keepLines w:val="0"/>
                    <w:widowControl/>
                    <w:suppressLineNumbers w:val="0"/>
                    <w:bidi w:val="0"/>
                    <w:spacing w:before="0" w:beforeAutospacing="0" w:after="0" w:afterAutospacing="0"/>
                    <w:ind w:left="0" w:leftChars="0" w:right="0" w:rightChars="0"/>
                    <w:rPr>
                      <w:rFonts w:hint="eastAsia"/>
                      <w:szCs w:val="22"/>
                    </w:rPr>
                  </w:pPr>
                  <w:r>
                    <w:rPr>
                      <w:rFonts w:hint="eastAsia"/>
                      <w:szCs w:val="22"/>
                    </w:rPr>
                    <w:t>接市政供水管网，依托</w:t>
                  </w:r>
                  <w:r>
                    <w:rPr>
                      <w:rFonts w:hint="eastAsia"/>
                      <w:szCs w:val="22"/>
                      <w:lang w:eastAsia="zh-CN"/>
                    </w:rPr>
                    <w:t>福清洪添科技有限公司</w:t>
                  </w:r>
                  <w:r>
                    <w:rPr>
                      <w:rFonts w:hint="eastAsia"/>
                      <w:szCs w:val="22"/>
                    </w:rPr>
                    <w:t>厂区供水</w:t>
                  </w:r>
                </w:p>
              </w:tc>
            </w:tr>
            <w:tr w14:paraId="5818B3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 w:hRule="atLeast"/>
                <w:jc w:val="center"/>
              </w:trPr>
              <w:tc>
                <w:tcPr>
                  <w:tcW w:w="0" w:type="auto"/>
                  <w:vMerge w:val="continue"/>
                  <w:tcBorders>
                    <w:left w:val="nil"/>
                  </w:tcBorders>
                  <w:noWrap w:val="0"/>
                  <w:vAlign w:val="center"/>
                </w:tcPr>
                <w:p w14:paraId="06193702">
                  <w:pPr>
                    <w:pStyle w:val="38"/>
                    <w:keepNext w:val="0"/>
                    <w:keepLines w:val="0"/>
                    <w:widowControl/>
                    <w:suppressLineNumbers w:val="0"/>
                    <w:bidi w:val="0"/>
                    <w:spacing w:before="0" w:beforeAutospacing="0" w:after="0" w:afterAutospacing="0"/>
                    <w:ind w:left="0" w:right="0"/>
                    <w:rPr>
                      <w:rFonts w:hint="eastAsia"/>
                      <w:szCs w:val="22"/>
                    </w:rPr>
                  </w:pPr>
                </w:p>
              </w:tc>
              <w:tc>
                <w:tcPr>
                  <w:tcW w:w="0" w:type="auto"/>
                  <w:gridSpan w:val="2"/>
                  <w:noWrap w:val="0"/>
                  <w:vAlign w:val="center"/>
                </w:tcPr>
                <w:p w14:paraId="7FDC7379">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排水系统</w:t>
                  </w:r>
                </w:p>
              </w:tc>
              <w:tc>
                <w:tcPr>
                  <w:tcW w:w="0" w:type="auto"/>
                  <w:tcBorders>
                    <w:right w:val="nil"/>
                  </w:tcBorders>
                  <w:noWrap w:val="0"/>
                  <w:vAlign w:val="center"/>
                </w:tcPr>
                <w:p w14:paraId="4E4E7B93">
                  <w:pPr>
                    <w:pStyle w:val="38"/>
                    <w:keepNext w:val="0"/>
                    <w:keepLines w:val="0"/>
                    <w:widowControl/>
                    <w:suppressLineNumbers w:val="0"/>
                    <w:bidi w:val="0"/>
                    <w:spacing w:before="0" w:beforeAutospacing="0" w:after="0" w:afterAutospacing="0"/>
                    <w:ind w:left="0" w:leftChars="0" w:right="0" w:rightChars="0"/>
                    <w:rPr>
                      <w:rFonts w:hint="eastAsia"/>
                      <w:szCs w:val="22"/>
                    </w:rPr>
                  </w:pPr>
                  <w:r>
                    <w:rPr>
                      <w:rFonts w:hint="eastAsia"/>
                      <w:szCs w:val="22"/>
                    </w:rPr>
                    <w:t>雨污分流，雨水经雨水管收集后直接排入市政雨水管网；污水经污水管收集后排入市政污水管网</w:t>
                  </w:r>
                </w:p>
              </w:tc>
            </w:tr>
            <w:tr w14:paraId="675588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3" w:hRule="atLeast"/>
                <w:jc w:val="center"/>
              </w:trPr>
              <w:tc>
                <w:tcPr>
                  <w:tcW w:w="0" w:type="auto"/>
                  <w:vMerge w:val="restart"/>
                  <w:tcBorders>
                    <w:left w:val="nil"/>
                  </w:tcBorders>
                  <w:noWrap w:val="0"/>
                  <w:vAlign w:val="center"/>
                </w:tcPr>
                <w:p w14:paraId="36F5F282">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环保工程</w:t>
                  </w:r>
                </w:p>
              </w:tc>
              <w:tc>
                <w:tcPr>
                  <w:tcW w:w="0" w:type="auto"/>
                  <w:gridSpan w:val="2"/>
                  <w:noWrap w:val="0"/>
                  <w:vAlign w:val="center"/>
                </w:tcPr>
                <w:p w14:paraId="5E0E5961">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废水治理</w:t>
                  </w:r>
                </w:p>
              </w:tc>
              <w:tc>
                <w:tcPr>
                  <w:tcW w:w="0" w:type="auto"/>
                  <w:tcBorders>
                    <w:right w:val="nil"/>
                  </w:tcBorders>
                  <w:noWrap w:val="0"/>
                  <w:vAlign w:val="center"/>
                </w:tcPr>
                <w:p w14:paraId="37009204">
                  <w:pPr>
                    <w:pStyle w:val="38"/>
                    <w:keepNext w:val="0"/>
                    <w:keepLines w:val="0"/>
                    <w:widowControl/>
                    <w:suppressLineNumbers w:val="0"/>
                    <w:bidi w:val="0"/>
                    <w:spacing w:before="0" w:beforeAutospacing="0" w:after="0" w:afterAutospacing="0"/>
                    <w:ind w:left="0" w:leftChars="0" w:right="0" w:rightChars="0"/>
                    <w:rPr>
                      <w:rFonts w:hint="eastAsia"/>
                      <w:szCs w:val="22"/>
                      <w:lang w:val="en-US" w:eastAsia="zh-CN"/>
                    </w:rPr>
                  </w:pPr>
                  <w:r>
                    <w:rPr>
                      <w:rFonts w:hint="eastAsia"/>
                      <w:szCs w:val="22"/>
                      <w:lang w:val="en-US" w:eastAsia="zh-CN"/>
                    </w:rPr>
                    <w:t>水帘喷漆用水循环使用，待浓度过高时按危废委托有资质的危废处置单清运处置；</w:t>
                  </w:r>
                  <w:r>
                    <w:rPr>
                      <w:rFonts w:hint="eastAsia"/>
                      <w:szCs w:val="22"/>
                    </w:rPr>
                    <w:t>生活污水经厂区内已建化粪池预处理后排入</w:t>
                  </w:r>
                  <w:r>
                    <w:rPr>
                      <w:rFonts w:hint="eastAsia"/>
                      <w:szCs w:val="22"/>
                      <w:lang w:eastAsia="zh-CN"/>
                    </w:rPr>
                    <w:t>市政污水管网</w:t>
                  </w:r>
                  <w:r>
                    <w:rPr>
                      <w:rFonts w:hint="eastAsia"/>
                      <w:szCs w:val="22"/>
                    </w:rPr>
                    <w:t>，纳入福清市融元污水处理厂</w:t>
                  </w:r>
                </w:p>
              </w:tc>
            </w:tr>
            <w:tr w14:paraId="459A60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85" w:hRule="atLeast"/>
                <w:jc w:val="center"/>
              </w:trPr>
              <w:tc>
                <w:tcPr>
                  <w:tcW w:w="0" w:type="auto"/>
                  <w:vMerge w:val="continue"/>
                  <w:tcBorders>
                    <w:left w:val="nil"/>
                  </w:tcBorders>
                  <w:noWrap w:val="0"/>
                  <w:vAlign w:val="center"/>
                </w:tcPr>
                <w:p w14:paraId="1A16EBD6">
                  <w:pPr>
                    <w:pStyle w:val="38"/>
                    <w:keepNext w:val="0"/>
                    <w:keepLines w:val="0"/>
                    <w:widowControl/>
                    <w:suppressLineNumbers w:val="0"/>
                    <w:bidi w:val="0"/>
                    <w:spacing w:before="0" w:beforeAutospacing="0" w:after="0" w:afterAutospacing="0"/>
                    <w:ind w:left="0" w:right="0"/>
                    <w:rPr>
                      <w:rFonts w:hint="eastAsia"/>
                      <w:szCs w:val="22"/>
                    </w:rPr>
                  </w:pPr>
                </w:p>
              </w:tc>
              <w:tc>
                <w:tcPr>
                  <w:tcW w:w="0" w:type="auto"/>
                  <w:gridSpan w:val="2"/>
                  <w:noWrap w:val="0"/>
                  <w:vAlign w:val="center"/>
                </w:tcPr>
                <w:p w14:paraId="1BBADC09">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废气治理</w:t>
                  </w:r>
                </w:p>
              </w:tc>
              <w:tc>
                <w:tcPr>
                  <w:tcW w:w="0" w:type="auto"/>
                  <w:tcBorders>
                    <w:right w:val="nil"/>
                  </w:tcBorders>
                  <w:noWrap w:val="0"/>
                  <w:vAlign w:val="center"/>
                </w:tcPr>
                <w:p w14:paraId="3F952C3C">
                  <w:pPr>
                    <w:pStyle w:val="38"/>
                    <w:keepNext w:val="0"/>
                    <w:keepLines w:val="0"/>
                    <w:widowControl/>
                    <w:suppressLineNumbers w:val="0"/>
                    <w:bidi w:val="0"/>
                    <w:spacing w:before="0" w:beforeAutospacing="0" w:after="0" w:afterAutospacing="0"/>
                    <w:ind w:left="0" w:leftChars="0" w:right="0" w:rightChars="0"/>
                    <w:jc w:val="both"/>
                    <w:rPr>
                      <w:rFonts w:hint="eastAsia"/>
                      <w:szCs w:val="22"/>
                      <w:lang w:val="en-US" w:eastAsia="zh-CN"/>
                    </w:rPr>
                  </w:pPr>
                  <w:r>
                    <w:rPr>
                      <w:rFonts w:hint="eastAsia" w:eastAsia="宋体"/>
                      <w:szCs w:val="22"/>
                      <w:lang w:eastAsia="zh-CN"/>
                    </w:rPr>
                    <w:t>三条生产线（1#、2#、3#）的废气治理系统完全独立、互不连通。每条生产线的烘干废气、加烤废气经密闭管道收集，喷漆废气经水帘柜预处理后，合并进入</w:t>
                  </w:r>
                  <w:r>
                    <w:rPr>
                      <w:rFonts w:hint="eastAsia"/>
                      <w:szCs w:val="22"/>
                      <w:lang w:val="en-US" w:eastAsia="zh-CN"/>
                    </w:rPr>
                    <w:t>相应生产线</w:t>
                  </w:r>
                  <w:r>
                    <w:rPr>
                      <w:rFonts w:hint="eastAsia" w:eastAsia="宋体"/>
                      <w:szCs w:val="22"/>
                      <w:lang w:eastAsia="zh-CN"/>
                    </w:rPr>
                    <w:t>的“过滤棉+</w:t>
                  </w:r>
                  <w:r>
                    <w:rPr>
                      <w:rFonts w:hint="eastAsia"/>
                      <w:szCs w:val="22"/>
                      <w:lang w:eastAsia="zh-CN"/>
                    </w:rPr>
                    <w:t>二级活性炭</w:t>
                  </w:r>
                  <w:r>
                    <w:rPr>
                      <w:rFonts w:hint="eastAsia" w:eastAsia="宋体"/>
                      <w:szCs w:val="22"/>
                      <w:lang w:eastAsia="zh-CN"/>
                    </w:rPr>
                    <w:t>吸附装置”处理，最终由对应的15米高排气筒（分别对应为DA001、DA002、DA003）达标排放</w:t>
                  </w:r>
                </w:p>
              </w:tc>
            </w:tr>
            <w:tr w14:paraId="32FA3C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4" w:hRule="atLeast"/>
                <w:jc w:val="center"/>
              </w:trPr>
              <w:tc>
                <w:tcPr>
                  <w:tcW w:w="0" w:type="auto"/>
                  <w:vMerge w:val="continue"/>
                  <w:tcBorders>
                    <w:left w:val="nil"/>
                  </w:tcBorders>
                  <w:noWrap w:val="0"/>
                  <w:vAlign w:val="center"/>
                </w:tcPr>
                <w:p w14:paraId="019660B5">
                  <w:pPr>
                    <w:pStyle w:val="38"/>
                    <w:keepNext w:val="0"/>
                    <w:keepLines w:val="0"/>
                    <w:widowControl/>
                    <w:suppressLineNumbers w:val="0"/>
                    <w:bidi w:val="0"/>
                    <w:spacing w:before="0" w:beforeAutospacing="0" w:after="0" w:afterAutospacing="0"/>
                    <w:ind w:left="0" w:right="0"/>
                    <w:rPr>
                      <w:rFonts w:hint="eastAsia"/>
                      <w:szCs w:val="22"/>
                    </w:rPr>
                  </w:pPr>
                </w:p>
              </w:tc>
              <w:tc>
                <w:tcPr>
                  <w:tcW w:w="0" w:type="auto"/>
                  <w:gridSpan w:val="2"/>
                  <w:noWrap w:val="0"/>
                  <w:vAlign w:val="center"/>
                </w:tcPr>
                <w:p w14:paraId="7A061C78">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噪声治理</w:t>
                  </w:r>
                </w:p>
              </w:tc>
              <w:tc>
                <w:tcPr>
                  <w:tcW w:w="0" w:type="auto"/>
                  <w:tcBorders>
                    <w:right w:val="nil"/>
                  </w:tcBorders>
                  <w:noWrap w:val="0"/>
                  <w:vAlign w:val="center"/>
                </w:tcPr>
                <w:p w14:paraId="6644F9BE">
                  <w:pPr>
                    <w:pStyle w:val="38"/>
                    <w:keepNext w:val="0"/>
                    <w:keepLines w:val="0"/>
                    <w:widowControl/>
                    <w:suppressLineNumbers w:val="0"/>
                    <w:bidi w:val="0"/>
                    <w:spacing w:before="0" w:beforeAutospacing="0" w:after="0" w:afterAutospacing="0"/>
                    <w:ind w:left="0" w:leftChars="0" w:right="0" w:rightChars="0"/>
                    <w:rPr>
                      <w:rFonts w:hint="eastAsia"/>
                      <w:szCs w:val="22"/>
                    </w:rPr>
                  </w:pPr>
                  <w:r>
                    <w:rPr>
                      <w:rFonts w:hint="eastAsia"/>
                      <w:szCs w:val="22"/>
                    </w:rPr>
                    <w:t>选用低噪声设备，加强设备的维护管理；对高噪声设备进行基础减振、通过厂房墙体隔声等综合降噪措施</w:t>
                  </w:r>
                </w:p>
              </w:tc>
            </w:tr>
            <w:tr w14:paraId="3642EA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11" w:hRule="atLeast"/>
                <w:jc w:val="center"/>
              </w:trPr>
              <w:tc>
                <w:tcPr>
                  <w:tcW w:w="0" w:type="auto"/>
                  <w:vMerge w:val="continue"/>
                  <w:tcBorders>
                    <w:left w:val="nil"/>
                  </w:tcBorders>
                  <w:noWrap w:val="0"/>
                  <w:vAlign w:val="center"/>
                </w:tcPr>
                <w:p w14:paraId="007B3265">
                  <w:pPr>
                    <w:pStyle w:val="38"/>
                    <w:keepNext w:val="0"/>
                    <w:keepLines w:val="0"/>
                    <w:widowControl/>
                    <w:suppressLineNumbers w:val="0"/>
                    <w:bidi w:val="0"/>
                    <w:spacing w:before="0" w:beforeAutospacing="0" w:after="0" w:afterAutospacing="0"/>
                    <w:ind w:left="0" w:right="0"/>
                    <w:rPr>
                      <w:rFonts w:hint="eastAsia"/>
                      <w:szCs w:val="22"/>
                    </w:rPr>
                  </w:pPr>
                </w:p>
              </w:tc>
              <w:tc>
                <w:tcPr>
                  <w:tcW w:w="0" w:type="auto"/>
                  <w:vMerge w:val="restart"/>
                  <w:noWrap w:val="0"/>
                  <w:vAlign w:val="center"/>
                </w:tcPr>
                <w:p w14:paraId="76214E93">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固废治理</w:t>
                  </w:r>
                </w:p>
              </w:tc>
              <w:tc>
                <w:tcPr>
                  <w:tcW w:w="0" w:type="auto"/>
                  <w:noWrap w:val="0"/>
                  <w:vAlign w:val="center"/>
                </w:tcPr>
                <w:p w14:paraId="078C66D9">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生活垃圾</w:t>
                  </w:r>
                </w:p>
              </w:tc>
              <w:tc>
                <w:tcPr>
                  <w:tcW w:w="0" w:type="auto"/>
                  <w:tcBorders>
                    <w:right w:val="nil"/>
                  </w:tcBorders>
                  <w:noWrap w:val="0"/>
                  <w:vAlign w:val="center"/>
                </w:tcPr>
                <w:p w14:paraId="69117616">
                  <w:pPr>
                    <w:pStyle w:val="38"/>
                    <w:keepNext w:val="0"/>
                    <w:keepLines w:val="0"/>
                    <w:widowControl/>
                    <w:suppressLineNumbers w:val="0"/>
                    <w:bidi w:val="0"/>
                    <w:spacing w:before="0" w:beforeAutospacing="0" w:after="0" w:afterAutospacing="0"/>
                    <w:ind w:left="0" w:leftChars="0" w:right="0" w:rightChars="0"/>
                    <w:rPr>
                      <w:rFonts w:hint="eastAsia"/>
                      <w:szCs w:val="22"/>
                    </w:rPr>
                  </w:pPr>
                  <w:r>
                    <w:rPr>
                      <w:rFonts w:hint="eastAsia"/>
                      <w:szCs w:val="22"/>
                    </w:rPr>
                    <w:t>厂区内设置生活垃圾收集桶，分类收集后，委托环卫部门清运处置</w:t>
                  </w:r>
                </w:p>
              </w:tc>
            </w:tr>
            <w:tr w14:paraId="1C1FD1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11" w:hRule="atLeast"/>
                <w:jc w:val="center"/>
              </w:trPr>
              <w:tc>
                <w:tcPr>
                  <w:tcW w:w="0" w:type="auto"/>
                  <w:vMerge w:val="continue"/>
                  <w:tcBorders>
                    <w:left w:val="nil"/>
                  </w:tcBorders>
                  <w:noWrap w:val="0"/>
                  <w:vAlign w:val="center"/>
                </w:tcPr>
                <w:p w14:paraId="70C45E83">
                  <w:pPr>
                    <w:pStyle w:val="38"/>
                    <w:keepNext w:val="0"/>
                    <w:keepLines w:val="0"/>
                    <w:widowControl/>
                    <w:suppressLineNumbers w:val="0"/>
                    <w:bidi w:val="0"/>
                    <w:spacing w:before="0" w:beforeAutospacing="0" w:after="0" w:afterAutospacing="0"/>
                    <w:ind w:left="0" w:right="0"/>
                    <w:rPr>
                      <w:rFonts w:hint="eastAsia"/>
                      <w:szCs w:val="22"/>
                    </w:rPr>
                  </w:pPr>
                </w:p>
              </w:tc>
              <w:tc>
                <w:tcPr>
                  <w:tcW w:w="0" w:type="auto"/>
                  <w:vMerge w:val="continue"/>
                  <w:noWrap w:val="0"/>
                  <w:vAlign w:val="center"/>
                </w:tcPr>
                <w:p w14:paraId="325804BC">
                  <w:pPr>
                    <w:pStyle w:val="38"/>
                    <w:keepNext w:val="0"/>
                    <w:keepLines w:val="0"/>
                    <w:widowControl/>
                    <w:suppressLineNumbers w:val="0"/>
                    <w:bidi w:val="0"/>
                    <w:spacing w:before="0" w:beforeAutospacing="0" w:after="0" w:afterAutospacing="0"/>
                    <w:ind w:left="0" w:right="0"/>
                    <w:rPr>
                      <w:rFonts w:hint="eastAsia"/>
                      <w:szCs w:val="22"/>
                    </w:rPr>
                  </w:pPr>
                </w:p>
              </w:tc>
              <w:tc>
                <w:tcPr>
                  <w:tcW w:w="0" w:type="auto"/>
                  <w:noWrap w:val="0"/>
                  <w:vAlign w:val="center"/>
                </w:tcPr>
                <w:p w14:paraId="629F4998">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危险废物</w:t>
                  </w:r>
                </w:p>
              </w:tc>
              <w:tc>
                <w:tcPr>
                  <w:tcW w:w="0" w:type="auto"/>
                  <w:tcBorders>
                    <w:right w:val="nil"/>
                  </w:tcBorders>
                  <w:noWrap w:val="0"/>
                  <w:vAlign w:val="center"/>
                </w:tcPr>
                <w:p w14:paraId="2098FED8">
                  <w:pPr>
                    <w:pStyle w:val="38"/>
                    <w:keepNext w:val="0"/>
                    <w:keepLines w:val="0"/>
                    <w:widowControl/>
                    <w:suppressLineNumbers w:val="0"/>
                    <w:bidi w:val="0"/>
                    <w:spacing w:before="0" w:beforeAutospacing="0" w:after="0" w:afterAutospacing="0"/>
                    <w:ind w:left="0" w:leftChars="0" w:right="0" w:rightChars="0"/>
                    <w:rPr>
                      <w:rFonts w:hint="eastAsia"/>
                      <w:szCs w:val="22"/>
                    </w:rPr>
                  </w:pPr>
                  <w:r>
                    <w:rPr>
                      <w:rFonts w:hint="eastAsia"/>
                      <w:szCs w:val="22"/>
                    </w:rPr>
                    <w:t>设置</w:t>
                  </w:r>
                  <w:r>
                    <w:rPr>
                      <w:rFonts w:hint="eastAsia"/>
                      <w:szCs w:val="22"/>
                      <w:lang w:eastAsia="zh-CN"/>
                    </w:rPr>
                    <w:t>危废贮存库</w:t>
                  </w:r>
                  <w:r>
                    <w:rPr>
                      <w:rFonts w:hint="eastAsia"/>
                      <w:szCs w:val="22"/>
                    </w:rPr>
                    <w:t>，妥善分类收集后定期委托有资质单位统一处置</w:t>
                  </w:r>
                </w:p>
              </w:tc>
            </w:tr>
            <w:tr w14:paraId="77D31D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11" w:hRule="atLeast"/>
                <w:jc w:val="center"/>
              </w:trPr>
              <w:tc>
                <w:tcPr>
                  <w:tcW w:w="0" w:type="auto"/>
                  <w:vMerge w:val="continue"/>
                  <w:tcBorders>
                    <w:left w:val="nil"/>
                  </w:tcBorders>
                  <w:noWrap w:val="0"/>
                  <w:vAlign w:val="center"/>
                </w:tcPr>
                <w:p w14:paraId="6DA8EE8D">
                  <w:pPr>
                    <w:pStyle w:val="38"/>
                    <w:keepNext w:val="0"/>
                    <w:keepLines w:val="0"/>
                    <w:widowControl/>
                    <w:suppressLineNumbers w:val="0"/>
                    <w:bidi w:val="0"/>
                    <w:spacing w:before="0" w:beforeAutospacing="0" w:after="0" w:afterAutospacing="0"/>
                    <w:ind w:left="0" w:right="0"/>
                    <w:rPr>
                      <w:rFonts w:hint="eastAsia"/>
                      <w:szCs w:val="22"/>
                    </w:rPr>
                  </w:pPr>
                </w:p>
              </w:tc>
              <w:tc>
                <w:tcPr>
                  <w:tcW w:w="0" w:type="auto"/>
                  <w:vMerge w:val="continue"/>
                  <w:noWrap w:val="0"/>
                  <w:vAlign w:val="center"/>
                </w:tcPr>
                <w:p w14:paraId="7B5679A8">
                  <w:pPr>
                    <w:pStyle w:val="38"/>
                    <w:keepNext w:val="0"/>
                    <w:keepLines w:val="0"/>
                    <w:widowControl/>
                    <w:suppressLineNumbers w:val="0"/>
                    <w:bidi w:val="0"/>
                    <w:spacing w:before="0" w:beforeAutospacing="0" w:after="0" w:afterAutospacing="0"/>
                    <w:ind w:left="0" w:right="0"/>
                    <w:rPr>
                      <w:rFonts w:hint="eastAsia"/>
                      <w:szCs w:val="22"/>
                    </w:rPr>
                  </w:pPr>
                </w:p>
              </w:tc>
              <w:tc>
                <w:tcPr>
                  <w:tcW w:w="0" w:type="auto"/>
                  <w:noWrap w:val="0"/>
                  <w:vAlign w:val="center"/>
                </w:tcPr>
                <w:p w14:paraId="14DF4866">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 xml:space="preserve">一般固体废物 </w:t>
                  </w:r>
                </w:p>
              </w:tc>
              <w:tc>
                <w:tcPr>
                  <w:tcW w:w="0" w:type="auto"/>
                  <w:tcBorders>
                    <w:right w:val="nil"/>
                  </w:tcBorders>
                  <w:noWrap w:val="0"/>
                  <w:vAlign w:val="center"/>
                </w:tcPr>
                <w:p w14:paraId="7150F34A">
                  <w:pPr>
                    <w:pStyle w:val="38"/>
                    <w:keepNext w:val="0"/>
                    <w:keepLines w:val="0"/>
                    <w:widowControl/>
                    <w:suppressLineNumbers w:val="0"/>
                    <w:bidi w:val="0"/>
                    <w:spacing w:before="0" w:beforeAutospacing="0" w:after="0" w:afterAutospacing="0"/>
                    <w:ind w:left="0" w:leftChars="0" w:right="0" w:rightChars="0"/>
                    <w:rPr>
                      <w:rFonts w:hint="eastAsia"/>
                      <w:szCs w:val="22"/>
                    </w:rPr>
                  </w:pPr>
                  <w:r>
                    <w:rPr>
                      <w:rFonts w:hint="eastAsia"/>
                      <w:szCs w:val="22"/>
                    </w:rPr>
                    <w:t>设置一般固废暂存区，一般工业固废分类收集、暂存后综合利用</w:t>
                  </w:r>
                </w:p>
              </w:tc>
            </w:tr>
          </w:tbl>
          <w:p w14:paraId="07A0B037">
            <w:pPr>
              <w:pStyle w:val="4"/>
              <w:suppressLineNumbers w:val="0"/>
              <w:bidi w:val="0"/>
              <w:spacing w:before="0" w:beforeAutospacing="0" w:after="0" w:afterAutospacing="0"/>
              <w:ind w:left="0" w:right="0"/>
              <w:rPr>
                <w:rFonts w:hint="default"/>
              </w:rPr>
            </w:pPr>
            <w:r>
              <w:rPr>
                <w:rFonts w:hint="default"/>
              </w:rPr>
              <w:t>产品方案和主要原辅材料、能源消耗</w:t>
            </w:r>
          </w:p>
          <w:p w14:paraId="7DEF127A">
            <w:pPr>
              <w:keepNext w:val="0"/>
              <w:keepLines w:val="0"/>
              <w:suppressLineNumbers w:val="0"/>
              <w:bidi w:val="0"/>
              <w:spacing w:before="0" w:beforeAutospacing="0" w:after="0" w:afterAutospacing="0"/>
              <w:ind w:left="0" w:right="0"/>
              <w:rPr>
                <w:rFonts w:hint="eastAsia"/>
              </w:rPr>
            </w:pPr>
            <w:r>
              <w:rPr>
                <w:rFonts w:hint="eastAsia"/>
              </w:rPr>
              <w:t>（1）产品方案</w:t>
            </w:r>
          </w:p>
          <w:p w14:paraId="1C8FB4DA">
            <w:pPr>
              <w:keepNext w:val="0"/>
              <w:keepLines w:val="0"/>
              <w:suppressLineNumbers w:val="0"/>
              <w:bidi w:val="0"/>
              <w:spacing w:before="0" w:beforeAutospacing="0" w:after="0" w:afterAutospacing="0"/>
              <w:ind w:left="0" w:right="0"/>
              <w:rPr>
                <w:rFonts w:hint="eastAsia"/>
              </w:rPr>
            </w:pPr>
            <w:r>
              <w:rPr>
                <w:rFonts w:hint="eastAsia"/>
                <w:lang w:val="en-US" w:eastAsia="zh-CN"/>
              </w:rPr>
              <w:t>本项目主要生产内容为：将待加工厂提供的半成品加工至所需的最终成品，然后检验合格后包装运回待加工厂。</w:t>
            </w:r>
            <w:r>
              <w:rPr>
                <w:rFonts w:hint="eastAsia"/>
              </w:rPr>
              <w:t>项目具体产品方案及产量情况详见表</w:t>
            </w:r>
            <w:r>
              <w:rPr>
                <w:rFonts w:hint="eastAsia"/>
                <w:color w:val="auto"/>
                <w:highlight w:val="none"/>
                <w:lang w:val="en-US" w:eastAsia="zh-CN"/>
              </w:rPr>
              <w:t>2.3-2</w:t>
            </w:r>
            <w:r>
              <w:rPr>
                <w:rFonts w:hint="eastAsia"/>
              </w:rPr>
              <w:t>。</w:t>
            </w:r>
          </w:p>
          <w:p w14:paraId="28DBE9EB">
            <w:pPr>
              <w:pStyle w:val="39"/>
              <w:keepNext w:val="0"/>
              <w:keepLines w:val="0"/>
              <w:suppressLineNumbers w:val="0"/>
              <w:bidi w:val="0"/>
              <w:spacing w:before="0" w:beforeAutospacing="0" w:after="0" w:afterAutospacing="0"/>
              <w:ind w:left="0" w:right="0"/>
              <w:rPr>
                <w:rFonts w:hint="eastAsia"/>
                <w:lang w:eastAsia="zh-CN"/>
              </w:rPr>
            </w:pPr>
            <w:r>
              <w:rPr>
                <w:rFonts w:hint="eastAsia"/>
                <w:lang w:eastAsia="zh-CN"/>
              </w:rPr>
              <w:t>表</w:t>
            </w:r>
            <w:r>
              <w:rPr>
                <w:rFonts w:hint="eastAsia"/>
                <w:color w:val="auto"/>
                <w:highlight w:val="none"/>
                <w:lang w:val="en-US" w:eastAsia="zh-CN"/>
              </w:rPr>
              <w:t>2.3-2</w:t>
            </w:r>
            <w:r>
              <w:rPr>
                <w:rFonts w:hint="eastAsia"/>
                <w:lang w:eastAsia="zh-CN"/>
              </w:rPr>
              <w:t xml:space="preserve"> 项目产品方案情况一览表</w:t>
            </w:r>
          </w:p>
          <w:tbl>
            <w:tblPr>
              <w:tblStyle w:val="29"/>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28" w:type="dxa"/>
                <w:bottom w:w="0" w:type="dxa"/>
                <w:right w:w="28" w:type="dxa"/>
              </w:tblCellMar>
            </w:tblPr>
            <w:tblGrid>
              <w:gridCol w:w="1361"/>
              <w:gridCol w:w="1999"/>
              <w:gridCol w:w="4553"/>
            </w:tblGrid>
            <w:tr w14:paraId="46252B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28" w:type="dxa"/>
                  <w:bottom w:w="0" w:type="dxa"/>
                  <w:right w:w="28" w:type="dxa"/>
                </w:tblCellMar>
              </w:tblPrEx>
              <w:trPr>
                <w:trHeight w:val="6" w:hRule="atLeast"/>
                <w:jc w:val="center"/>
              </w:trPr>
              <w:tc>
                <w:tcPr>
                  <w:tcW w:w="860" w:type="pct"/>
                  <w:tcBorders>
                    <w:top w:val="single" w:color="000000" w:sz="12" w:space="0"/>
                    <w:left w:val="nil"/>
                    <w:tl2br w:val="nil"/>
                  </w:tcBorders>
                  <w:shd w:val="clear" w:color="auto" w:fill="auto"/>
                  <w:noWrap/>
                  <w:vAlign w:val="center"/>
                </w:tcPr>
                <w:p w14:paraId="52A30292">
                  <w:pPr>
                    <w:pStyle w:val="38"/>
                    <w:keepNext w:val="0"/>
                    <w:keepLines w:val="0"/>
                    <w:widowControl/>
                    <w:suppressLineNumbers w:val="0"/>
                    <w:bidi w:val="0"/>
                    <w:spacing w:before="0" w:beforeAutospacing="0" w:after="0" w:afterAutospacing="0"/>
                    <w:ind w:left="0" w:right="0"/>
                    <w:rPr>
                      <w:rFonts w:hint="eastAsia"/>
                      <w:b w:val="0"/>
                      <w:color w:val="000000"/>
                      <w:szCs w:val="22"/>
                      <w:lang w:eastAsia="zh-CN"/>
                    </w:rPr>
                  </w:pPr>
                  <w:r>
                    <w:rPr>
                      <w:rFonts w:hint="eastAsia"/>
                      <w:b w:val="0"/>
                      <w:color w:val="000000"/>
                      <w:szCs w:val="22"/>
                    </w:rPr>
                    <w:t>产品</w:t>
                  </w:r>
                  <w:r>
                    <w:rPr>
                      <w:rFonts w:hint="eastAsia"/>
                      <w:b w:val="0"/>
                      <w:color w:val="000000"/>
                      <w:szCs w:val="22"/>
                      <w:lang w:val="en-US" w:eastAsia="zh-CN"/>
                    </w:rPr>
                    <w:t>名称</w:t>
                  </w:r>
                </w:p>
              </w:tc>
              <w:tc>
                <w:tcPr>
                  <w:tcW w:w="1263" w:type="pct"/>
                  <w:tcBorders>
                    <w:top w:val="single" w:color="000000" w:sz="12" w:space="0"/>
                  </w:tcBorders>
                  <w:shd w:val="clear" w:color="auto" w:fill="auto"/>
                  <w:noWrap/>
                  <w:vAlign w:val="center"/>
                </w:tcPr>
                <w:p w14:paraId="50FFBB54">
                  <w:pPr>
                    <w:pStyle w:val="38"/>
                    <w:keepNext w:val="0"/>
                    <w:keepLines w:val="0"/>
                    <w:widowControl/>
                    <w:suppressLineNumbers w:val="0"/>
                    <w:bidi w:val="0"/>
                    <w:spacing w:before="0" w:beforeAutospacing="0" w:after="0" w:afterAutospacing="0"/>
                    <w:ind w:left="0" w:right="0"/>
                    <w:rPr>
                      <w:rFonts w:hint="default"/>
                      <w:b w:val="0"/>
                      <w:color w:val="000000"/>
                      <w:szCs w:val="22"/>
                      <w:lang w:val="en-US" w:eastAsia="zh-CN"/>
                    </w:rPr>
                  </w:pPr>
                  <w:r>
                    <w:rPr>
                      <w:rFonts w:hint="eastAsia"/>
                      <w:b w:val="0"/>
                      <w:color w:val="000000"/>
                      <w:szCs w:val="22"/>
                      <w:lang w:val="en-US" w:eastAsia="zh-CN"/>
                    </w:rPr>
                    <w:t>本项目年产量</w:t>
                  </w:r>
                </w:p>
              </w:tc>
              <w:tc>
                <w:tcPr>
                  <w:tcW w:w="2876" w:type="pct"/>
                  <w:tcBorders>
                    <w:top w:val="single" w:color="000000" w:sz="12" w:space="0"/>
                  </w:tcBorders>
                  <w:shd w:val="clear" w:color="auto" w:fill="auto"/>
                  <w:noWrap/>
                  <w:vAlign w:val="center"/>
                </w:tcPr>
                <w:p w14:paraId="7E6CF672">
                  <w:pPr>
                    <w:pStyle w:val="38"/>
                    <w:keepNext w:val="0"/>
                    <w:keepLines w:val="0"/>
                    <w:widowControl/>
                    <w:suppressLineNumbers w:val="0"/>
                    <w:bidi w:val="0"/>
                    <w:spacing w:before="0" w:beforeAutospacing="0" w:after="0" w:afterAutospacing="0"/>
                    <w:ind w:left="0" w:right="0"/>
                    <w:rPr>
                      <w:rFonts w:hint="default"/>
                      <w:b w:val="0"/>
                      <w:color w:val="000000"/>
                      <w:szCs w:val="22"/>
                      <w:lang w:val="en-US" w:eastAsia="zh-CN"/>
                    </w:rPr>
                  </w:pPr>
                  <w:r>
                    <w:rPr>
                      <w:rFonts w:hint="eastAsia"/>
                      <w:b w:val="0"/>
                      <w:color w:val="000000"/>
                      <w:szCs w:val="22"/>
                      <w:lang w:val="en-US" w:eastAsia="zh-CN"/>
                    </w:rPr>
                    <w:t>去向及包装</w:t>
                  </w:r>
                </w:p>
              </w:tc>
            </w:tr>
            <w:tr w14:paraId="01386A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 w:hRule="atLeast"/>
                <w:jc w:val="center"/>
              </w:trPr>
              <w:tc>
                <w:tcPr>
                  <w:tcW w:w="860" w:type="pct"/>
                  <w:tcBorders>
                    <w:left w:val="nil"/>
                  </w:tcBorders>
                  <w:shd w:val="clear" w:color="auto" w:fill="auto"/>
                  <w:noWrap/>
                  <w:vAlign w:val="center"/>
                </w:tcPr>
                <w:p w14:paraId="5F5561AE">
                  <w:pPr>
                    <w:pStyle w:val="38"/>
                    <w:keepNext w:val="0"/>
                    <w:keepLines w:val="0"/>
                    <w:widowControl/>
                    <w:suppressLineNumbers w:val="0"/>
                    <w:bidi w:val="0"/>
                    <w:spacing w:before="0" w:beforeAutospacing="0" w:after="0" w:afterAutospacing="0"/>
                    <w:ind w:left="0" w:right="0"/>
                    <w:rPr>
                      <w:rFonts w:hint="eastAsia"/>
                      <w:b w:val="0"/>
                      <w:color w:val="000000"/>
                      <w:szCs w:val="22"/>
                      <w:lang w:eastAsia="zh-CN"/>
                    </w:rPr>
                  </w:pPr>
                  <w:r>
                    <w:rPr>
                      <w:rFonts w:hint="eastAsia"/>
                      <w:b w:val="0"/>
                      <w:color w:val="000000"/>
                      <w:szCs w:val="22"/>
                      <w:lang w:val="en-US" w:eastAsia="zh-CN"/>
                    </w:rPr>
                    <w:t>铝合金</w:t>
                  </w:r>
                </w:p>
              </w:tc>
              <w:tc>
                <w:tcPr>
                  <w:tcW w:w="1263" w:type="pct"/>
                  <w:shd w:val="clear" w:color="auto" w:fill="auto"/>
                  <w:noWrap/>
                  <w:vAlign w:val="center"/>
                </w:tcPr>
                <w:p w14:paraId="78406B09">
                  <w:pPr>
                    <w:pStyle w:val="38"/>
                    <w:keepNext w:val="0"/>
                    <w:keepLines w:val="0"/>
                    <w:widowControl/>
                    <w:suppressLineNumbers w:val="0"/>
                    <w:bidi w:val="0"/>
                    <w:spacing w:before="0" w:beforeAutospacing="0" w:after="0" w:afterAutospacing="0"/>
                    <w:ind w:left="0" w:right="0"/>
                    <w:rPr>
                      <w:rFonts w:hint="eastAsia"/>
                      <w:b w:val="0"/>
                      <w:color w:val="000000"/>
                      <w:szCs w:val="22"/>
                      <w:lang w:val="en-US" w:eastAsia="zh-CN"/>
                    </w:rPr>
                  </w:pPr>
                  <w:r>
                    <w:rPr>
                      <w:rFonts w:hint="eastAsia"/>
                      <w:b w:val="0"/>
                      <w:color w:val="000000"/>
                      <w:szCs w:val="22"/>
                      <w:lang w:val="en-US" w:eastAsia="zh-CN"/>
                    </w:rPr>
                    <w:t>20万套</w:t>
                  </w:r>
                </w:p>
              </w:tc>
              <w:tc>
                <w:tcPr>
                  <w:tcW w:w="2876" w:type="pct"/>
                  <w:shd w:val="clear" w:color="auto" w:fill="auto"/>
                  <w:noWrap/>
                  <w:vAlign w:val="center"/>
                </w:tcPr>
                <w:p w14:paraId="4E9A22DA">
                  <w:pPr>
                    <w:pStyle w:val="38"/>
                    <w:keepNext w:val="0"/>
                    <w:keepLines w:val="0"/>
                    <w:widowControl/>
                    <w:suppressLineNumbers w:val="0"/>
                    <w:bidi w:val="0"/>
                    <w:spacing w:before="0" w:beforeAutospacing="0" w:after="0" w:afterAutospacing="0"/>
                    <w:ind w:left="0" w:right="0"/>
                    <w:rPr>
                      <w:rFonts w:hint="default"/>
                      <w:b w:val="0"/>
                      <w:color w:val="000000"/>
                      <w:szCs w:val="22"/>
                      <w:lang w:val="en-US" w:eastAsia="zh-CN"/>
                    </w:rPr>
                  </w:pPr>
                  <w:r>
                    <w:rPr>
                      <w:rFonts w:hint="eastAsia"/>
                      <w:b w:val="0"/>
                      <w:color w:val="000000"/>
                      <w:szCs w:val="22"/>
                      <w:lang w:val="en-US" w:eastAsia="zh-CN"/>
                    </w:rPr>
                    <w:t>运回待加工厂，纸箱或铁框包装</w:t>
                  </w:r>
                </w:p>
              </w:tc>
            </w:tr>
            <w:tr w14:paraId="1743E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 w:hRule="atLeast"/>
                <w:jc w:val="center"/>
              </w:trPr>
              <w:tc>
                <w:tcPr>
                  <w:tcW w:w="860" w:type="pct"/>
                  <w:tcBorders>
                    <w:left w:val="nil"/>
                  </w:tcBorders>
                  <w:shd w:val="clear" w:color="auto" w:fill="auto"/>
                  <w:noWrap/>
                  <w:vAlign w:val="center"/>
                </w:tcPr>
                <w:p w14:paraId="116812FE">
                  <w:pPr>
                    <w:pStyle w:val="38"/>
                    <w:keepNext w:val="0"/>
                    <w:keepLines w:val="0"/>
                    <w:widowControl/>
                    <w:suppressLineNumbers w:val="0"/>
                    <w:bidi w:val="0"/>
                    <w:spacing w:before="0" w:beforeAutospacing="0" w:after="0" w:afterAutospacing="0"/>
                    <w:ind w:left="0" w:right="0"/>
                    <w:rPr>
                      <w:rFonts w:hint="eastAsia"/>
                      <w:b w:val="0"/>
                      <w:color w:val="000000"/>
                      <w:szCs w:val="22"/>
                      <w:lang w:eastAsia="zh-CN"/>
                    </w:rPr>
                  </w:pPr>
                  <w:r>
                    <w:rPr>
                      <w:rFonts w:hint="eastAsia"/>
                      <w:b w:val="0"/>
                      <w:color w:val="000000"/>
                      <w:szCs w:val="22"/>
                      <w:lang w:val="en-US" w:eastAsia="zh-CN"/>
                    </w:rPr>
                    <w:t>塑胶件</w:t>
                  </w:r>
                </w:p>
              </w:tc>
              <w:tc>
                <w:tcPr>
                  <w:tcW w:w="1263" w:type="pct"/>
                  <w:shd w:val="clear" w:color="auto" w:fill="auto"/>
                  <w:noWrap/>
                  <w:vAlign w:val="center"/>
                </w:tcPr>
                <w:p w14:paraId="66C42F00">
                  <w:pPr>
                    <w:pStyle w:val="38"/>
                    <w:keepNext w:val="0"/>
                    <w:keepLines w:val="0"/>
                    <w:widowControl/>
                    <w:suppressLineNumbers w:val="0"/>
                    <w:bidi w:val="0"/>
                    <w:spacing w:before="0" w:beforeAutospacing="0" w:after="0" w:afterAutospacing="0"/>
                    <w:ind w:left="0" w:right="0"/>
                    <w:rPr>
                      <w:rFonts w:hint="eastAsia"/>
                      <w:b w:val="0"/>
                      <w:color w:val="000000"/>
                      <w:szCs w:val="22"/>
                      <w:lang w:val="en-US" w:eastAsia="zh-CN"/>
                    </w:rPr>
                  </w:pPr>
                  <w:r>
                    <w:rPr>
                      <w:rFonts w:hint="eastAsia"/>
                      <w:b w:val="0"/>
                      <w:color w:val="000000"/>
                      <w:szCs w:val="22"/>
                      <w:lang w:val="en-US" w:eastAsia="zh-CN"/>
                    </w:rPr>
                    <w:t>30万套</w:t>
                  </w:r>
                </w:p>
              </w:tc>
              <w:tc>
                <w:tcPr>
                  <w:tcW w:w="2876" w:type="pct"/>
                  <w:shd w:val="clear" w:color="auto" w:fill="auto"/>
                  <w:noWrap/>
                  <w:vAlign w:val="center"/>
                </w:tcPr>
                <w:p w14:paraId="1644DBA0">
                  <w:pPr>
                    <w:pStyle w:val="38"/>
                    <w:keepNext w:val="0"/>
                    <w:keepLines w:val="0"/>
                    <w:widowControl/>
                    <w:suppressLineNumbers w:val="0"/>
                    <w:bidi w:val="0"/>
                    <w:spacing w:before="0" w:beforeAutospacing="0" w:after="0" w:afterAutospacing="0"/>
                    <w:ind w:left="0" w:right="0"/>
                    <w:rPr>
                      <w:rFonts w:hint="eastAsia"/>
                      <w:b w:val="0"/>
                      <w:color w:val="000000"/>
                      <w:szCs w:val="22"/>
                      <w:lang w:val="en-US" w:eastAsia="zh-CN"/>
                    </w:rPr>
                  </w:pPr>
                  <w:r>
                    <w:rPr>
                      <w:rFonts w:hint="eastAsia"/>
                      <w:b w:val="0"/>
                      <w:color w:val="000000"/>
                      <w:szCs w:val="22"/>
                      <w:lang w:val="en-US" w:eastAsia="zh-CN"/>
                    </w:rPr>
                    <w:t>运回待加工厂，胶框包装</w:t>
                  </w:r>
                </w:p>
              </w:tc>
            </w:tr>
            <w:tr w14:paraId="7AE74D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 w:hRule="atLeast"/>
                <w:jc w:val="center"/>
              </w:trPr>
              <w:tc>
                <w:tcPr>
                  <w:tcW w:w="860" w:type="pct"/>
                  <w:tcBorders>
                    <w:left w:val="nil"/>
                    <w:bottom w:val="single" w:color="000000" w:sz="12" w:space="0"/>
                  </w:tcBorders>
                  <w:shd w:val="clear" w:color="auto" w:fill="auto"/>
                  <w:noWrap/>
                  <w:vAlign w:val="center"/>
                </w:tcPr>
                <w:p w14:paraId="7D6C2E84">
                  <w:pPr>
                    <w:pStyle w:val="38"/>
                    <w:keepNext w:val="0"/>
                    <w:keepLines w:val="0"/>
                    <w:widowControl/>
                    <w:suppressLineNumbers w:val="0"/>
                    <w:bidi w:val="0"/>
                    <w:spacing w:before="0" w:beforeAutospacing="0" w:after="0" w:afterAutospacing="0"/>
                    <w:ind w:left="0" w:right="0"/>
                    <w:rPr>
                      <w:rFonts w:hint="eastAsia"/>
                      <w:b w:val="0"/>
                      <w:color w:val="000000"/>
                      <w:szCs w:val="22"/>
                      <w:lang w:val="en-US" w:eastAsia="zh-CN"/>
                    </w:rPr>
                  </w:pPr>
                  <w:r>
                    <w:rPr>
                      <w:rFonts w:hint="eastAsia"/>
                      <w:b w:val="0"/>
                      <w:color w:val="000000"/>
                      <w:szCs w:val="22"/>
                      <w:lang w:val="en-US" w:eastAsia="zh-CN"/>
                    </w:rPr>
                    <w:t>钣金件</w:t>
                  </w:r>
                </w:p>
              </w:tc>
              <w:tc>
                <w:tcPr>
                  <w:tcW w:w="1263" w:type="pct"/>
                  <w:tcBorders>
                    <w:bottom w:val="single" w:color="000000" w:sz="12" w:space="0"/>
                  </w:tcBorders>
                  <w:shd w:val="clear" w:color="auto" w:fill="auto"/>
                  <w:noWrap/>
                  <w:vAlign w:val="center"/>
                </w:tcPr>
                <w:p w14:paraId="514D0A89">
                  <w:pPr>
                    <w:pStyle w:val="38"/>
                    <w:keepNext w:val="0"/>
                    <w:keepLines w:val="0"/>
                    <w:widowControl/>
                    <w:suppressLineNumbers w:val="0"/>
                    <w:bidi w:val="0"/>
                    <w:spacing w:before="0" w:beforeAutospacing="0" w:after="0" w:afterAutospacing="0"/>
                    <w:ind w:left="0" w:right="0"/>
                    <w:rPr>
                      <w:rFonts w:hint="eastAsia"/>
                      <w:b w:val="0"/>
                      <w:color w:val="000000"/>
                      <w:szCs w:val="22"/>
                      <w:lang w:val="en-US" w:eastAsia="zh-CN"/>
                    </w:rPr>
                  </w:pPr>
                  <w:r>
                    <w:rPr>
                      <w:rFonts w:hint="eastAsia"/>
                      <w:b w:val="0"/>
                      <w:color w:val="000000"/>
                      <w:szCs w:val="22"/>
                      <w:lang w:val="en-US" w:eastAsia="zh-CN"/>
                    </w:rPr>
                    <w:t>10万套</w:t>
                  </w:r>
                </w:p>
              </w:tc>
              <w:tc>
                <w:tcPr>
                  <w:tcW w:w="2876" w:type="pct"/>
                  <w:tcBorders>
                    <w:bottom w:val="single" w:color="000000" w:sz="12" w:space="0"/>
                  </w:tcBorders>
                  <w:shd w:val="clear" w:color="auto" w:fill="auto"/>
                  <w:noWrap/>
                  <w:vAlign w:val="center"/>
                </w:tcPr>
                <w:p w14:paraId="21791D68">
                  <w:pPr>
                    <w:pStyle w:val="38"/>
                    <w:keepNext w:val="0"/>
                    <w:keepLines w:val="0"/>
                    <w:widowControl/>
                    <w:suppressLineNumbers w:val="0"/>
                    <w:bidi w:val="0"/>
                    <w:spacing w:before="0" w:beforeAutospacing="0" w:after="0" w:afterAutospacing="0"/>
                    <w:ind w:left="0" w:right="0"/>
                    <w:rPr>
                      <w:rFonts w:hint="eastAsia"/>
                      <w:b w:val="0"/>
                      <w:color w:val="000000"/>
                      <w:szCs w:val="22"/>
                      <w:lang w:val="en-US" w:eastAsia="zh-CN"/>
                    </w:rPr>
                  </w:pPr>
                  <w:r>
                    <w:rPr>
                      <w:rFonts w:hint="eastAsia"/>
                      <w:b w:val="0"/>
                      <w:color w:val="000000"/>
                      <w:szCs w:val="22"/>
                      <w:lang w:val="en-US" w:eastAsia="zh-CN"/>
                    </w:rPr>
                    <w:t>运回待加工厂，铁框包装</w:t>
                  </w:r>
                </w:p>
              </w:tc>
            </w:tr>
          </w:tbl>
          <w:p w14:paraId="687D6CB9">
            <w:pPr>
              <w:keepNext w:val="0"/>
              <w:keepLines w:val="0"/>
              <w:suppressLineNumbers w:val="0"/>
              <w:bidi w:val="0"/>
              <w:spacing w:before="0" w:beforeAutospacing="0" w:after="0" w:afterAutospacing="0"/>
              <w:ind w:left="0" w:right="0"/>
              <w:rPr>
                <w:rFonts w:hint="eastAsia"/>
              </w:rPr>
            </w:pPr>
            <w:r>
              <w:rPr>
                <w:rFonts w:hint="eastAsia"/>
                <w:color w:val="auto"/>
              </w:rPr>
              <w:t>（</w:t>
            </w:r>
            <w:r>
              <w:rPr>
                <w:rFonts w:hint="eastAsia"/>
              </w:rPr>
              <w:t>2）主要原辅材料、能源消耗</w:t>
            </w:r>
          </w:p>
          <w:p w14:paraId="51DE8D4C">
            <w:pPr>
              <w:keepNext w:val="0"/>
              <w:keepLines w:val="0"/>
              <w:suppressLineNumbers w:val="0"/>
              <w:bidi w:val="0"/>
              <w:spacing w:before="0" w:beforeAutospacing="0" w:after="0" w:afterAutospacing="0"/>
              <w:ind w:left="0" w:right="0"/>
              <w:rPr>
                <w:rFonts w:hint="eastAsia"/>
              </w:rPr>
            </w:pPr>
            <w:r>
              <w:rPr>
                <w:rFonts w:hint="eastAsia"/>
              </w:rPr>
              <w:t>本项目主要原辅材料及能源消耗详见表</w:t>
            </w:r>
            <w:r>
              <w:rPr>
                <w:rFonts w:hint="eastAsia"/>
                <w:color w:val="auto"/>
                <w:highlight w:val="none"/>
                <w:lang w:val="en-US" w:eastAsia="zh-CN"/>
              </w:rPr>
              <w:t>2.3-3</w:t>
            </w:r>
            <w:r>
              <w:rPr>
                <w:rFonts w:hint="eastAsia"/>
              </w:rPr>
              <w:t>。</w:t>
            </w:r>
          </w:p>
          <w:p w14:paraId="3E7F1532">
            <w:pPr>
              <w:pStyle w:val="39"/>
              <w:keepNext w:val="0"/>
              <w:keepLines w:val="0"/>
              <w:suppressLineNumbers w:val="0"/>
              <w:bidi w:val="0"/>
              <w:spacing w:before="0" w:beforeAutospacing="0" w:after="0" w:afterAutospacing="0"/>
              <w:ind w:left="0" w:right="0"/>
              <w:rPr>
                <w:rFonts w:hint="eastAsia"/>
                <w:lang w:eastAsia="zh-CN"/>
              </w:rPr>
            </w:pPr>
            <w:r>
              <w:rPr>
                <w:rFonts w:hint="eastAsia"/>
                <w:lang w:eastAsia="zh-CN"/>
              </w:rPr>
              <w:t>表</w:t>
            </w:r>
            <w:r>
              <w:rPr>
                <w:rFonts w:hint="eastAsia"/>
                <w:color w:val="auto"/>
                <w:highlight w:val="none"/>
                <w:lang w:val="en-US" w:eastAsia="zh-CN"/>
              </w:rPr>
              <w:t>2.3-3</w:t>
            </w:r>
            <w:r>
              <w:rPr>
                <w:rFonts w:hint="eastAsia"/>
                <w:lang w:eastAsia="zh-CN"/>
              </w:rPr>
              <w:t xml:space="preserve"> 项目主要原辅材料、能源消耗情况一览表</w:t>
            </w:r>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589"/>
              <w:gridCol w:w="2874"/>
              <w:gridCol w:w="1111"/>
              <w:gridCol w:w="1111"/>
              <w:gridCol w:w="1111"/>
              <w:gridCol w:w="1116"/>
            </w:tblGrid>
            <w:tr w14:paraId="2BBA5E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 w:hRule="atLeast"/>
                <w:jc w:val="center"/>
              </w:trPr>
              <w:tc>
                <w:tcPr>
                  <w:tcW w:w="373" w:type="pct"/>
                  <w:vMerge w:val="restart"/>
                  <w:tcBorders>
                    <w:left w:val="nil"/>
                  </w:tcBorders>
                  <w:noWrap/>
                  <w:vAlign w:val="center"/>
                </w:tcPr>
                <w:p w14:paraId="4B94728F">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序号</w:t>
                  </w:r>
                </w:p>
              </w:tc>
              <w:tc>
                <w:tcPr>
                  <w:tcW w:w="1816" w:type="pct"/>
                  <w:vMerge w:val="restart"/>
                  <w:noWrap w:val="0"/>
                  <w:vAlign w:val="center"/>
                </w:tcPr>
                <w:p w14:paraId="50E0C3A9">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rPr>
                    <w:t>材料/能源</w:t>
                  </w:r>
                </w:p>
              </w:tc>
              <w:tc>
                <w:tcPr>
                  <w:tcW w:w="2810" w:type="pct"/>
                  <w:gridSpan w:val="4"/>
                  <w:tcBorders>
                    <w:right w:val="nil"/>
                  </w:tcBorders>
                  <w:noWrap/>
                  <w:vAlign w:val="center"/>
                </w:tcPr>
                <w:p w14:paraId="2D870EFA">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本项目年</w:t>
                  </w:r>
                  <w:r>
                    <w:rPr>
                      <w:rFonts w:hint="eastAsia"/>
                      <w:szCs w:val="22"/>
                    </w:rPr>
                    <w:t>用量</w:t>
                  </w:r>
                </w:p>
              </w:tc>
            </w:tr>
            <w:tr w14:paraId="69ABF0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 w:hRule="atLeast"/>
                <w:jc w:val="center"/>
              </w:trPr>
              <w:tc>
                <w:tcPr>
                  <w:tcW w:w="373" w:type="pct"/>
                  <w:vMerge w:val="continue"/>
                  <w:tcBorders>
                    <w:left w:val="nil"/>
                  </w:tcBorders>
                  <w:noWrap/>
                  <w:vAlign w:val="center"/>
                </w:tcPr>
                <w:p w14:paraId="2611ECCF">
                  <w:pPr>
                    <w:pStyle w:val="38"/>
                    <w:keepNext w:val="0"/>
                    <w:keepLines w:val="0"/>
                    <w:widowControl/>
                    <w:suppressLineNumbers w:val="0"/>
                    <w:bidi w:val="0"/>
                    <w:spacing w:before="0" w:beforeAutospacing="0" w:after="0" w:afterAutospacing="0"/>
                    <w:ind w:left="0" w:right="0"/>
                    <w:rPr>
                      <w:rFonts w:hint="eastAsia"/>
                      <w:szCs w:val="22"/>
                    </w:rPr>
                  </w:pPr>
                </w:p>
              </w:tc>
              <w:tc>
                <w:tcPr>
                  <w:tcW w:w="1816" w:type="pct"/>
                  <w:vMerge w:val="continue"/>
                  <w:noWrap w:val="0"/>
                  <w:vAlign w:val="center"/>
                </w:tcPr>
                <w:p w14:paraId="7C5561F4">
                  <w:pPr>
                    <w:pStyle w:val="38"/>
                    <w:keepNext w:val="0"/>
                    <w:keepLines w:val="0"/>
                    <w:widowControl/>
                    <w:suppressLineNumbers w:val="0"/>
                    <w:bidi w:val="0"/>
                    <w:spacing w:before="0" w:beforeAutospacing="0" w:after="0" w:afterAutospacing="0"/>
                    <w:ind w:left="0" w:right="0"/>
                    <w:rPr>
                      <w:rFonts w:hint="eastAsia"/>
                      <w:szCs w:val="22"/>
                      <w:lang w:val="en-US" w:eastAsia="zh-CN"/>
                    </w:rPr>
                  </w:pPr>
                </w:p>
              </w:tc>
              <w:tc>
                <w:tcPr>
                  <w:tcW w:w="702" w:type="pct"/>
                  <w:tcBorders>
                    <w:right w:val="nil"/>
                  </w:tcBorders>
                  <w:shd w:val="clear" w:color="auto" w:fill="auto"/>
                  <w:noWrap/>
                  <w:vAlign w:val="center"/>
                </w:tcPr>
                <w:p w14:paraId="7C3C83CC">
                  <w:pPr>
                    <w:pStyle w:val="38"/>
                    <w:keepNext w:val="0"/>
                    <w:keepLines w:val="0"/>
                    <w:widowControl/>
                    <w:suppressLineNumbers w:val="0"/>
                    <w:bidi w:val="0"/>
                    <w:spacing w:before="0" w:beforeAutospacing="0" w:after="0" w:afterAutospacing="0"/>
                    <w:ind w:left="0" w:right="0"/>
                    <w:rPr>
                      <w:rFonts w:hint="eastAsia" w:ascii="Times New Roman" w:hAnsi="Times New Roman" w:eastAsia="宋体" w:cs="Times New Roman"/>
                      <w:kern w:val="2"/>
                      <w:sz w:val="21"/>
                      <w:szCs w:val="22"/>
                      <w:lang w:val="en-US" w:eastAsia="zh-CN" w:bidi="ar-SA"/>
                    </w:rPr>
                  </w:pPr>
                  <w:r>
                    <w:rPr>
                      <w:rFonts w:hint="eastAsia"/>
                      <w:szCs w:val="22"/>
                      <w:lang w:val="en-US" w:eastAsia="zh-CN"/>
                    </w:rPr>
                    <w:t>生产线1</w:t>
                  </w:r>
                </w:p>
              </w:tc>
              <w:tc>
                <w:tcPr>
                  <w:tcW w:w="702" w:type="pct"/>
                  <w:tcBorders>
                    <w:right w:val="nil"/>
                  </w:tcBorders>
                  <w:shd w:val="clear" w:color="auto" w:fill="auto"/>
                  <w:noWrap/>
                  <w:vAlign w:val="center"/>
                </w:tcPr>
                <w:p w14:paraId="687A6277">
                  <w:pPr>
                    <w:pStyle w:val="38"/>
                    <w:keepNext w:val="0"/>
                    <w:keepLines w:val="0"/>
                    <w:widowControl/>
                    <w:suppressLineNumbers w:val="0"/>
                    <w:bidi w:val="0"/>
                    <w:spacing w:before="0" w:beforeAutospacing="0" w:after="0" w:afterAutospacing="0"/>
                    <w:ind w:left="0" w:right="0"/>
                    <w:rPr>
                      <w:rFonts w:hint="eastAsia" w:ascii="Times New Roman" w:hAnsi="Times New Roman" w:eastAsia="宋体" w:cs="Times New Roman"/>
                      <w:kern w:val="2"/>
                      <w:sz w:val="21"/>
                      <w:szCs w:val="22"/>
                      <w:lang w:val="en-US" w:eastAsia="zh-CN" w:bidi="ar-SA"/>
                    </w:rPr>
                  </w:pPr>
                  <w:r>
                    <w:rPr>
                      <w:rFonts w:hint="eastAsia"/>
                      <w:szCs w:val="22"/>
                      <w:lang w:val="en-US" w:eastAsia="zh-CN"/>
                    </w:rPr>
                    <w:t>生产线2</w:t>
                  </w:r>
                </w:p>
              </w:tc>
              <w:tc>
                <w:tcPr>
                  <w:tcW w:w="702" w:type="pct"/>
                  <w:tcBorders>
                    <w:right w:val="nil"/>
                  </w:tcBorders>
                  <w:shd w:val="clear" w:color="auto" w:fill="auto"/>
                  <w:noWrap/>
                  <w:vAlign w:val="center"/>
                </w:tcPr>
                <w:p w14:paraId="1291AEE9">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生产线3</w:t>
                  </w:r>
                </w:p>
              </w:tc>
              <w:tc>
                <w:tcPr>
                  <w:tcW w:w="703" w:type="pct"/>
                  <w:tcBorders>
                    <w:right w:val="nil"/>
                  </w:tcBorders>
                  <w:shd w:val="clear" w:color="auto" w:fill="auto"/>
                  <w:noWrap/>
                  <w:vAlign w:val="center"/>
                </w:tcPr>
                <w:p w14:paraId="086B5024">
                  <w:pPr>
                    <w:pStyle w:val="38"/>
                    <w:keepNext w:val="0"/>
                    <w:keepLines w:val="0"/>
                    <w:widowControl/>
                    <w:suppressLineNumbers w:val="0"/>
                    <w:bidi w:val="0"/>
                    <w:spacing w:before="0" w:beforeAutospacing="0" w:after="0" w:afterAutospacing="0"/>
                    <w:ind w:left="0" w:right="0"/>
                    <w:rPr>
                      <w:rFonts w:hint="eastAsia" w:ascii="Times New Roman" w:hAnsi="Times New Roman" w:eastAsia="宋体" w:cs="Times New Roman"/>
                      <w:kern w:val="2"/>
                      <w:sz w:val="21"/>
                      <w:szCs w:val="22"/>
                      <w:lang w:val="en-US" w:eastAsia="zh-CN" w:bidi="ar-SA"/>
                    </w:rPr>
                  </w:pPr>
                  <w:r>
                    <w:rPr>
                      <w:rFonts w:hint="eastAsia"/>
                      <w:szCs w:val="22"/>
                      <w:lang w:val="en-US" w:eastAsia="zh-CN"/>
                    </w:rPr>
                    <w:t>合计</w:t>
                  </w:r>
                </w:p>
              </w:tc>
            </w:tr>
            <w:tr w14:paraId="5C10F2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 w:hRule="atLeast"/>
                <w:jc w:val="center"/>
              </w:trPr>
              <w:tc>
                <w:tcPr>
                  <w:tcW w:w="373" w:type="pct"/>
                  <w:tcBorders>
                    <w:left w:val="nil"/>
                  </w:tcBorders>
                  <w:noWrap/>
                  <w:vAlign w:val="center"/>
                </w:tcPr>
                <w:p w14:paraId="277F6B30">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1</w:t>
                  </w:r>
                </w:p>
              </w:tc>
              <w:tc>
                <w:tcPr>
                  <w:tcW w:w="1816" w:type="pct"/>
                  <w:noWrap w:val="0"/>
                  <w:vAlign w:val="center"/>
                </w:tcPr>
                <w:p w14:paraId="1138A96A">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压铸铝</w:t>
                  </w:r>
                </w:p>
              </w:tc>
              <w:tc>
                <w:tcPr>
                  <w:tcW w:w="702" w:type="pct"/>
                  <w:tcBorders>
                    <w:right w:val="nil"/>
                  </w:tcBorders>
                  <w:shd w:val="clear" w:color="auto" w:fill="auto"/>
                  <w:noWrap/>
                  <w:vAlign w:val="center"/>
                </w:tcPr>
                <w:p w14:paraId="290D9782">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6.9</w:t>
                  </w:r>
                  <w:r>
                    <w:rPr>
                      <w:rFonts w:hint="eastAsia"/>
                      <w:szCs w:val="22"/>
                      <w:lang w:val="en-US" w:eastAsia="zh-CN"/>
                    </w:rPr>
                    <w:t>万套</w:t>
                  </w:r>
                </w:p>
              </w:tc>
              <w:tc>
                <w:tcPr>
                  <w:tcW w:w="702" w:type="pct"/>
                  <w:tcBorders>
                    <w:right w:val="nil"/>
                  </w:tcBorders>
                  <w:shd w:val="clear" w:color="auto" w:fill="auto"/>
                  <w:noWrap/>
                  <w:vAlign w:val="center"/>
                </w:tcPr>
                <w:p w14:paraId="2F6ED95C">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6.9</w:t>
                  </w:r>
                  <w:r>
                    <w:rPr>
                      <w:rFonts w:hint="eastAsia"/>
                      <w:szCs w:val="22"/>
                      <w:lang w:val="en-US" w:eastAsia="zh-CN"/>
                    </w:rPr>
                    <w:t>万套</w:t>
                  </w:r>
                </w:p>
              </w:tc>
              <w:tc>
                <w:tcPr>
                  <w:tcW w:w="702" w:type="pct"/>
                  <w:tcBorders>
                    <w:right w:val="nil"/>
                  </w:tcBorders>
                  <w:shd w:val="clear" w:color="auto" w:fill="auto"/>
                  <w:noWrap/>
                  <w:vAlign w:val="center"/>
                </w:tcPr>
                <w:p w14:paraId="613A5BAC">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6.8</w:t>
                  </w:r>
                  <w:r>
                    <w:rPr>
                      <w:rFonts w:hint="eastAsia"/>
                      <w:szCs w:val="22"/>
                      <w:lang w:val="en-US" w:eastAsia="zh-CN"/>
                    </w:rPr>
                    <w:t>万套</w:t>
                  </w:r>
                </w:p>
              </w:tc>
              <w:tc>
                <w:tcPr>
                  <w:tcW w:w="703" w:type="pct"/>
                  <w:tcBorders>
                    <w:right w:val="nil"/>
                  </w:tcBorders>
                  <w:shd w:val="clear" w:color="auto" w:fill="auto"/>
                  <w:noWrap/>
                  <w:vAlign w:val="center"/>
                </w:tcPr>
                <w:p w14:paraId="7650C432">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20.6</w:t>
                  </w:r>
                  <w:r>
                    <w:rPr>
                      <w:rFonts w:hint="eastAsia"/>
                      <w:szCs w:val="22"/>
                      <w:lang w:val="en-US" w:eastAsia="zh-CN"/>
                    </w:rPr>
                    <w:t>万套</w:t>
                  </w:r>
                </w:p>
              </w:tc>
            </w:tr>
            <w:tr w14:paraId="156DCC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 w:hRule="atLeast"/>
                <w:jc w:val="center"/>
              </w:trPr>
              <w:tc>
                <w:tcPr>
                  <w:tcW w:w="373" w:type="pct"/>
                  <w:tcBorders>
                    <w:left w:val="nil"/>
                  </w:tcBorders>
                  <w:noWrap/>
                  <w:vAlign w:val="center"/>
                </w:tcPr>
                <w:p w14:paraId="2EEAFC3F">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rPr>
                    <w:t>2</w:t>
                  </w:r>
                </w:p>
              </w:tc>
              <w:tc>
                <w:tcPr>
                  <w:tcW w:w="1816" w:type="pct"/>
                  <w:noWrap w:val="0"/>
                  <w:vAlign w:val="center"/>
                </w:tcPr>
                <w:p w14:paraId="4AC6B10E">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塑胶壳</w:t>
                  </w:r>
                </w:p>
              </w:tc>
              <w:tc>
                <w:tcPr>
                  <w:tcW w:w="702" w:type="pct"/>
                  <w:tcBorders>
                    <w:right w:val="nil"/>
                  </w:tcBorders>
                  <w:noWrap/>
                  <w:vAlign w:val="center"/>
                </w:tcPr>
                <w:p w14:paraId="553EC111">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10.3</w:t>
                  </w:r>
                  <w:r>
                    <w:rPr>
                      <w:rFonts w:hint="eastAsia"/>
                      <w:szCs w:val="22"/>
                      <w:lang w:val="en-US" w:eastAsia="zh-CN"/>
                    </w:rPr>
                    <w:t>万套</w:t>
                  </w:r>
                </w:p>
              </w:tc>
              <w:tc>
                <w:tcPr>
                  <w:tcW w:w="702" w:type="pct"/>
                  <w:tcBorders>
                    <w:right w:val="nil"/>
                  </w:tcBorders>
                  <w:noWrap/>
                  <w:vAlign w:val="center"/>
                </w:tcPr>
                <w:p w14:paraId="669C4411">
                  <w:pPr>
                    <w:pStyle w:val="38"/>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10.3</w:t>
                  </w:r>
                  <w:r>
                    <w:rPr>
                      <w:rFonts w:hint="eastAsia"/>
                      <w:szCs w:val="22"/>
                      <w:lang w:val="en-US" w:eastAsia="zh-CN"/>
                    </w:rPr>
                    <w:t>万套</w:t>
                  </w:r>
                </w:p>
              </w:tc>
              <w:tc>
                <w:tcPr>
                  <w:tcW w:w="702" w:type="pct"/>
                  <w:tcBorders>
                    <w:right w:val="nil"/>
                  </w:tcBorders>
                  <w:noWrap/>
                  <w:vAlign w:val="center"/>
                </w:tcPr>
                <w:p w14:paraId="6CF91964">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10.3</w:t>
                  </w:r>
                  <w:r>
                    <w:rPr>
                      <w:rFonts w:hint="eastAsia"/>
                      <w:szCs w:val="22"/>
                      <w:lang w:val="en-US" w:eastAsia="zh-CN"/>
                    </w:rPr>
                    <w:t>万套</w:t>
                  </w:r>
                </w:p>
              </w:tc>
              <w:tc>
                <w:tcPr>
                  <w:tcW w:w="703" w:type="pct"/>
                  <w:tcBorders>
                    <w:right w:val="nil"/>
                  </w:tcBorders>
                  <w:noWrap/>
                  <w:vAlign w:val="center"/>
                </w:tcPr>
                <w:p w14:paraId="1515F2A9">
                  <w:pPr>
                    <w:pStyle w:val="38"/>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30.9</w:t>
                  </w:r>
                  <w:r>
                    <w:rPr>
                      <w:rFonts w:hint="eastAsia"/>
                      <w:szCs w:val="22"/>
                      <w:lang w:val="en-US" w:eastAsia="zh-CN"/>
                    </w:rPr>
                    <w:t>万套</w:t>
                  </w:r>
                </w:p>
              </w:tc>
            </w:tr>
            <w:tr w14:paraId="239961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 w:hRule="atLeast"/>
                <w:jc w:val="center"/>
              </w:trPr>
              <w:tc>
                <w:tcPr>
                  <w:tcW w:w="373" w:type="pct"/>
                  <w:tcBorders>
                    <w:left w:val="nil"/>
                  </w:tcBorders>
                  <w:noWrap/>
                  <w:vAlign w:val="center"/>
                </w:tcPr>
                <w:p w14:paraId="1241B698">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rPr>
                    <w:t>3</w:t>
                  </w:r>
                </w:p>
              </w:tc>
              <w:tc>
                <w:tcPr>
                  <w:tcW w:w="1816" w:type="pct"/>
                  <w:noWrap w:val="0"/>
                  <w:vAlign w:val="center"/>
                </w:tcPr>
                <w:p w14:paraId="5D5ED11A">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钣金</w:t>
                  </w:r>
                </w:p>
              </w:tc>
              <w:tc>
                <w:tcPr>
                  <w:tcW w:w="702" w:type="pct"/>
                  <w:tcBorders>
                    <w:right w:val="nil"/>
                  </w:tcBorders>
                  <w:noWrap/>
                  <w:vAlign w:val="center"/>
                </w:tcPr>
                <w:p w14:paraId="6783EB2B">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3.4</w:t>
                  </w:r>
                  <w:r>
                    <w:rPr>
                      <w:rFonts w:hint="eastAsia"/>
                      <w:szCs w:val="22"/>
                      <w:lang w:val="en-US" w:eastAsia="zh-CN"/>
                    </w:rPr>
                    <w:t>万套</w:t>
                  </w:r>
                </w:p>
              </w:tc>
              <w:tc>
                <w:tcPr>
                  <w:tcW w:w="702" w:type="pct"/>
                  <w:tcBorders>
                    <w:right w:val="nil"/>
                  </w:tcBorders>
                  <w:noWrap/>
                  <w:vAlign w:val="center"/>
                </w:tcPr>
                <w:p w14:paraId="4C576064">
                  <w:pPr>
                    <w:pStyle w:val="38"/>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3.4</w:t>
                  </w:r>
                  <w:r>
                    <w:rPr>
                      <w:rFonts w:hint="eastAsia"/>
                      <w:szCs w:val="22"/>
                      <w:lang w:val="en-US" w:eastAsia="zh-CN"/>
                    </w:rPr>
                    <w:t>万套</w:t>
                  </w:r>
                </w:p>
              </w:tc>
              <w:tc>
                <w:tcPr>
                  <w:tcW w:w="702" w:type="pct"/>
                  <w:tcBorders>
                    <w:right w:val="nil"/>
                  </w:tcBorders>
                  <w:noWrap/>
                  <w:vAlign w:val="center"/>
                </w:tcPr>
                <w:p w14:paraId="2DB0DED6">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3.4</w:t>
                  </w:r>
                  <w:r>
                    <w:rPr>
                      <w:rFonts w:hint="eastAsia"/>
                      <w:szCs w:val="22"/>
                      <w:lang w:val="en-US" w:eastAsia="zh-CN"/>
                    </w:rPr>
                    <w:t>万套</w:t>
                  </w:r>
                </w:p>
              </w:tc>
              <w:tc>
                <w:tcPr>
                  <w:tcW w:w="703" w:type="pct"/>
                  <w:tcBorders>
                    <w:right w:val="nil"/>
                  </w:tcBorders>
                  <w:noWrap/>
                  <w:vAlign w:val="center"/>
                </w:tcPr>
                <w:p w14:paraId="16CBF22A">
                  <w:pPr>
                    <w:pStyle w:val="38"/>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10.2</w:t>
                  </w:r>
                  <w:r>
                    <w:rPr>
                      <w:rFonts w:hint="eastAsia"/>
                      <w:szCs w:val="22"/>
                      <w:lang w:val="en-US" w:eastAsia="zh-CN"/>
                    </w:rPr>
                    <w:t>万套</w:t>
                  </w:r>
                </w:p>
              </w:tc>
            </w:tr>
            <w:tr w14:paraId="279675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373" w:type="pct"/>
                  <w:tcBorders>
                    <w:left w:val="nil"/>
                  </w:tcBorders>
                  <w:noWrap/>
                  <w:vAlign w:val="center"/>
                </w:tcPr>
                <w:p w14:paraId="541975A9">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4</w:t>
                  </w:r>
                </w:p>
              </w:tc>
              <w:tc>
                <w:tcPr>
                  <w:tcW w:w="1816" w:type="pct"/>
                  <w:noWrap w:val="0"/>
                  <w:vAlign w:val="center"/>
                </w:tcPr>
                <w:p w14:paraId="4CAE0F72">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水性漆</w:t>
                  </w:r>
                </w:p>
              </w:tc>
              <w:tc>
                <w:tcPr>
                  <w:tcW w:w="702" w:type="pct"/>
                  <w:tcBorders>
                    <w:right w:val="nil"/>
                  </w:tcBorders>
                  <w:noWrap/>
                  <w:vAlign w:val="center"/>
                </w:tcPr>
                <w:p w14:paraId="776A43DA">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0.3t</w:t>
                  </w:r>
                </w:p>
              </w:tc>
              <w:tc>
                <w:tcPr>
                  <w:tcW w:w="702" w:type="pct"/>
                  <w:tcBorders>
                    <w:right w:val="nil"/>
                  </w:tcBorders>
                  <w:noWrap/>
                  <w:vAlign w:val="center"/>
                </w:tcPr>
                <w:p w14:paraId="53762CD0">
                  <w:pPr>
                    <w:pStyle w:val="38"/>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0.3t</w:t>
                  </w:r>
                </w:p>
              </w:tc>
              <w:tc>
                <w:tcPr>
                  <w:tcW w:w="702" w:type="pct"/>
                  <w:tcBorders>
                    <w:right w:val="nil"/>
                  </w:tcBorders>
                  <w:noWrap/>
                  <w:vAlign w:val="center"/>
                </w:tcPr>
                <w:p w14:paraId="703BDB69">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0.3t</w:t>
                  </w:r>
                </w:p>
              </w:tc>
              <w:tc>
                <w:tcPr>
                  <w:tcW w:w="703" w:type="pct"/>
                  <w:tcBorders>
                    <w:right w:val="nil"/>
                  </w:tcBorders>
                  <w:noWrap/>
                  <w:vAlign w:val="center"/>
                </w:tcPr>
                <w:p w14:paraId="6A34D876">
                  <w:pPr>
                    <w:pStyle w:val="38"/>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0.9t</w:t>
                  </w:r>
                </w:p>
              </w:tc>
            </w:tr>
            <w:tr w14:paraId="3A247C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 w:hRule="atLeast"/>
                <w:jc w:val="center"/>
              </w:trPr>
              <w:tc>
                <w:tcPr>
                  <w:tcW w:w="373" w:type="pct"/>
                  <w:tcBorders>
                    <w:left w:val="nil"/>
                  </w:tcBorders>
                  <w:noWrap/>
                  <w:vAlign w:val="center"/>
                </w:tcPr>
                <w:p w14:paraId="4680A2E4">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5</w:t>
                  </w:r>
                </w:p>
              </w:tc>
              <w:tc>
                <w:tcPr>
                  <w:tcW w:w="1816" w:type="pct"/>
                  <w:noWrap w:val="0"/>
                  <w:vAlign w:val="center"/>
                </w:tcPr>
                <w:p w14:paraId="493F8B03">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塑胶用油性漆</w:t>
                  </w:r>
                </w:p>
              </w:tc>
              <w:tc>
                <w:tcPr>
                  <w:tcW w:w="702" w:type="pct"/>
                  <w:tcBorders>
                    <w:right w:val="nil"/>
                  </w:tcBorders>
                  <w:noWrap/>
                  <w:vAlign w:val="center"/>
                </w:tcPr>
                <w:p w14:paraId="2EB1A9D9">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default"/>
                      <w:szCs w:val="22"/>
                      <w:lang w:val="en-US" w:eastAsia="zh-CN"/>
                    </w:rPr>
                    <w:t>0.2t</w:t>
                  </w:r>
                </w:p>
              </w:tc>
              <w:tc>
                <w:tcPr>
                  <w:tcW w:w="702" w:type="pct"/>
                  <w:tcBorders>
                    <w:right w:val="nil"/>
                  </w:tcBorders>
                  <w:noWrap/>
                  <w:vAlign w:val="center"/>
                </w:tcPr>
                <w:p w14:paraId="4A3F9D60">
                  <w:pPr>
                    <w:pStyle w:val="38"/>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0.2t</w:t>
                  </w:r>
                </w:p>
              </w:tc>
              <w:tc>
                <w:tcPr>
                  <w:tcW w:w="702" w:type="pct"/>
                  <w:tcBorders>
                    <w:right w:val="nil"/>
                  </w:tcBorders>
                  <w:noWrap/>
                  <w:vAlign w:val="center"/>
                </w:tcPr>
                <w:p w14:paraId="28BD0756">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0.2t</w:t>
                  </w:r>
                </w:p>
              </w:tc>
              <w:tc>
                <w:tcPr>
                  <w:tcW w:w="703" w:type="pct"/>
                  <w:tcBorders>
                    <w:right w:val="nil"/>
                  </w:tcBorders>
                  <w:noWrap/>
                  <w:vAlign w:val="center"/>
                </w:tcPr>
                <w:p w14:paraId="4686157B">
                  <w:pPr>
                    <w:pStyle w:val="38"/>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0.6t</w:t>
                  </w:r>
                </w:p>
              </w:tc>
            </w:tr>
            <w:tr w14:paraId="719248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 w:hRule="atLeast"/>
                <w:jc w:val="center"/>
              </w:trPr>
              <w:tc>
                <w:tcPr>
                  <w:tcW w:w="373" w:type="pct"/>
                  <w:tcBorders>
                    <w:left w:val="nil"/>
                  </w:tcBorders>
                  <w:noWrap/>
                  <w:vAlign w:val="center"/>
                </w:tcPr>
                <w:p w14:paraId="5B3CCC0E">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6</w:t>
                  </w:r>
                </w:p>
              </w:tc>
              <w:tc>
                <w:tcPr>
                  <w:tcW w:w="1816" w:type="pct"/>
                  <w:noWrap w:val="0"/>
                  <w:vAlign w:val="center"/>
                </w:tcPr>
                <w:p w14:paraId="055BF04C">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金属用油性漆</w:t>
                  </w:r>
                </w:p>
              </w:tc>
              <w:tc>
                <w:tcPr>
                  <w:tcW w:w="702" w:type="pct"/>
                  <w:tcBorders>
                    <w:right w:val="nil"/>
                  </w:tcBorders>
                  <w:noWrap/>
                  <w:vAlign w:val="center"/>
                </w:tcPr>
                <w:p w14:paraId="1982D15D">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default"/>
                      <w:szCs w:val="22"/>
                      <w:lang w:val="en-US" w:eastAsia="zh-CN"/>
                    </w:rPr>
                    <w:t>1.1t</w:t>
                  </w:r>
                </w:p>
              </w:tc>
              <w:tc>
                <w:tcPr>
                  <w:tcW w:w="702" w:type="pct"/>
                  <w:tcBorders>
                    <w:right w:val="nil"/>
                  </w:tcBorders>
                  <w:noWrap/>
                  <w:vAlign w:val="center"/>
                </w:tcPr>
                <w:p w14:paraId="132D1DB3">
                  <w:pPr>
                    <w:pStyle w:val="38"/>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1.1t</w:t>
                  </w:r>
                </w:p>
              </w:tc>
              <w:tc>
                <w:tcPr>
                  <w:tcW w:w="702" w:type="pct"/>
                  <w:tcBorders>
                    <w:right w:val="nil"/>
                  </w:tcBorders>
                  <w:noWrap/>
                  <w:vAlign w:val="center"/>
                </w:tcPr>
                <w:p w14:paraId="76BA116F">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1.1t</w:t>
                  </w:r>
                </w:p>
              </w:tc>
              <w:tc>
                <w:tcPr>
                  <w:tcW w:w="703" w:type="pct"/>
                  <w:tcBorders>
                    <w:right w:val="nil"/>
                  </w:tcBorders>
                  <w:noWrap/>
                  <w:vAlign w:val="center"/>
                </w:tcPr>
                <w:p w14:paraId="3C2F02CB">
                  <w:pPr>
                    <w:pStyle w:val="38"/>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3.3t</w:t>
                  </w:r>
                </w:p>
              </w:tc>
            </w:tr>
            <w:tr w14:paraId="74698B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 w:hRule="atLeast"/>
                <w:jc w:val="center"/>
              </w:trPr>
              <w:tc>
                <w:tcPr>
                  <w:tcW w:w="373" w:type="pct"/>
                  <w:tcBorders>
                    <w:left w:val="nil"/>
                  </w:tcBorders>
                  <w:noWrap/>
                  <w:vAlign w:val="center"/>
                </w:tcPr>
                <w:p w14:paraId="1DB946D7">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7</w:t>
                  </w:r>
                </w:p>
              </w:tc>
              <w:tc>
                <w:tcPr>
                  <w:tcW w:w="1816" w:type="pct"/>
                  <w:noWrap w:val="0"/>
                  <w:vAlign w:val="center"/>
                </w:tcPr>
                <w:p w14:paraId="6A017DA8">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稀释剂</w:t>
                  </w:r>
                </w:p>
              </w:tc>
              <w:tc>
                <w:tcPr>
                  <w:tcW w:w="702" w:type="pct"/>
                  <w:tcBorders>
                    <w:right w:val="nil"/>
                  </w:tcBorders>
                  <w:noWrap/>
                  <w:vAlign w:val="center"/>
                </w:tcPr>
                <w:p w14:paraId="2C322A2D">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default"/>
                      <w:szCs w:val="22"/>
                      <w:lang w:val="en-US" w:eastAsia="zh-CN"/>
                    </w:rPr>
                    <w:t>0.7t</w:t>
                  </w:r>
                </w:p>
              </w:tc>
              <w:tc>
                <w:tcPr>
                  <w:tcW w:w="702" w:type="pct"/>
                  <w:tcBorders>
                    <w:right w:val="nil"/>
                  </w:tcBorders>
                  <w:noWrap/>
                  <w:vAlign w:val="center"/>
                </w:tcPr>
                <w:p w14:paraId="773D1E6F">
                  <w:pPr>
                    <w:pStyle w:val="38"/>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0.7t</w:t>
                  </w:r>
                </w:p>
              </w:tc>
              <w:tc>
                <w:tcPr>
                  <w:tcW w:w="702" w:type="pct"/>
                  <w:tcBorders>
                    <w:right w:val="nil"/>
                  </w:tcBorders>
                  <w:noWrap/>
                  <w:vAlign w:val="center"/>
                </w:tcPr>
                <w:p w14:paraId="44904523">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0.7t</w:t>
                  </w:r>
                </w:p>
              </w:tc>
              <w:tc>
                <w:tcPr>
                  <w:tcW w:w="703" w:type="pct"/>
                  <w:tcBorders>
                    <w:right w:val="nil"/>
                  </w:tcBorders>
                  <w:noWrap/>
                  <w:vAlign w:val="center"/>
                </w:tcPr>
                <w:p w14:paraId="51CAE408">
                  <w:pPr>
                    <w:pStyle w:val="38"/>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2.1t</w:t>
                  </w:r>
                </w:p>
              </w:tc>
            </w:tr>
            <w:tr w14:paraId="72C0C0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000" w:type="pct"/>
                  <w:gridSpan w:val="6"/>
                  <w:tcBorders>
                    <w:left w:val="nil"/>
                    <w:right w:val="nil"/>
                  </w:tcBorders>
                  <w:noWrap/>
                  <w:vAlign w:val="center"/>
                </w:tcPr>
                <w:p w14:paraId="32E6D716">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能源消耗</w:t>
                  </w:r>
                </w:p>
              </w:tc>
            </w:tr>
            <w:tr w14:paraId="70A39E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373" w:type="pct"/>
                  <w:tcBorders>
                    <w:left w:val="nil"/>
                  </w:tcBorders>
                  <w:noWrap/>
                  <w:vAlign w:val="center"/>
                </w:tcPr>
                <w:p w14:paraId="646851C0">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8</w:t>
                  </w:r>
                </w:p>
              </w:tc>
              <w:tc>
                <w:tcPr>
                  <w:tcW w:w="1816" w:type="pct"/>
                  <w:noWrap w:val="0"/>
                  <w:vAlign w:val="center"/>
                </w:tcPr>
                <w:p w14:paraId="64C75702">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水</w:t>
                  </w:r>
                </w:p>
              </w:tc>
              <w:tc>
                <w:tcPr>
                  <w:tcW w:w="2810" w:type="pct"/>
                  <w:gridSpan w:val="4"/>
                  <w:tcBorders>
                    <w:right w:val="nil"/>
                  </w:tcBorders>
                  <w:noWrap/>
                  <w:vAlign w:val="center"/>
                </w:tcPr>
                <w:p w14:paraId="286165A8">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195t/a</w:t>
                  </w:r>
                </w:p>
              </w:tc>
            </w:tr>
            <w:tr w14:paraId="45B005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 w:hRule="atLeast"/>
                <w:jc w:val="center"/>
              </w:trPr>
              <w:tc>
                <w:tcPr>
                  <w:tcW w:w="373" w:type="pct"/>
                  <w:tcBorders>
                    <w:left w:val="nil"/>
                  </w:tcBorders>
                  <w:noWrap/>
                  <w:vAlign w:val="center"/>
                </w:tcPr>
                <w:p w14:paraId="5727E98E">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9</w:t>
                  </w:r>
                </w:p>
              </w:tc>
              <w:tc>
                <w:tcPr>
                  <w:tcW w:w="1816" w:type="pct"/>
                  <w:noWrap w:val="0"/>
                  <w:vAlign w:val="center"/>
                </w:tcPr>
                <w:p w14:paraId="775E6A9B">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电</w:t>
                  </w:r>
                </w:p>
              </w:tc>
              <w:tc>
                <w:tcPr>
                  <w:tcW w:w="2810" w:type="pct"/>
                  <w:gridSpan w:val="4"/>
                  <w:tcBorders>
                    <w:right w:val="nil"/>
                  </w:tcBorders>
                  <w:noWrap/>
                  <w:vAlign w:val="center"/>
                </w:tcPr>
                <w:p w14:paraId="262EEBCD">
                  <w:pPr>
                    <w:pStyle w:val="38"/>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2</w:t>
                  </w:r>
                  <w:r>
                    <w:rPr>
                      <w:rFonts w:hint="eastAsia"/>
                      <w:szCs w:val="22"/>
                      <w:lang w:val="en-US" w:eastAsia="zh-CN"/>
                    </w:rPr>
                    <w:t>万kwh/a</w:t>
                  </w:r>
                </w:p>
              </w:tc>
            </w:tr>
          </w:tbl>
          <w:p w14:paraId="552586A9">
            <w:pPr>
              <w:keepNext w:val="0"/>
              <w:keepLines w:val="0"/>
              <w:suppressLineNumbers w:val="0"/>
              <w:bidi w:val="0"/>
              <w:spacing w:before="0" w:beforeAutospacing="0" w:after="0" w:afterAutospacing="0"/>
              <w:ind w:left="0" w:right="0"/>
              <w:rPr>
                <w:rFonts w:hint="eastAsia"/>
                <w:highlight w:val="none"/>
                <w:lang w:eastAsia="zh-CN"/>
              </w:rPr>
            </w:pPr>
            <w:r>
              <w:rPr>
                <w:rFonts w:hint="default"/>
                <w:lang w:val="en-US" w:eastAsia="zh-CN"/>
              </w:rPr>
              <w:t>主要原辅材料</w:t>
            </w:r>
            <w:r>
              <w:rPr>
                <w:rFonts w:hint="eastAsia"/>
                <w:lang w:val="en-US" w:eastAsia="zh-CN"/>
              </w:rPr>
              <w:t>成分及</w:t>
            </w:r>
            <w:r>
              <w:rPr>
                <w:rFonts w:hint="default"/>
                <w:lang w:val="en-US" w:eastAsia="zh-CN"/>
              </w:rPr>
              <w:t>性质</w:t>
            </w:r>
            <w:r>
              <w:rPr>
                <w:rFonts w:hint="eastAsia"/>
                <w:lang w:val="en-US" w:eastAsia="zh-CN"/>
              </w:rPr>
              <w:t>见表</w:t>
            </w:r>
            <w:r>
              <w:rPr>
                <w:rFonts w:hint="eastAsia"/>
                <w:color w:val="auto"/>
                <w:highlight w:val="none"/>
                <w:lang w:val="en-US" w:eastAsia="zh-CN"/>
              </w:rPr>
              <w:t>2.3-4</w:t>
            </w:r>
            <w:r>
              <w:rPr>
                <w:rFonts w:hint="eastAsia"/>
                <w:lang w:val="en-US" w:eastAsia="zh-CN"/>
              </w:rPr>
              <w:t>，成分报告见附件8-14。可知，项目使用的原辅材料理化性质和组成成分如下所述：</w:t>
            </w:r>
          </w:p>
          <w:p w14:paraId="471BA5C2">
            <w:pPr>
              <w:pStyle w:val="39"/>
              <w:keepNext w:val="0"/>
              <w:keepLines w:val="0"/>
              <w:suppressLineNumbers w:val="0"/>
              <w:bidi w:val="0"/>
              <w:spacing w:before="0" w:beforeAutospacing="0" w:after="0" w:afterAutospacing="0"/>
              <w:ind w:left="0" w:right="0"/>
              <w:rPr>
                <w:rFonts w:hint="default"/>
                <w:highlight w:val="none"/>
              </w:rPr>
            </w:pPr>
            <w:r>
              <w:rPr>
                <w:rFonts w:hint="eastAsia"/>
                <w:highlight w:val="none"/>
                <w:lang w:eastAsia="zh-CN"/>
              </w:rPr>
              <w:t>表</w:t>
            </w:r>
            <w:r>
              <w:rPr>
                <w:rFonts w:hint="eastAsia"/>
                <w:color w:val="auto"/>
                <w:highlight w:val="none"/>
                <w:lang w:val="en-US" w:eastAsia="zh-CN"/>
              </w:rPr>
              <w:t>2.3-4</w:t>
            </w:r>
            <w:r>
              <w:rPr>
                <w:rFonts w:hint="eastAsia"/>
                <w:highlight w:val="none"/>
                <w:lang w:val="en-US" w:eastAsia="zh-CN"/>
              </w:rPr>
              <w:t xml:space="preserve"> </w:t>
            </w:r>
            <w:r>
              <w:rPr>
                <w:rFonts w:hint="default"/>
                <w:highlight w:val="none"/>
              </w:rPr>
              <w:t>主要原辅材料性质介绍</w:t>
            </w:r>
          </w:p>
          <w:tbl>
            <w:tblPr>
              <w:tblStyle w:val="30"/>
              <w:tblW w:w="497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62"/>
              <w:gridCol w:w="936"/>
              <w:gridCol w:w="2545"/>
              <w:gridCol w:w="3323"/>
            </w:tblGrid>
            <w:tr w14:paraId="4AE1E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 w:type="pct"/>
                  <w:tcBorders>
                    <w:top w:val="single" w:color="auto" w:sz="12" w:space="0"/>
                    <w:left w:val="nil"/>
                    <w:bottom w:val="single" w:color="auto" w:sz="4" w:space="0"/>
                  </w:tcBorders>
                  <w:noWrap w:val="0"/>
                  <w:vAlign w:val="center"/>
                </w:tcPr>
                <w:p w14:paraId="34FEAFFD">
                  <w:pPr>
                    <w:pStyle w:val="38"/>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default"/>
                      <w:szCs w:val="22"/>
                      <w:highlight w:val="none"/>
                    </w:rPr>
                    <w:t>序号</w:t>
                  </w:r>
                </w:p>
              </w:tc>
              <w:tc>
                <w:tcPr>
                  <w:tcW w:w="421" w:type="pct"/>
                  <w:tcBorders>
                    <w:top w:val="single" w:color="auto" w:sz="12" w:space="0"/>
                    <w:bottom w:val="single" w:color="auto" w:sz="4" w:space="0"/>
                  </w:tcBorders>
                  <w:noWrap w:val="0"/>
                  <w:vAlign w:val="center"/>
                </w:tcPr>
                <w:p w14:paraId="2ADB1665">
                  <w:pPr>
                    <w:pStyle w:val="38"/>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eastAsia"/>
                      <w:szCs w:val="22"/>
                      <w:highlight w:val="none"/>
                      <w:lang w:val="en-US" w:eastAsia="zh-CN"/>
                    </w:rPr>
                    <w:t>类别</w:t>
                  </w:r>
                </w:p>
              </w:tc>
              <w:tc>
                <w:tcPr>
                  <w:tcW w:w="595" w:type="pct"/>
                  <w:tcBorders>
                    <w:top w:val="single" w:color="auto" w:sz="12" w:space="0"/>
                    <w:bottom w:val="single" w:color="auto" w:sz="4" w:space="0"/>
                  </w:tcBorders>
                  <w:noWrap w:val="0"/>
                  <w:vAlign w:val="center"/>
                </w:tcPr>
                <w:p w14:paraId="25490C01">
                  <w:pPr>
                    <w:pStyle w:val="38"/>
                    <w:keepNext w:val="0"/>
                    <w:keepLines w:val="0"/>
                    <w:widowControl/>
                    <w:suppressLineNumbers w:val="0"/>
                    <w:bidi w:val="0"/>
                    <w:spacing w:before="0" w:beforeAutospacing="0" w:after="0" w:afterAutospacing="0"/>
                    <w:ind w:left="0" w:right="0"/>
                    <w:rPr>
                      <w:rFonts w:hint="default"/>
                      <w:szCs w:val="22"/>
                      <w:highlight w:val="none"/>
                      <w:lang w:eastAsia="zh-CN"/>
                    </w:rPr>
                  </w:pPr>
                  <w:r>
                    <w:rPr>
                      <w:rFonts w:hint="default"/>
                      <w:szCs w:val="22"/>
                      <w:highlight w:val="none"/>
                    </w:rPr>
                    <w:t>原辅材料名称</w:t>
                  </w:r>
                </w:p>
              </w:tc>
              <w:tc>
                <w:tcPr>
                  <w:tcW w:w="1614" w:type="pct"/>
                  <w:tcBorders>
                    <w:top w:val="single" w:color="auto" w:sz="12" w:space="0"/>
                    <w:bottom w:val="single" w:color="auto" w:sz="4" w:space="0"/>
                    <w:right w:val="nil"/>
                  </w:tcBorders>
                  <w:noWrap w:val="0"/>
                  <w:vAlign w:val="center"/>
                </w:tcPr>
                <w:p w14:paraId="6BF2FE39">
                  <w:pPr>
                    <w:pStyle w:val="38"/>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default"/>
                      <w:szCs w:val="22"/>
                      <w:highlight w:val="none"/>
                      <w:lang w:val="en-US" w:eastAsia="zh-CN"/>
                    </w:rPr>
                    <w:t>主要成分</w:t>
                  </w:r>
                </w:p>
              </w:tc>
              <w:tc>
                <w:tcPr>
                  <w:tcW w:w="2104" w:type="pct"/>
                  <w:tcBorders>
                    <w:top w:val="single" w:color="auto" w:sz="12" w:space="0"/>
                    <w:bottom w:val="single" w:color="auto" w:sz="4" w:space="0"/>
                    <w:right w:val="nil"/>
                  </w:tcBorders>
                  <w:noWrap w:val="0"/>
                  <w:vAlign w:val="center"/>
                </w:tcPr>
                <w:p w14:paraId="7C900228">
                  <w:pPr>
                    <w:pStyle w:val="38"/>
                    <w:keepNext w:val="0"/>
                    <w:keepLines w:val="0"/>
                    <w:widowControl/>
                    <w:suppressLineNumbers w:val="0"/>
                    <w:bidi w:val="0"/>
                    <w:spacing w:before="0" w:beforeAutospacing="0" w:after="0" w:afterAutospacing="0"/>
                    <w:ind w:left="0" w:right="0"/>
                    <w:rPr>
                      <w:rFonts w:hint="default"/>
                      <w:szCs w:val="22"/>
                      <w:highlight w:val="none"/>
                      <w:lang w:eastAsia="zh-CN"/>
                    </w:rPr>
                  </w:pPr>
                  <w:r>
                    <w:rPr>
                      <w:rFonts w:hint="default"/>
                      <w:szCs w:val="22"/>
                      <w:highlight w:val="none"/>
                      <w:lang w:val="en-US" w:eastAsia="zh-CN"/>
                    </w:rPr>
                    <w:t>理化性质</w:t>
                  </w:r>
                </w:p>
              </w:tc>
            </w:tr>
            <w:tr w14:paraId="0AAA6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63" w:type="pct"/>
                  <w:tcBorders>
                    <w:top w:val="single" w:color="auto" w:sz="4" w:space="0"/>
                    <w:left w:val="nil"/>
                    <w:bottom w:val="single" w:color="auto" w:sz="4" w:space="0"/>
                  </w:tcBorders>
                  <w:noWrap w:val="0"/>
                  <w:vAlign w:val="center"/>
                </w:tcPr>
                <w:p w14:paraId="2BDED020">
                  <w:pPr>
                    <w:pStyle w:val="38"/>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default"/>
                      <w:szCs w:val="22"/>
                      <w:highlight w:val="none"/>
                      <w:lang w:val="en-US" w:eastAsia="zh-CN"/>
                    </w:rPr>
                    <w:t>1</w:t>
                  </w:r>
                </w:p>
              </w:tc>
              <w:tc>
                <w:tcPr>
                  <w:tcW w:w="421" w:type="pct"/>
                  <w:tcBorders>
                    <w:top w:val="single" w:color="auto" w:sz="4" w:space="0"/>
                    <w:bottom w:val="single" w:color="auto" w:sz="4" w:space="0"/>
                  </w:tcBorders>
                  <w:noWrap w:val="0"/>
                  <w:vAlign w:val="center"/>
                </w:tcPr>
                <w:p w14:paraId="388EB301">
                  <w:pPr>
                    <w:pStyle w:val="38"/>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default"/>
                      <w:szCs w:val="22"/>
                      <w:highlight w:val="none"/>
                      <w:lang w:val="en-US" w:eastAsia="zh-CN"/>
                    </w:rPr>
                    <w:t>水性漆</w:t>
                  </w:r>
                </w:p>
              </w:tc>
              <w:tc>
                <w:tcPr>
                  <w:tcW w:w="595" w:type="pct"/>
                  <w:tcBorders>
                    <w:top w:val="single" w:color="auto" w:sz="4" w:space="0"/>
                    <w:bottom w:val="single" w:color="auto" w:sz="4" w:space="0"/>
                  </w:tcBorders>
                  <w:noWrap w:val="0"/>
                  <w:vAlign w:val="center"/>
                </w:tcPr>
                <w:p w14:paraId="2E6A0205">
                  <w:pPr>
                    <w:pStyle w:val="38"/>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eastAsia"/>
                      <w:szCs w:val="22"/>
                      <w:highlight w:val="none"/>
                      <w:lang w:val="en-US" w:eastAsia="zh-CN"/>
                    </w:rPr>
                    <w:t>水性丙烯酸涂料</w:t>
                  </w:r>
                </w:p>
              </w:tc>
              <w:tc>
                <w:tcPr>
                  <w:tcW w:w="1614" w:type="pct"/>
                  <w:tcBorders>
                    <w:top w:val="single" w:color="auto" w:sz="4" w:space="0"/>
                    <w:bottom w:val="single" w:color="auto" w:sz="4" w:space="0"/>
                    <w:right w:val="nil"/>
                  </w:tcBorders>
                  <w:noWrap w:val="0"/>
                  <w:vAlign w:val="center"/>
                </w:tcPr>
                <w:p w14:paraId="62807BAA">
                  <w:pPr>
                    <w:pStyle w:val="38"/>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default"/>
                      <w:szCs w:val="22"/>
                      <w:highlight w:val="none"/>
                      <w:lang w:val="en-US" w:eastAsia="zh-CN"/>
                    </w:rPr>
                    <w:t>主要成分为脂肪族聚氨酯丙烯酸共聚物（含量30~50%）</w:t>
                  </w:r>
                  <w:r>
                    <w:rPr>
                      <w:rFonts w:hint="eastAsia"/>
                      <w:szCs w:val="22"/>
                      <w:highlight w:val="none"/>
                      <w:lang w:val="en-US" w:eastAsia="zh-CN"/>
                    </w:rPr>
                    <w:t>、</w:t>
                  </w:r>
                  <w:r>
                    <w:rPr>
                      <w:rFonts w:hint="default"/>
                      <w:szCs w:val="22"/>
                      <w:highlight w:val="none"/>
                      <w:lang w:val="en-US" w:eastAsia="zh-CN"/>
                    </w:rPr>
                    <w:t>颜料（10~20%）</w:t>
                  </w:r>
                  <w:r>
                    <w:rPr>
                      <w:rFonts w:hint="eastAsia"/>
                      <w:szCs w:val="22"/>
                      <w:highlight w:val="none"/>
                      <w:lang w:val="en-US" w:eastAsia="zh-CN"/>
                    </w:rPr>
                    <w:t>、</w:t>
                  </w:r>
                  <w:r>
                    <w:rPr>
                      <w:rFonts w:hint="default"/>
                      <w:szCs w:val="22"/>
                      <w:highlight w:val="none"/>
                      <w:lang w:val="en-US" w:eastAsia="zh-CN"/>
                    </w:rPr>
                    <w:t>助剂（1~10%）</w:t>
                  </w:r>
                  <w:r>
                    <w:rPr>
                      <w:rFonts w:hint="eastAsia"/>
                      <w:szCs w:val="22"/>
                      <w:highlight w:val="none"/>
                      <w:lang w:val="en-US" w:eastAsia="zh-CN"/>
                    </w:rPr>
                    <w:t>、</w:t>
                  </w:r>
                  <w:r>
                    <w:rPr>
                      <w:rFonts w:hint="default"/>
                      <w:szCs w:val="22"/>
                      <w:highlight w:val="none"/>
                      <w:lang w:val="en-US" w:eastAsia="zh-CN"/>
                    </w:rPr>
                    <w:t>水（5~30%）</w:t>
                  </w:r>
                </w:p>
              </w:tc>
              <w:tc>
                <w:tcPr>
                  <w:tcW w:w="2104" w:type="pct"/>
                  <w:tcBorders>
                    <w:top w:val="single" w:color="auto" w:sz="4" w:space="0"/>
                    <w:bottom w:val="single" w:color="auto" w:sz="4" w:space="0"/>
                    <w:right w:val="nil"/>
                  </w:tcBorders>
                  <w:noWrap w:val="0"/>
                  <w:vAlign w:val="center"/>
                </w:tcPr>
                <w:p w14:paraId="799776FA">
                  <w:pPr>
                    <w:pStyle w:val="38"/>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default"/>
                      <w:szCs w:val="22"/>
                      <w:highlight w:val="none"/>
                      <w:lang w:val="en-US" w:eastAsia="zh-CN"/>
                    </w:rPr>
                    <w:t>外观为黑色流动液体，基本无味；相对密度0.95~1.14（水=1）；pH值8~9；</w:t>
                  </w:r>
                  <w:r>
                    <w:rPr>
                      <w:rFonts w:hint="eastAsia"/>
                      <w:szCs w:val="22"/>
                      <w:highlight w:val="none"/>
                      <w:lang w:val="en-US" w:eastAsia="zh-CN"/>
                    </w:rPr>
                    <w:t>饱和蒸汽</w:t>
                  </w:r>
                  <w:r>
                    <w:rPr>
                      <w:rFonts w:hint="default"/>
                      <w:szCs w:val="22"/>
                      <w:highlight w:val="none"/>
                      <w:lang w:val="en-US" w:eastAsia="zh-CN"/>
                    </w:rPr>
                    <w:t>压6~7 mmHg；沸点约2100°C；熔点约-10°C；闪点无；可溶于水；不自燃；无爆炸上下限</w:t>
                  </w:r>
                  <w:r>
                    <w:rPr>
                      <w:rFonts w:hint="eastAsia"/>
                      <w:szCs w:val="22"/>
                      <w:highlight w:val="none"/>
                      <w:lang w:val="en-US" w:eastAsia="zh-CN"/>
                    </w:rPr>
                    <w:t>。</w:t>
                  </w:r>
                </w:p>
              </w:tc>
            </w:tr>
            <w:tr w14:paraId="7300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3" w:type="pct"/>
                  <w:tcBorders>
                    <w:top w:val="single" w:color="auto" w:sz="4" w:space="0"/>
                    <w:left w:val="nil"/>
                    <w:bottom w:val="single" w:color="auto" w:sz="4" w:space="0"/>
                  </w:tcBorders>
                  <w:noWrap w:val="0"/>
                  <w:vAlign w:val="center"/>
                </w:tcPr>
                <w:p w14:paraId="48E2B4BF">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2</w:t>
                  </w:r>
                </w:p>
              </w:tc>
              <w:tc>
                <w:tcPr>
                  <w:tcW w:w="421" w:type="pct"/>
                  <w:tcBorders>
                    <w:top w:val="single" w:color="auto" w:sz="4" w:space="0"/>
                    <w:bottom w:val="single" w:color="auto" w:sz="4" w:space="0"/>
                  </w:tcBorders>
                  <w:noWrap w:val="0"/>
                  <w:vAlign w:val="center"/>
                </w:tcPr>
                <w:p w14:paraId="683EE1D8">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塑胶</w:t>
                  </w:r>
                  <w:r>
                    <w:rPr>
                      <w:rFonts w:hint="eastAsia"/>
                      <w:szCs w:val="22"/>
                      <w:lang w:val="en-US" w:eastAsia="zh-CN"/>
                    </w:rPr>
                    <w:t>用</w:t>
                  </w:r>
                  <w:r>
                    <w:rPr>
                      <w:rFonts w:hint="default"/>
                      <w:szCs w:val="22"/>
                      <w:lang w:val="en-US" w:eastAsia="zh-CN"/>
                    </w:rPr>
                    <w:t>油性漆</w:t>
                  </w:r>
                </w:p>
              </w:tc>
              <w:tc>
                <w:tcPr>
                  <w:tcW w:w="595" w:type="pct"/>
                  <w:tcBorders>
                    <w:top w:val="single" w:color="auto" w:sz="4" w:space="0"/>
                    <w:bottom w:val="single" w:color="auto" w:sz="4" w:space="0"/>
                  </w:tcBorders>
                  <w:noWrap w:val="0"/>
                  <w:vAlign w:val="center"/>
                </w:tcPr>
                <w:p w14:paraId="68EB7776">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ABS塑胶漆</w:t>
                  </w:r>
                </w:p>
              </w:tc>
              <w:tc>
                <w:tcPr>
                  <w:tcW w:w="1614" w:type="pct"/>
                  <w:tcBorders>
                    <w:top w:val="single" w:color="auto" w:sz="4" w:space="0"/>
                    <w:bottom w:val="single" w:color="auto" w:sz="4" w:space="0"/>
                    <w:right w:val="nil"/>
                  </w:tcBorders>
                  <w:noWrap w:val="0"/>
                  <w:vAlign w:val="center"/>
                </w:tcPr>
                <w:p w14:paraId="4C3A7ADD">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主要组分为丙烯酸树脂（50~65%）</w:t>
                  </w:r>
                  <w:r>
                    <w:rPr>
                      <w:rFonts w:hint="eastAsia"/>
                      <w:szCs w:val="22"/>
                      <w:lang w:val="en-US" w:eastAsia="zh-CN"/>
                    </w:rPr>
                    <w:t>、</w:t>
                  </w:r>
                  <w:r>
                    <w:rPr>
                      <w:rFonts w:hint="default"/>
                      <w:szCs w:val="22"/>
                      <w:lang w:val="en-US" w:eastAsia="zh-CN"/>
                    </w:rPr>
                    <w:t>颜料（10~20%）</w:t>
                  </w:r>
                  <w:r>
                    <w:rPr>
                      <w:rFonts w:hint="eastAsia"/>
                      <w:szCs w:val="22"/>
                      <w:lang w:val="en-US" w:eastAsia="zh-CN"/>
                    </w:rPr>
                    <w:t>、</w:t>
                  </w:r>
                  <w:r>
                    <w:rPr>
                      <w:rFonts w:hint="default"/>
                      <w:szCs w:val="22"/>
                      <w:lang w:val="en-US" w:eastAsia="zh-CN"/>
                    </w:rPr>
                    <w:t>助剂（5~10%）</w:t>
                  </w:r>
                  <w:r>
                    <w:rPr>
                      <w:rFonts w:hint="eastAsia"/>
                      <w:szCs w:val="22"/>
                      <w:lang w:val="en-US" w:eastAsia="zh-CN"/>
                    </w:rPr>
                    <w:t>、</w:t>
                  </w:r>
                  <w:r>
                    <w:rPr>
                      <w:rFonts w:hint="default"/>
                      <w:szCs w:val="22"/>
                      <w:lang w:val="en-US" w:eastAsia="zh-CN"/>
                    </w:rPr>
                    <w:t>稀释剂（20~30%）</w:t>
                  </w:r>
                </w:p>
              </w:tc>
              <w:tc>
                <w:tcPr>
                  <w:tcW w:w="2104" w:type="pct"/>
                  <w:tcBorders>
                    <w:top w:val="single" w:color="auto" w:sz="4" w:space="0"/>
                    <w:bottom w:val="single" w:color="auto" w:sz="4" w:space="0"/>
                    <w:right w:val="nil"/>
                  </w:tcBorders>
                  <w:noWrap w:val="0"/>
                  <w:vAlign w:val="center"/>
                </w:tcPr>
                <w:p w14:paraId="66121850">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外观为液体；闪点15°C（闭杯）；可混溶于有机溶剂</w:t>
                  </w:r>
                  <w:r>
                    <w:rPr>
                      <w:rFonts w:hint="eastAsia"/>
                      <w:szCs w:val="22"/>
                      <w:lang w:val="en-US" w:eastAsia="zh-CN"/>
                    </w:rPr>
                    <w:t>。</w:t>
                  </w:r>
                </w:p>
              </w:tc>
            </w:tr>
            <w:tr w14:paraId="0A287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63" w:type="pct"/>
                  <w:tcBorders>
                    <w:top w:val="single" w:color="auto" w:sz="4" w:space="0"/>
                    <w:left w:val="nil"/>
                    <w:bottom w:val="single" w:color="auto" w:sz="4" w:space="0"/>
                  </w:tcBorders>
                  <w:noWrap w:val="0"/>
                  <w:vAlign w:val="center"/>
                </w:tcPr>
                <w:p w14:paraId="43F0C6AC">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3</w:t>
                  </w:r>
                </w:p>
              </w:tc>
              <w:tc>
                <w:tcPr>
                  <w:tcW w:w="421" w:type="pct"/>
                  <w:tcBorders>
                    <w:top w:val="single" w:color="auto" w:sz="4" w:space="0"/>
                    <w:bottom w:val="single" w:color="auto" w:sz="4" w:space="0"/>
                  </w:tcBorders>
                  <w:noWrap w:val="0"/>
                  <w:vAlign w:val="center"/>
                </w:tcPr>
                <w:p w14:paraId="3A73D223">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金属用</w:t>
                  </w:r>
                  <w:r>
                    <w:rPr>
                      <w:rFonts w:hint="default"/>
                      <w:szCs w:val="22"/>
                      <w:lang w:val="en-US" w:eastAsia="zh-CN"/>
                    </w:rPr>
                    <w:t>油性漆</w:t>
                  </w:r>
                </w:p>
              </w:tc>
              <w:tc>
                <w:tcPr>
                  <w:tcW w:w="595" w:type="pct"/>
                  <w:tcBorders>
                    <w:top w:val="single" w:color="auto" w:sz="4" w:space="0"/>
                    <w:bottom w:val="single" w:color="auto" w:sz="4" w:space="0"/>
                  </w:tcBorders>
                  <w:noWrap w:val="0"/>
                  <w:vAlign w:val="center"/>
                </w:tcPr>
                <w:p w14:paraId="3A6AEC9A">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PE金属烤漆涂料</w:t>
                  </w:r>
                </w:p>
              </w:tc>
              <w:tc>
                <w:tcPr>
                  <w:tcW w:w="1614" w:type="pct"/>
                  <w:tcBorders>
                    <w:top w:val="single" w:color="auto" w:sz="4" w:space="0"/>
                    <w:bottom w:val="single" w:color="auto" w:sz="4" w:space="0"/>
                    <w:right w:val="nil"/>
                  </w:tcBorders>
                  <w:noWrap w:val="0"/>
                  <w:vAlign w:val="center"/>
                </w:tcPr>
                <w:p w14:paraId="28962D62">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主要组分为饱和聚酯树脂（40~55%）</w:t>
                  </w:r>
                  <w:r>
                    <w:rPr>
                      <w:rFonts w:hint="eastAsia"/>
                      <w:szCs w:val="22"/>
                      <w:lang w:val="en-US" w:eastAsia="zh-CN"/>
                    </w:rPr>
                    <w:t>、</w:t>
                  </w:r>
                  <w:r>
                    <w:rPr>
                      <w:rFonts w:hint="default"/>
                      <w:szCs w:val="22"/>
                      <w:lang w:val="en-US" w:eastAsia="zh-CN"/>
                    </w:rPr>
                    <w:t>颜料（10~20%）</w:t>
                  </w:r>
                  <w:r>
                    <w:rPr>
                      <w:rFonts w:hint="eastAsia"/>
                      <w:szCs w:val="22"/>
                      <w:lang w:val="en-US" w:eastAsia="zh-CN"/>
                    </w:rPr>
                    <w:t>、</w:t>
                  </w:r>
                  <w:r>
                    <w:rPr>
                      <w:rFonts w:hint="default"/>
                      <w:szCs w:val="22"/>
                      <w:lang w:val="en-US" w:eastAsia="zh-CN"/>
                    </w:rPr>
                    <w:t>添加剂（1~3%）</w:t>
                  </w:r>
                  <w:r>
                    <w:rPr>
                      <w:rFonts w:hint="eastAsia"/>
                      <w:szCs w:val="22"/>
                      <w:lang w:val="en-US" w:eastAsia="zh-CN"/>
                    </w:rPr>
                    <w:t>、</w:t>
                  </w:r>
                  <w:r>
                    <w:rPr>
                      <w:rFonts w:hint="default"/>
                      <w:szCs w:val="22"/>
                      <w:lang w:val="en-US" w:eastAsia="zh-CN"/>
                    </w:rPr>
                    <w:t>开油水（20~40%）</w:t>
                  </w:r>
                  <w:r>
                    <w:rPr>
                      <w:rFonts w:hint="eastAsia"/>
                      <w:szCs w:val="22"/>
                      <w:lang w:val="en-US" w:eastAsia="zh-CN"/>
                    </w:rPr>
                    <w:t>、</w:t>
                  </w:r>
                  <w:r>
                    <w:rPr>
                      <w:rFonts w:hint="default"/>
                      <w:szCs w:val="22"/>
                      <w:lang w:val="en-US" w:eastAsia="zh-CN"/>
                    </w:rPr>
                    <w:t>填充料（10~20%）</w:t>
                  </w:r>
                </w:p>
              </w:tc>
              <w:tc>
                <w:tcPr>
                  <w:tcW w:w="2104" w:type="pct"/>
                  <w:tcBorders>
                    <w:top w:val="single" w:color="auto" w:sz="4" w:space="0"/>
                    <w:bottom w:val="single" w:color="auto" w:sz="4" w:space="0"/>
                    <w:right w:val="nil"/>
                  </w:tcBorders>
                  <w:noWrap w:val="0"/>
                  <w:vAlign w:val="center"/>
                </w:tcPr>
                <w:p w14:paraId="2139176B">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外观为透明液体；闪点15°C（闭杯）；可混溶于有机溶剂</w:t>
                  </w:r>
                  <w:r>
                    <w:rPr>
                      <w:rFonts w:hint="eastAsia"/>
                      <w:szCs w:val="22"/>
                      <w:lang w:val="en-US" w:eastAsia="zh-CN"/>
                    </w:rPr>
                    <w:t>。</w:t>
                  </w:r>
                </w:p>
              </w:tc>
            </w:tr>
            <w:tr w14:paraId="10308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263" w:type="pct"/>
                  <w:tcBorders>
                    <w:top w:val="single" w:color="auto" w:sz="4" w:space="0"/>
                    <w:left w:val="nil"/>
                    <w:bottom w:val="single" w:color="auto" w:sz="4" w:space="0"/>
                  </w:tcBorders>
                  <w:noWrap w:val="0"/>
                  <w:vAlign w:val="center"/>
                </w:tcPr>
                <w:p w14:paraId="0B53F3C5">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4</w:t>
                  </w:r>
                </w:p>
              </w:tc>
              <w:tc>
                <w:tcPr>
                  <w:tcW w:w="421" w:type="pct"/>
                  <w:tcBorders>
                    <w:top w:val="single" w:color="auto" w:sz="4" w:space="0"/>
                    <w:bottom w:val="single" w:color="auto" w:sz="4" w:space="0"/>
                  </w:tcBorders>
                  <w:noWrap w:val="0"/>
                  <w:vAlign w:val="center"/>
                </w:tcPr>
                <w:p w14:paraId="219E441A">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稀释剂</w:t>
                  </w:r>
                </w:p>
              </w:tc>
              <w:tc>
                <w:tcPr>
                  <w:tcW w:w="595" w:type="pct"/>
                  <w:tcBorders>
                    <w:top w:val="single" w:color="auto" w:sz="4" w:space="0"/>
                    <w:bottom w:val="single" w:color="auto" w:sz="4" w:space="0"/>
                  </w:tcBorders>
                  <w:noWrap w:val="0"/>
                  <w:vAlign w:val="center"/>
                </w:tcPr>
                <w:p w14:paraId="01C3C873">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开油水</w:t>
                  </w:r>
                </w:p>
              </w:tc>
              <w:tc>
                <w:tcPr>
                  <w:tcW w:w="1614" w:type="pct"/>
                  <w:tcBorders>
                    <w:top w:val="single" w:color="auto" w:sz="4" w:space="0"/>
                    <w:bottom w:val="single" w:color="auto" w:sz="4" w:space="0"/>
                    <w:right w:val="nil"/>
                  </w:tcBorders>
                  <w:noWrap w:val="0"/>
                  <w:vAlign w:val="center"/>
                </w:tcPr>
                <w:p w14:paraId="3B9CA2A9">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主要成分为乙二醇丁醚（20~30%）</w:t>
                  </w:r>
                  <w:r>
                    <w:rPr>
                      <w:rFonts w:hint="eastAsia"/>
                      <w:szCs w:val="22"/>
                      <w:lang w:val="en-US" w:eastAsia="zh-CN"/>
                    </w:rPr>
                    <w:t>、</w:t>
                  </w:r>
                  <w:r>
                    <w:rPr>
                      <w:rFonts w:hint="default"/>
                      <w:szCs w:val="22"/>
                      <w:lang w:val="en-US" w:eastAsia="zh-CN"/>
                    </w:rPr>
                    <w:t>醋酸丁酯（20~30%）</w:t>
                  </w:r>
                  <w:r>
                    <w:rPr>
                      <w:rFonts w:hint="eastAsia"/>
                      <w:szCs w:val="22"/>
                      <w:lang w:val="en-US" w:eastAsia="zh-CN"/>
                    </w:rPr>
                    <w:t>、</w:t>
                  </w:r>
                  <w:r>
                    <w:rPr>
                      <w:rFonts w:hint="default"/>
                      <w:szCs w:val="22"/>
                      <w:lang w:val="en-US" w:eastAsia="zh-CN"/>
                    </w:rPr>
                    <w:t>异丁醇（40~50%</w:t>
                  </w:r>
                  <w:r>
                    <w:rPr>
                      <w:rFonts w:hint="eastAsia"/>
                      <w:szCs w:val="22"/>
                      <w:lang w:val="en-US" w:eastAsia="zh-CN"/>
                    </w:rPr>
                    <w:t>）、</w:t>
                  </w:r>
                  <w:r>
                    <w:rPr>
                      <w:rFonts w:hint="default"/>
                      <w:szCs w:val="22"/>
                      <w:lang w:val="en-US" w:eastAsia="zh-CN"/>
                    </w:rPr>
                    <w:t>甲基异丁酮（10~20%）</w:t>
                  </w:r>
                </w:p>
              </w:tc>
              <w:tc>
                <w:tcPr>
                  <w:tcW w:w="2104" w:type="pct"/>
                  <w:tcBorders>
                    <w:top w:val="single" w:color="auto" w:sz="4" w:space="0"/>
                    <w:bottom w:val="single" w:color="auto" w:sz="4" w:space="0"/>
                    <w:right w:val="nil"/>
                  </w:tcBorders>
                  <w:noWrap w:val="0"/>
                  <w:vAlign w:val="center"/>
                </w:tcPr>
                <w:p w14:paraId="63C424C9">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外观为搅拌后呈灰褐色均匀液体（甲组分）与淡黄色或棕色液体（乙组分）；有特殊芬芳味或刺激性气味；沸点139°C；闪点甲组分25°C、乙组分30°C（闭杯）；相对密度1.9；爆炸上限7.0%、下限1.1%；可混溶于有机溶剂。</w:t>
                  </w:r>
                </w:p>
              </w:tc>
            </w:tr>
            <w:tr w14:paraId="1B068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5000" w:type="pct"/>
                  <w:gridSpan w:val="5"/>
                  <w:tcBorders>
                    <w:top w:val="single" w:color="auto" w:sz="4" w:space="0"/>
                    <w:left w:val="nil"/>
                    <w:bottom w:val="single" w:color="auto" w:sz="4" w:space="0"/>
                    <w:right w:val="nil"/>
                  </w:tcBorders>
                  <w:noWrap w:val="0"/>
                  <w:vAlign w:val="center"/>
                </w:tcPr>
                <w:p w14:paraId="537F5A5B">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注：ABS塑胶漆仅为产品名称，与产品成分性质无关</w:t>
                  </w:r>
                </w:p>
              </w:tc>
            </w:tr>
          </w:tbl>
          <w:p w14:paraId="5AB1113B">
            <w:pPr>
              <w:keepNext w:val="0"/>
              <w:keepLines w:val="0"/>
              <w:suppressLineNumbers w:val="0"/>
              <w:bidi w:val="0"/>
              <w:spacing w:before="0" w:beforeAutospacing="0" w:after="0" w:afterAutospacing="0"/>
              <w:ind w:left="0" w:right="0"/>
              <w:rPr>
                <w:rFonts w:hint="default"/>
                <w:highlight w:val="none"/>
                <w:lang w:val="en-US" w:eastAsia="zh-CN"/>
              </w:rPr>
            </w:pPr>
            <w:r>
              <w:rPr>
                <w:rFonts w:hint="default"/>
                <w:lang w:val="en-US" w:eastAsia="zh-CN"/>
              </w:rPr>
              <w:t>（2）</w:t>
            </w:r>
            <w:r>
              <w:rPr>
                <w:rFonts w:hint="eastAsia"/>
                <w:lang w:val="en-US" w:eastAsia="zh-CN"/>
              </w:rPr>
              <w:t>VOCs含量要</w:t>
            </w:r>
            <w:r>
              <w:rPr>
                <w:rFonts w:hint="eastAsia"/>
                <w:highlight w:val="none"/>
                <w:lang w:val="en-US" w:eastAsia="zh-CN"/>
              </w:rPr>
              <w:t>求</w:t>
            </w:r>
          </w:p>
          <w:p w14:paraId="50E0EBC0">
            <w:pPr>
              <w:pStyle w:val="39"/>
              <w:keepNext w:val="0"/>
              <w:keepLines w:val="0"/>
              <w:suppressLineNumbers w:val="0"/>
              <w:bidi w:val="0"/>
              <w:spacing w:before="0" w:beforeAutospacing="0" w:after="0" w:afterAutospacing="0"/>
              <w:ind w:left="0" w:right="0"/>
              <w:rPr>
                <w:rFonts w:hint="default"/>
                <w:highlight w:val="none"/>
                <w:lang w:val="en-US" w:eastAsia="zh-CN"/>
              </w:rPr>
            </w:pPr>
            <w:r>
              <w:rPr>
                <w:rFonts w:hint="default"/>
                <w:highlight w:val="none"/>
                <w:lang w:eastAsia="zh-CN"/>
              </w:rPr>
              <w:t>表</w:t>
            </w:r>
            <w:r>
              <w:rPr>
                <w:rFonts w:hint="eastAsia"/>
                <w:color w:val="auto"/>
                <w:highlight w:val="none"/>
                <w:lang w:val="en-US" w:eastAsia="zh-CN"/>
              </w:rPr>
              <w:t>2.3-5</w:t>
            </w:r>
            <w:r>
              <w:rPr>
                <w:rFonts w:hint="default"/>
                <w:highlight w:val="none"/>
              </w:rPr>
              <w:t>低挥发性有机化合物含量</w:t>
            </w:r>
            <w:r>
              <w:rPr>
                <w:rFonts w:hint="eastAsia"/>
                <w:highlight w:val="none"/>
                <w:lang w:val="en-US" w:eastAsia="zh-CN"/>
              </w:rPr>
              <w:t>原辅料VOCs</w:t>
            </w:r>
            <w:r>
              <w:rPr>
                <w:rFonts w:hint="default"/>
                <w:highlight w:val="none"/>
                <w:lang w:val="en-US" w:eastAsia="zh-CN"/>
              </w:rPr>
              <w:t>含量要求</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128"/>
              <w:gridCol w:w="1540"/>
              <w:gridCol w:w="2132"/>
              <w:gridCol w:w="1541"/>
              <w:gridCol w:w="601"/>
            </w:tblGrid>
            <w:tr w14:paraId="4C6267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6" w:hRule="atLeast"/>
              </w:trPr>
              <w:tc>
                <w:tcPr>
                  <w:tcW w:w="1339" w:type="pct"/>
                  <w:noWrap w:val="0"/>
                  <w:vAlign w:val="center"/>
                </w:tcPr>
                <w:p w14:paraId="07D3B254">
                  <w:pPr>
                    <w:pStyle w:val="38"/>
                    <w:keepNext w:val="0"/>
                    <w:keepLines w:val="0"/>
                    <w:widowControl/>
                    <w:suppressLineNumbers w:val="0"/>
                    <w:bidi w:val="0"/>
                    <w:spacing w:before="0" w:beforeAutospacing="0" w:after="0" w:afterAutospacing="0"/>
                    <w:ind w:left="0" w:right="0"/>
                    <w:rPr>
                      <w:rFonts w:hint="default"/>
                      <w:szCs w:val="22"/>
                      <w:highlight w:val="none"/>
                      <w:lang w:eastAsia="zh-CN"/>
                    </w:rPr>
                  </w:pPr>
                  <w:r>
                    <w:rPr>
                      <w:rFonts w:hint="default"/>
                      <w:szCs w:val="22"/>
                      <w:highlight w:val="none"/>
                      <w:lang w:eastAsia="zh-CN"/>
                    </w:rPr>
                    <w:t>项目</w:t>
                  </w:r>
                  <w:r>
                    <w:rPr>
                      <w:rFonts w:hint="eastAsia"/>
                      <w:szCs w:val="22"/>
                      <w:highlight w:val="none"/>
                      <w:lang w:val="en-US" w:eastAsia="zh-CN"/>
                    </w:rPr>
                    <w:t>原辅料</w:t>
                  </w:r>
                  <w:r>
                    <w:rPr>
                      <w:rFonts w:hint="default"/>
                      <w:szCs w:val="22"/>
                      <w:highlight w:val="none"/>
                      <w:lang w:eastAsia="zh-CN"/>
                    </w:rPr>
                    <w:t>类型</w:t>
                  </w:r>
                </w:p>
              </w:tc>
              <w:tc>
                <w:tcPr>
                  <w:tcW w:w="969" w:type="pct"/>
                  <w:noWrap w:val="0"/>
                  <w:vAlign w:val="center"/>
                </w:tcPr>
                <w:p w14:paraId="0289C58C">
                  <w:pPr>
                    <w:pStyle w:val="38"/>
                    <w:keepNext w:val="0"/>
                    <w:keepLines w:val="0"/>
                    <w:widowControl/>
                    <w:suppressLineNumbers w:val="0"/>
                    <w:bidi w:val="0"/>
                    <w:spacing w:before="0" w:beforeAutospacing="0" w:after="0" w:afterAutospacing="0"/>
                    <w:ind w:left="0" w:right="0"/>
                    <w:rPr>
                      <w:rFonts w:hint="default"/>
                      <w:szCs w:val="22"/>
                      <w:highlight w:val="none"/>
                      <w:lang w:eastAsia="zh-CN"/>
                    </w:rPr>
                  </w:pPr>
                  <w:r>
                    <w:rPr>
                      <w:rFonts w:hint="eastAsia"/>
                      <w:szCs w:val="22"/>
                      <w:highlight w:val="none"/>
                      <w:lang w:eastAsia="zh-CN"/>
                    </w:rPr>
                    <w:t>VOCs</w:t>
                  </w:r>
                  <w:r>
                    <w:rPr>
                      <w:rFonts w:hint="default"/>
                      <w:szCs w:val="22"/>
                      <w:highlight w:val="none"/>
                      <w:lang w:eastAsia="zh-CN"/>
                    </w:rPr>
                    <w:t>限值（</w:t>
                  </w:r>
                  <w:r>
                    <w:rPr>
                      <w:rFonts w:hint="default"/>
                      <w:szCs w:val="22"/>
                      <w:highlight w:val="none"/>
                    </w:rPr>
                    <w:t>g/L</w:t>
                  </w:r>
                  <w:r>
                    <w:rPr>
                      <w:rFonts w:hint="default"/>
                      <w:szCs w:val="22"/>
                      <w:highlight w:val="none"/>
                      <w:lang w:eastAsia="zh-CN"/>
                    </w:rPr>
                    <w:t>）</w:t>
                  </w:r>
                </w:p>
              </w:tc>
              <w:tc>
                <w:tcPr>
                  <w:tcW w:w="1342" w:type="pct"/>
                  <w:noWrap w:val="0"/>
                  <w:vAlign w:val="center"/>
                </w:tcPr>
                <w:p w14:paraId="4665D72C">
                  <w:pPr>
                    <w:pStyle w:val="38"/>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eastAsia"/>
                      <w:szCs w:val="22"/>
                      <w:highlight w:val="none"/>
                      <w:lang w:val="en-US" w:eastAsia="zh-CN"/>
                    </w:rPr>
                    <w:t>执行标准</w:t>
                  </w:r>
                </w:p>
              </w:tc>
              <w:tc>
                <w:tcPr>
                  <w:tcW w:w="970" w:type="pct"/>
                  <w:noWrap w:val="0"/>
                  <w:vAlign w:val="center"/>
                </w:tcPr>
                <w:p w14:paraId="68C2B007">
                  <w:pPr>
                    <w:pStyle w:val="38"/>
                    <w:keepNext w:val="0"/>
                    <w:keepLines w:val="0"/>
                    <w:widowControl/>
                    <w:suppressLineNumbers w:val="0"/>
                    <w:bidi w:val="0"/>
                    <w:spacing w:before="0" w:beforeAutospacing="0" w:after="0" w:afterAutospacing="0"/>
                    <w:ind w:left="0" w:right="0"/>
                    <w:rPr>
                      <w:rFonts w:hint="default"/>
                      <w:szCs w:val="22"/>
                      <w:highlight w:val="none"/>
                      <w:lang w:eastAsia="zh-CN"/>
                    </w:rPr>
                  </w:pPr>
                  <w:r>
                    <w:rPr>
                      <w:rFonts w:hint="default"/>
                      <w:szCs w:val="22"/>
                      <w:highlight w:val="none"/>
                      <w:lang w:eastAsia="zh-CN"/>
                    </w:rPr>
                    <w:t>产品</w:t>
                  </w:r>
                  <w:r>
                    <w:rPr>
                      <w:rFonts w:hint="eastAsia"/>
                      <w:szCs w:val="22"/>
                      <w:highlight w:val="none"/>
                      <w:lang w:eastAsia="zh-CN"/>
                    </w:rPr>
                    <w:t>VOCs</w:t>
                  </w:r>
                  <w:r>
                    <w:rPr>
                      <w:rFonts w:hint="default"/>
                      <w:szCs w:val="22"/>
                      <w:highlight w:val="none"/>
                      <w:lang w:eastAsia="zh-CN"/>
                    </w:rPr>
                    <w:t>含量（</w:t>
                  </w:r>
                  <w:r>
                    <w:rPr>
                      <w:rFonts w:hint="default"/>
                      <w:szCs w:val="22"/>
                      <w:highlight w:val="none"/>
                    </w:rPr>
                    <w:t>g/L</w:t>
                  </w:r>
                  <w:r>
                    <w:rPr>
                      <w:rFonts w:hint="default"/>
                      <w:szCs w:val="22"/>
                      <w:highlight w:val="none"/>
                      <w:lang w:eastAsia="zh-CN"/>
                    </w:rPr>
                    <w:t>）</w:t>
                  </w:r>
                </w:p>
              </w:tc>
              <w:tc>
                <w:tcPr>
                  <w:tcW w:w="378" w:type="pct"/>
                  <w:noWrap w:val="0"/>
                  <w:vAlign w:val="center"/>
                </w:tcPr>
                <w:p w14:paraId="09FA45FE">
                  <w:pPr>
                    <w:pStyle w:val="38"/>
                    <w:keepNext w:val="0"/>
                    <w:keepLines w:val="0"/>
                    <w:widowControl/>
                    <w:suppressLineNumbers w:val="0"/>
                    <w:bidi w:val="0"/>
                    <w:spacing w:before="0" w:beforeAutospacing="0" w:after="0" w:afterAutospacing="0"/>
                    <w:ind w:left="0" w:right="0"/>
                    <w:rPr>
                      <w:rFonts w:hint="default"/>
                      <w:szCs w:val="22"/>
                      <w:highlight w:val="none"/>
                      <w:lang w:eastAsia="zh-CN"/>
                    </w:rPr>
                  </w:pPr>
                  <w:r>
                    <w:rPr>
                      <w:rFonts w:hint="default"/>
                      <w:szCs w:val="22"/>
                      <w:highlight w:val="none"/>
                      <w:lang w:eastAsia="zh-CN"/>
                    </w:rPr>
                    <w:t>是否符合</w:t>
                  </w:r>
                </w:p>
              </w:tc>
            </w:tr>
            <w:tr w14:paraId="6D7AEA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1339" w:type="pct"/>
                  <w:noWrap w:val="0"/>
                  <w:vAlign w:val="center"/>
                </w:tcPr>
                <w:p w14:paraId="48527BBA">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水性漆</w:t>
                  </w:r>
                </w:p>
              </w:tc>
              <w:tc>
                <w:tcPr>
                  <w:tcW w:w="969" w:type="pct"/>
                  <w:vMerge w:val="restart"/>
                  <w:noWrap w:val="0"/>
                  <w:vAlign w:val="center"/>
                </w:tcPr>
                <w:p w14:paraId="5C946FBD">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420</w:t>
                  </w:r>
                </w:p>
              </w:tc>
              <w:tc>
                <w:tcPr>
                  <w:tcW w:w="1342" w:type="pct"/>
                  <w:vMerge w:val="restart"/>
                  <w:noWrap w:val="0"/>
                  <w:vAlign w:val="center"/>
                </w:tcPr>
                <w:p w14:paraId="4BB71927">
                  <w:pPr>
                    <w:pStyle w:val="38"/>
                    <w:keepNext w:val="0"/>
                    <w:keepLines w:val="0"/>
                    <w:widowControl/>
                    <w:suppressLineNumbers w:val="0"/>
                    <w:bidi w:val="0"/>
                    <w:spacing w:before="0" w:beforeAutospacing="0" w:after="0" w:afterAutospacing="0"/>
                    <w:ind w:left="0" w:leftChars="0" w:right="0" w:rightChars="0"/>
                    <w:rPr>
                      <w:rFonts w:hint="default"/>
                      <w:szCs w:val="22"/>
                      <w:lang w:val="en-US" w:eastAsia="zh-CN"/>
                    </w:rPr>
                  </w:pPr>
                  <w:r>
                    <w:rPr>
                      <w:rFonts w:hint="default"/>
                      <w:color w:val="auto"/>
                      <w:szCs w:val="22"/>
                    </w:rPr>
                    <w:t>《低挥发性有机化合物含量涂料产品技术要求》（GB/T38597-2020）</w:t>
                  </w:r>
                  <w:r>
                    <w:rPr>
                      <w:rFonts w:hint="eastAsia"/>
                      <w:color w:val="auto"/>
                      <w:szCs w:val="22"/>
                      <w:lang w:val="en-US" w:eastAsia="zh-CN"/>
                    </w:rPr>
                    <w:t>表</w:t>
                  </w:r>
                  <w:r>
                    <w:rPr>
                      <w:rFonts w:hint="default"/>
                      <w:color w:val="auto"/>
                      <w:szCs w:val="22"/>
                    </w:rPr>
                    <w:t>2中</w:t>
                  </w:r>
                  <w:r>
                    <w:rPr>
                      <w:rFonts w:hint="eastAsia"/>
                      <w:color w:val="auto"/>
                      <w:szCs w:val="22"/>
                      <w:lang w:val="en-US" w:eastAsia="zh-CN"/>
                    </w:rPr>
                    <w:t>工业防护涂料 机械设备涂料 工程机械和农业机械涂料（含零部件涂料）面漆</w:t>
                  </w:r>
                  <w:r>
                    <w:rPr>
                      <w:rFonts w:hint="default"/>
                      <w:szCs w:val="22"/>
                    </w:rPr>
                    <w:t>的要求</w:t>
                  </w:r>
                </w:p>
              </w:tc>
              <w:tc>
                <w:tcPr>
                  <w:tcW w:w="970" w:type="pct"/>
                  <w:noWrap w:val="0"/>
                  <w:vAlign w:val="center"/>
                </w:tcPr>
                <w:p w14:paraId="6FC0FC27">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未检出</w:t>
                  </w:r>
                </w:p>
              </w:tc>
              <w:tc>
                <w:tcPr>
                  <w:tcW w:w="378" w:type="pct"/>
                  <w:noWrap w:val="0"/>
                  <w:vAlign w:val="center"/>
                </w:tcPr>
                <w:p w14:paraId="37B48711">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eastAsia="zh-CN"/>
                    </w:rPr>
                    <w:t>符合</w:t>
                  </w:r>
                </w:p>
              </w:tc>
            </w:tr>
            <w:tr w14:paraId="0F985F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339" w:type="pct"/>
                  <w:noWrap w:val="0"/>
                  <w:vAlign w:val="center"/>
                </w:tcPr>
                <w:p w14:paraId="76739F6D">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塑胶用油性漆</w:t>
                  </w:r>
                </w:p>
              </w:tc>
              <w:tc>
                <w:tcPr>
                  <w:tcW w:w="969" w:type="pct"/>
                  <w:vMerge w:val="continue"/>
                  <w:noWrap w:val="0"/>
                  <w:vAlign w:val="center"/>
                </w:tcPr>
                <w:p w14:paraId="7439FF0F">
                  <w:pPr>
                    <w:pStyle w:val="38"/>
                    <w:keepNext w:val="0"/>
                    <w:keepLines w:val="0"/>
                    <w:widowControl/>
                    <w:suppressLineNumbers w:val="0"/>
                    <w:bidi w:val="0"/>
                    <w:spacing w:before="0" w:beforeAutospacing="0" w:after="0" w:afterAutospacing="0"/>
                    <w:ind w:left="0" w:right="0"/>
                    <w:rPr>
                      <w:rFonts w:hint="default"/>
                      <w:szCs w:val="22"/>
                      <w:lang w:val="en-US" w:eastAsia="zh-CN"/>
                    </w:rPr>
                  </w:pPr>
                </w:p>
              </w:tc>
              <w:tc>
                <w:tcPr>
                  <w:tcW w:w="1342" w:type="pct"/>
                  <w:vMerge w:val="continue"/>
                  <w:noWrap w:val="0"/>
                  <w:vAlign w:val="center"/>
                </w:tcPr>
                <w:p w14:paraId="5621059B">
                  <w:pPr>
                    <w:pStyle w:val="38"/>
                    <w:keepNext w:val="0"/>
                    <w:keepLines w:val="0"/>
                    <w:widowControl/>
                    <w:suppressLineNumbers w:val="0"/>
                    <w:bidi w:val="0"/>
                    <w:spacing w:before="0" w:beforeAutospacing="0" w:after="0" w:afterAutospacing="0"/>
                    <w:ind w:left="0" w:leftChars="0" w:right="0" w:rightChars="0"/>
                    <w:rPr>
                      <w:rFonts w:hint="eastAsia"/>
                      <w:szCs w:val="22"/>
                      <w:lang w:val="en-US" w:eastAsia="zh-CN"/>
                    </w:rPr>
                  </w:pPr>
                </w:p>
              </w:tc>
              <w:tc>
                <w:tcPr>
                  <w:tcW w:w="970" w:type="pct"/>
                  <w:noWrap w:val="0"/>
                  <w:vAlign w:val="center"/>
                </w:tcPr>
                <w:p w14:paraId="05ED37F3">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303</w:t>
                  </w:r>
                </w:p>
              </w:tc>
              <w:tc>
                <w:tcPr>
                  <w:tcW w:w="378" w:type="pct"/>
                  <w:noWrap w:val="0"/>
                  <w:vAlign w:val="center"/>
                </w:tcPr>
                <w:p w14:paraId="35A0AD74">
                  <w:pPr>
                    <w:pStyle w:val="38"/>
                    <w:keepNext w:val="0"/>
                    <w:keepLines w:val="0"/>
                    <w:widowControl/>
                    <w:suppressLineNumbers w:val="0"/>
                    <w:bidi w:val="0"/>
                    <w:spacing w:before="0" w:beforeAutospacing="0" w:after="0" w:afterAutospacing="0"/>
                    <w:ind w:left="0" w:right="0"/>
                    <w:rPr>
                      <w:rFonts w:hint="default"/>
                      <w:szCs w:val="22"/>
                      <w:lang w:eastAsia="zh-CN"/>
                    </w:rPr>
                  </w:pPr>
                  <w:r>
                    <w:rPr>
                      <w:rFonts w:hint="default"/>
                      <w:szCs w:val="22"/>
                      <w:lang w:eastAsia="zh-CN"/>
                    </w:rPr>
                    <w:t>符合</w:t>
                  </w:r>
                </w:p>
              </w:tc>
            </w:tr>
            <w:tr w14:paraId="6B045B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339" w:type="pct"/>
                  <w:noWrap w:val="0"/>
                  <w:vAlign w:val="center"/>
                </w:tcPr>
                <w:p w14:paraId="7DA7FF7E">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金属用油性漆</w:t>
                  </w:r>
                </w:p>
              </w:tc>
              <w:tc>
                <w:tcPr>
                  <w:tcW w:w="969" w:type="pct"/>
                  <w:vMerge w:val="continue"/>
                  <w:noWrap w:val="0"/>
                  <w:vAlign w:val="center"/>
                </w:tcPr>
                <w:p w14:paraId="78B5C37A">
                  <w:pPr>
                    <w:pStyle w:val="38"/>
                    <w:keepNext w:val="0"/>
                    <w:keepLines w:val="0"/>
                    <w:widowControl/>
                    <w:suppressLineNumbers w:val="0"/>
                    <w:bidi w:val="0"/>
                    <w:spacing w:before="0" w:beforeAutospacing="0" w:after="0" w:afterAutospacing="0"/>
                    <w:ind w:left="0" w:right="0"/>
                    <w:rPr>
                      <w:rFonts w:hint="default"/>
                      <w:szCs w:val="22"/>
                      <w:lang w:val="en-US" w:eastAsia="zh-CN"/>
                    </w:rPr>
                  </w:pPr>
                </w:p>
              </w:tc>
              <w:tc>
                <w:tcPr>
                  <w:tcW w:w="1342" w:type="pct"/>
                  <w:vMerge w:val="continue"/>
                  <w:noWrap w:val="0"/>
                  <w:vAlign w:val="center"/>
                </w:tcPr>
                <w:p w14:paraId="696A4036">
                  <w:pPr>
                    <w:pStyle w:val="38"/>
                    <w:keepNext w:val="0"/>
                    <w:keepLines w:val="0"/>
                    <w:widowControl/>
                    <w:suppressLineNumbers w:val="0"/>
                    <w:bidi w:val="0"/>
                    <w:spacing w:before="0" w:beforeAutospacing="0" w:after="0" w:afterAutospacing="0"/>
                    <w:ind w:left="0" w:leftChars="0" w:right="0" w:rightChars="0"/>
                    <w:rPr>
                      <w:rFonts w:hint="eastAsia"/>
                      <w:szCs w:val="22"/>
                      <w:lang w:val="en-US" w:eastAsia="zh-CN"/>
                    </w:rPr>
                  </w:pPr>
                </w:p>
              </w:tc>
              <w:tc>
                <w:tcPr>
                  <w:tcW w:w="970" w:type="pct"/>
                  <w:noWrap w:val="0"/>
                  <w:vAlign w:val="center"/>
                </w:tcPr>
                <w:p w14:paraId="1174BBAC">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319</w:t>
                  </w:r>
                </w:p>
              </w:tc>
              <w:tc>
                <w:tcPr>
                  <w:tcW w:w="378" w:type="pct"/>
                  <w:noWrap w:val="0"/>
                  <w:vAlign w:val="center"/>
                </w:tcPr>
                <w:p w14:paraId="547600CB">
                  <w:pPr>
                    <w:pStyle w:val="38"/>
                    <w:keepNext w:val="0"/>
                    <w:keepLines w:val="0"/>
                    <w:widowControl/>
                    <w:suppressLineNumbers w:val="0"/>
                    <w:bidi w:val="0"/>
                    <w:spacing w:before="0" w:beforeAutospacing="0" w:after="0" w:afterAutospacing="0"/>
                    <w:ind w:left="0" w:right="0"/>
                    <w:rPr>
                      <w:rFonts w:hint="default"/>
                      <w:szCs w:val="22"/>
                      <w:lang w:eastAsia="zh-CN"/>
                    </w:rPr>
                  </w:pPr>
                  <w:r>
                    <w:rPr>
                      <w:rFonts w:hint="default"/>
                      <w:szCs w:val="22"/>
                      <w:lang w:eastAsia="zh-CN"/>
                    </w:rPr>
                    <w:t>符合</w:t>
                  </w:r>
                </w:p>
              </w:tc>
            </w:tr>
          </w:tbl>
          <w:p w14:paraId="59D62B4B">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水性漆VOCs</w:t>
            </w:r>
            <w:r>
              <w:rPr>
                <w:rFonts w:hint="default"/>
                <w:lang w:val="en-US" w:eastAsia="zh-CN"/>
              </w:rPr>
              <w:t>含量</w:t>
            </w:r>
            <w:r>
              <w:rPr>
                <w:rFonts w:hint="eastAsia"/>
                <w:lang w:val="en-US" w:eastAsia="zh-CN"/>
              </w:rPr>
              <w:t>数据</w:t>
            </w:r>
            <w:r>
              <w:rPr>
                <w:rFonts w:hint="default"/>
                <w:lang w:val="en-US" w:eastAsia="zh-CN"/>
              </w:rPr>
              <w:t>引用华测检测认证集团股份有限公司的产品检验检测报告（详见</w:t>
            </w:r>
            <w:r>
              <w:rPr>
                <w:rFonts w:hint="default"/>
                <w:lang w:val="en-US" w:eastAsia="zh-CN"/>
              </w:rPr>
              <w:fldChar w:fldCharType="begin"/>
            </w:r>
            <w:r>
              <w:rPr>
                <w:rFonts w:hint="default"/>
                <w:lang w:val="en-US" w:eastAsia="zh-CN"/>
              </w:rPr>
              <w:instrText xml:space="preserve"> REF _Ref22316 \h </w:instrText>
            </w:r>
            <w:r>
              <w:rPr>
                <w:rFonts w:hint="default"/>
                <w:lang w:val="en-US" w:eastAsia="zh-CN"/>
              </w:rPr>
              <w:fldChar w:fldCharType="separate"/>
            </w:r>
            <w:r>
              <w:rPr>
                <w:rFonts w:hint="eastAsia"/>
              </w:rPr>
              <w:t>附件 9</w:t>
            </w:r>
            <w:r>
              <w:rPr>
                <w:rFonts w:hint="default"/>
                <w:lang w:val="en-US" w:eastAsia="zh-CN"/>
              </w:rPr>
              <w:fldChar w:fldCharType="end"/>
            </w:r>
            <w:r>
              <w:rPr>
                <w:rFonts w:hint="default"/>
                <w:lang w:val="en-US" w:eastAsia="zh-CN"/>
              </w:rPr>
              <w:t>），</w:t>
            </w:r>
            <w:r>
              <w:rPr>
                <w:rFonts w:hint="eastAsia"/>
                <w:lang w:eastAsia="zh-CN"/>
              </w:rPr>
              <w:t>VOCs</w:t>
            </w:r>
            <w:r>
              <w:rPr>
                <w:rFonts w:hint="default"/>
                <w:lang w:eastAsia="zh-CN"/>
              </w:rPr>
              <w:t>含量</w:t>
            </w:r>
            <w:r>
              <w:rPr>
                <w:rFonts w:hint="eastAsia"/>
                <w:lang w:val="en-US" w:eastAsia="zh-CN"/>
              </w:rPr>
              <w:t>未检出，满足</w:t>
            </w:r>
            <w:r>
              <w:rPr>
                <w:rFonts w:hint="default"/>
                <w:color w:val="auto"/>
              </w:rPr>
              <w:t>《低挥发性有机化合物含量涂料产品技术要求》（GB/T38597-2020）</w:t>
            </w:r>
            <w:r>
              <w:rPr>
                <w:rFonts w:hint="eastAsia"/>
                <w:color w:val="auto"/>
                <w:lang w:val="en-US" w:eastAsia="zh-CN"/>
              </w:rPr>
              <w:t>表</w:t>
            </w:r>
            <w:r>
              <w:rPr>
                <w:rFonts w:hint="default"/>
                <w:color w:val="auto"/>
              </w:rPr>
              <w:t>2中</w:t>
            </w:r>
            <w:r>
              <w:rPr>
                <w:rFonts w:hint="eastAsia"/>
                <w:color w:val="auto"/>
                <w:lang w:val="en-US" w:eastAsia="zh-CN"/>
              </w:rPr>
              <w:t>工业防护涂料 机械设备涂料 工程机械和农业机械涂料（含零部件涂料）面漆</w:t>
            </w:r>
            <w:r>
              <w:rPr>
                <w:rFonts w:hint="default"/>
              </w:rPr>
              <w:t>的要求</w:t>
            </w:r>
            <w:r>
              <w:rPr>
                <w:rFonts w:hint="eastAsia"/>
                <w:lang w:eastAsia="zh-CN"/>
              </w:rPr>
              <w:t>（</w:t>
            </w:r>
            <w:r>
              <w:rPr>
                <w:rFonts w:hint="eastAsia"/>
                <w:lang w:val="en-US" w:eastAsia="zh-CN"/>
              </w:rPr>
              <w:t>VOCs≤420g/L</w:t>
            </w:r>
            <w:r>
              <w:rPr>
                <w:rFonts w:hint="eastAsia"/>
                <w:lang w:eastAsia="zh-CN"/>
              </w:rPr>
              <w:t>）</w:t>
            </w:r>
            <w:r>
              <w:rPr>
                <w:rFonts w:hint="eastAsia"/>
                <w:lang w:val="en-US" w:eastAsia="zh-CN"/>
              </w:rPr>
              <w:t>。</w:t>
            </w:r>
          </w:p>
          <w:p w14:paraId="35EEDBBE">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塑胶用油性漆VOCs</w:t>
            </w:r>
            <w:r>
              <w:rPr>
                <w:rFonts w:hint="default"/>
                <w:color w:val="auto"/>
                <w:lang w:val="en-US" w:eastAsia="zh-CN"/>
              </w:rPr>
              <w:t>含量</w:t>
            </w:r>
            <w:r>
              <w:rPr>
                <w:rFonts w:hint="eastAsia"/>
                <w:color w:val="auto"/>
                <w:lang w:val="en-US" w:eastAsia="zh-CN"/>
              </w:rPr>
              <w:t>数据</w:t>
            </w:r>
            <w:r>
              <w:rPr>
                <w:rFonts w:hint="default"/>
                <w:color w:val="auto"/>
                <w:lang w:val="en-US" w:eastAsia="zh-CN"/>
              </w:rPr>
              <w:t>引用通标标准技术服务有限公司广州分公司的产品检验检测报告（详见</w:t>
            </w:r>
            <w:r>
              <w:rPr>
                <w:rFonts w:hint="default"/>
                <w:color w:val="auto"/>
                <w:lang w:val="en-US" w:eastAsia="zh-CN"/>
              </w:rPr>
              <w:fldChar w:fldCharType="begin"/>
            </w:r>
            <w:r>
              <w:rPr>
                <w:rFonts w:hint="default"/>
                <w:color w:val="auto"/>
                <w:lang w:val="en-US" w:eastAsia="zh-CN"/>
              </w:rPr>
              <w:instrText xml:space="preserve"> REF _Ref22270 \h </w:instrText>
            </w:r>
            <w:r>
              <w:rPr>
                <w:rFonts w:hint="default"/>
                <w:color w:val="auto"/>
                <w:lang w:val="en-US" w:eastAsia="zh-CN"/>
              </w:rPr>
              <w:fldChar w:fldCharType="separate"/>
            </w:r>
            <w:r>
              <w:rPr>
                <w:rFonts w:hint="eastAsia"/>
              </w:rPr>
              <w:t>附件 11</w:t>
            </w:r>
            <w:r>
              <w:rPr>
                <w:rFonts w:hint="default"/>
                <w:color w:val="auto"/>
                <w:lang w:val="en-US" w:eastAsia="zh-CN"/>
              </w:rPr>
              <w:fldChar w:fldCharType="end"/>
            </w:r>
            <w:r>
              <w:rPr>
                <w:rFonts w:hint="default"/>
                <w:color w:val="auto"/>
                <w:lang w:val="en-US" w:eastAsia="zh-CN"/>
              </w:rPr>
              <w:t>），</w:t>
            </w:r>
            <w:r>
              <w:rPr>
                <w:rFonts w:hint="eastAsia"/>
                <w:color w:val="auto"/>
                <w:lang w:val="en-US" w:eastAsia="zh-CN"/>
              </w:rPr>
              <w:t>VOCs含量为303g/L，</w:t>
            </w:r>
            <w:r>
              <w:rPr>
                <w:rFonts w:hint="default"/>
                <w:color w:val="auto"/>
              </w:rPr>
              <w:t>满足《低挥发性有机化合物含量涂料产品技术要求》（GB/T38597-2020）</w:t>
            </w:r>
            <w:r>
              <w:rPr>
                <w:rFonts w:hint="eastAsia"/>
                <w:color w:val="auto"/>
                <w:lang w:val="en-US" w:eastAsia="zh-CN"/>
              </w:rPr>
              <w:t>表</w:t>
            </w:r>
            <w:r>
              <w:rPr>
                <w:rFonts w:hint="default"/>
                <w:color w:val="auto"/>
              </w:rPr>
              <w:t>2中</w:t>
            </w:r>
            <w:r>
              <w:rPr>
                <w:rFonts w:hint="eastAsia"/>
                <w:color w:val="auto"/>
                <w:lang w:val="en-US" w:eastAsia="zh-CN"/>
              </w:rPr>
              <w:t>工业防护涂料 机械设备涂料 工程机械和农业机械涂料（含零部件涂料）面漆</w:t>
            </w:r>
            <w:r>
              <w:rPr>
                <w:rFonts w:hint="default"/>
              </w:rPr>
              <w:t>的要求</w:t>
            </w:r>
            <w:r>
              <w:rPr>
                <w:rFonts w:hint="eastAsia"/>
                <w:lang w:eastAsia="zh-CN"/>
              </w:rPr>
              <w:t>（</w:t>
            </w:r>
            <w:r>
              <w:rPr>
                <w:rFonts w:hint="eastAsia"/>
                <w:lang w:val="en-US" w:eastAsia="zh-CN"/>
              </w:rPr>
              <w:t>VOCs≤420g/L</w:t>
            </w:r>
            <w:r>
              <w:rPr>
                <w:rFonts w:hint="eastAsia"/>
                <w:lang w:eastAsia="zh-CN"/>
              </w:rPr>
              <w:t>）</w:t>
            </w:r>
            <w:r>
              <w:rPr>
                <w:rFonts w:hint="eastAsia"/>
                <w:color w:val="auto"/>
                <w:lang w:val="en-US" w:eastAsia="zh-CN"/>
              </w:rPr>
              <w:t>。</w:t>
            </w:r>
          </w:p>
          <w:p w14:paraId="3ADE720B">
            <w:pPr>
              <w:keepNext w:val="0"/>
              <w:keepLines w:val="0"/>
              <w:suppressLineNumbers w:val="0"/>
              <w:bidi w:val="0"/>
              <w:spacing w:before="0" w:beforeAutospacing="0" w:after="0" w:afterAutospacing="0"/>
              <w:ind w:left="0" w:right="0"/>
              <w:rPr>
                <w:rFonts w:hint="eastAsia"/>
                <w:color w:val="0000FF"/>
                <w:lang w:val="en-US" w:eastAsia="zh-CN"/>
              </w:rPr>
            </w:pPr>
            <w:r>
              <w:rPr>
                <w:rFonts w:hint="eastAsia"/>
                <w:color w:val="auto"/>
                <w:lang w:val="en-US" w:eastAsia="zh-CN"/>
              </w:rPr>
              <w:t>金属用油性漆VOCs</w:t>
            </w:r>
            <w:r>
              <w:rPr>
                <w:rFonts w:hint="default"/>
                <w:color w:val="auto"/>
                <w:lang w:val="en-US" w:eastAsia="zh-CN"/>
              </w:rPr>
              <w:t>含量</w:t>
            </w:r>
            <w:r>
              <w:rPr>
                <w:rFonts w:hint="eastAsia"/>
                <w:color w:val="auto"/>
                <w:lang w:val="en-US" w:eastAsia="zh-CN"/>
              </w:rPr>
              <w:t>数据</w:t>
            </w:r>
            <w:r>
              <w:rPr>
                <w:rFonts w:hint="default"/>
                <w:color w:val="auto"/>
                <w:lang w:val="en-US" w:eastAsia="zh-CN"/>
              </w:rPr>
              <w:t>引用</w:t>
            </w:r>
            <w:r>
              <w:rPr>
                <w:rFonts w:hint="eastAsia"/>
                <w:color w:val="auto"/>
                <w:lang w:val="en-US" w:eastAsia="zh-CN"/>
              </w:rPr>
              <w:t>化学工业合成材料老化质量监督检验中心</w:t>
            </w:r>
            <w:r>
              <w:rPr>
                <w:rFonts w:hint="default"/>
                <w:color w:val="auto"/>
                <w:lang w:val="en-US" w:eastAsia="zh-CN"/>
              </w:rPr>
              <w:t>的产品检验检测报告（详见</w:t>
            </w:r>
            <w:r>
              <w:rPr>
                <w:rFonts w:hint="default"/>
                <w:color w:val="auto"/>
                <w:lang w:val="en-US" w:eastAsia="zh-CN"/>
              </w:rPr>
              <w:fldChar w:fldCharType="begin"/>
            </w:r>
            <w:r>
              <w:rPr>
                <w:rFonts w:hint="default"/>
                <w:color w:val="auto"/>
                <w:lang w:val="en-US" w:eastAsia="zh-CN"/>
              </w:rPr>
              <w:instrText xml:space="preserve"> REF _Ref22296 \h </w:instrText>
            </w:r>
            <w:r>
              <w:rPr>
                <w:rFonts w:hint="default"/>
                <w:color w:val="auto"/>
                <w:lang w:val="en-US" w:eastAsia="zh-CN"/>
              </w:rPr>
              <w:fldChar w:fldCharType="separate"/>
            </w:r>
            <w:r>
              <w:rPr>
                <w:rFonts w:hint="eastAsia"/>
              </w:rPr>
              <w:t>附件 13</w:t>
            </w:r>
            <w:r>
              <w:rPr>
                <w:rFonts w:hint="default"/>
                <w:color w:val="auto"/>
                <w:lang w:val="en-US" w:eastAsia="zh-CN"/>
              </w:rPr>
              <w:fldChar w:fldCharType="end"/>
            </w:r>
            <w:r>
              <w:rPr>
                <w:rFonts w:hint="default"/>
                <w:color w:val="auto"/>
                <w:lang w:val="en-US" w:eastAsia="zh-CN"/>
              </w:rPr>
              <w:t>），</w:t>
            </w:r>
            <w:r>
              <w:rPr>
                <w:rFonts w:hint="eastAsia"/>
                <w:color w:val="auto"/>
                <w:lang w:val="en-US" w:eastAsia="zh-CN"/>
              </w:rPr>
              <w:t>VOCs含量为319g/L，</w:t>
            </w:r>
            <w:r>
              <w:rPr>
                <w:rFonts w:hint="default"/>
                <w:color w:val="auto"/>
              </w:rPr>
              <w:t>满足《低挥发性有机化合物含量涂料产品技术要求》（GB/T38597-2020）</w:t>
            </w:r>
            <w:r>
              <w:rPr>
                <w:rFonts w:hint="eastAsia"/>
                <w:color w:val="auto"/>
                <w:lang w:val="en-US" w:eastAsia="zh-CN"/>
              </w:rPr>
              <w:t>表</w:t>
            </w:r>
            <w:r>
              <w:rPr>
                <w:rFonts w:hint="default"/>
                <w:color w:val="auto"/>
              </w:rPr>
              <w:t>2中</w:t>
            </w:r>
            <w:r>
              <w:rPr>
                <w:rFonts w:hint="eastAsia"/>
                <w:color w:val="auto"/>
                <w:lang w:val="en-US" w:eastAsia="zh-CN"/>
              </w:rPr>
              <w:t>工业防护涂料 机械设备涂料 工程机械和农业机械涂料（含零部件涂料）面漆</w:t>
            </w:r>
            <w:r>
              <w:rPr>
                <w:rFonts w:hint="default"/>
              </w:rPr>
              <w:t>的要求</w:t>
            </w:r>
            <w:r>
              <w:rPr>
                <w:rFonts w:hint="eastAsia"/>
                <w:lang w:eastAsia="zh-CN"/>
              </w:rPr>
              <w:t>（</w:t>
            </w:r>
            <w:r>
              <w:rPr>
                <w:rFonts w:hint="eastAsia"/>
                <w:lang w:val="en-US" w:eastAsia="zh-CN"/>
              </w:rPr>
              <w:t>VOCs≤420g/L</w:t>
            </w:r>
            <w:r>
              <w:rPr>
                <w:rFonts w:hint="eastAsia"/>
                <w:lang w:eastAsia="zh-CN"/>
              </w:rPr>
              <w:t>）</w:t>
            </w:r>
            <w:r>
              <w:rPr>
                <w:rFonts w:hint="eastAsia"/>
                <w:lang w:val="en-US" w:eastAsia="zh-CN"/>
              </w:rPr>
              <w:t>。</w:t>
            </w:r>
          </w:p>
          <w:p w14:paraId="4A6FD38A">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综上可知，本项目使用的水性漆和油性漆，VOCs 含量均符合相关标准规定的限值要求且显著低于限值，属于低VOCs物料。</w:t>
            </w:r>
          </w:p>
          <w:p w14:paraId="0075AF6D">
            <w:pPr>
              <w:keepNext/>
              <w:keepLines/>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outlineLvl w:val="9"/>
              <w:rPr>
                <w:rFonts w:hint="eastAsia"/>
                <w:b w:val="0"/>
                <w:bCs/>
                <w:color w:val="auto"/>
                <w:lang w:val="en-US" w:eastAsia="zh-CN"/>
              </w:rPr>
            </w:pPr>
            <w:r>
              <w:rPr>
                <w:rFonts w:hint="eastAsia" w:ascii="Times New Roman" w:hAnsi="Times New Roman" w:eastAsia="宋体" w:cs="Times New Roman"/>
                <w:b w:val="0"/>
                <w:bCs/>
                <w:color w:val="auto"/>
                <w:kern w:val="2"/>
                <w:sz w:val="24"/>
                <w:szCs w:val="24"/>
                <w:lang w:val="en-US" w:eastAsia="zh-CN" w:bidi="ar-SA"/>
              </w:rPr>
              <w:t>（3）</w:t>
            </w:r>
            <w:r>
              <w:rPr>
                <w:rFonts w:hint="eastAsia"/>
                <w:b w:val="0"/>
                <w:bCs/>
                <w:color w:val="auto"/>
                <w:lang w:val="en-US" w:eastAsia="zh-CN"/>
              </w:rPr>
              <w:t>油性漆替代说明</w:t>
            </w:r>
          </w:p>
          <w:p w14:paraId="68A97B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color w:val="auto"/>
                <w:lang w:val="en-US" w:eastAsia="zh-CN"/>
              </w:rPr>
            </w:pPr>
            <w:r>
              <w:rPr>
                <w:rFonts w:hint="eastAsia"/>
                <w:color w:val="auto"/>
                <w:lang w:val="en-US" w:eastAsia="zh-CN"/>
              </w:rPr>
              <w:t>户外标识主要用于户外，需长期暴露于紫外线、雨水、温差等环境中，对产品的稳定性、防水性、防护性等要求较高，油性漆具有较好的耐水性和耐候性，适合户外使用。建设单位承诺日后若有适用的低VOCs涂料，会将涂料及时更换为低VOCs涂料，减少大气污染物的排放。</w:t>
            </w:r>
          </w:p>
          <w:p w14:paraId="610B9DF2">
            <w:pPr>
              <w:pStyle w:val="4"/>
              <w:suppressLineNumbers w:val="0"/>
              <w:bidi w:val="0"/>
              <w:spacing w:before="0" w:beforeAutospacing="0" w:after="0" w:afterAutospacing="0"/>
              <w:ind w:left="0" w:right="0"/>
              <w:rPr>
                <w:rFonts w:hint="default"/>
              </w:rPr>
            </w:pPr>
            <w:r>
              <w:rPr>
                <w:rFonts w:hint="default"/>
              </w:rPr>
              <w:t>主要生产设备</w:t>
            </w:r>
          </w:p>
          <w:p w14:paraId="3999EC48">
            <w:pPr>
              <w:keepNext w:val="0"/>
              <w:keepLines w:val="0"/>
              <w:suppressLineNumbers w:val="0"/>
              <w:spacing w:before="0" w:beforeAutospacing="0" w:after="0" w:afterAutospacing="0"/>
              <w:ind w:left="0" w:right="0" w:firstLine="480"/>
              <w:rPr>
                <w:rFonts w:hint="eastAsia"/>
                <w:color w:val="auto"/>
              </w:rPr>
            </w:pPr>
            <w:r>
              <w:rPr>
                <w:rFonts w:hint="eastAsia"/>
                <w:color w:val="auto"/>
              </w:rPr>
              <w:t>本项目主要生产设备见表</w:t>
            </w:r>
            <w:r>
              <w:rPr>
                <w:rFonts w:hint="eastAsia"/>
                <w:color w:val="auto"/>
                <w:highlight w:val="none"/>
                <w:lang w:val="en-US" w:eastAsia="zh-CN"/>
              </w:rPr>
              <w:t>2.3-6</w:t>
            </w:r>
            <w:r>
              <w:rPr>
                <w:rFonts w:hint="eastAsia"/>
                <w:color w:val="auto"/>
              </w:rPr>
              <w:t>。</w:t>
            </w:r>
          </w:p>
          <w:p w14:paraId="2046C8C0">
            <w:pPr>
              <w:pStyle w:val="39"/>
              <w:keepNext w:val="0"/>
              <w:keepLines w:val="0"/>
              <w:suppressLineNumbers w:val="0"/>
              <w:bidi w:val="0"/>
              <w:spacing w:before="0" w:beforeAutospacing="0" w:after="0" w:afterAutospacing="0"/>
              <w:ind w:left="0" w:right="0"/>
              <w:rPr>
                <w:rFonts w:hint="eastAsia"/>
                <w:lang w:eastAsia="zh-CN"/>
              </w:rPr>
            </w:pPr>
            <w:r>
              <w:rPr>
                <w:rFonts w:hint="eastAsia"/>
                <w:lang w:eastAsia="zh-CN"/>
              </w:rPr>
              <w:t>表</w:t>
            </w:r>
            <w:r>
              <w:rPr>
                <w:rFonts w:hint="eastAsia"/>
                <w:color w:val="auto"/>
                <w:highlight w:val="none"/>
                <w:lang w:val="en-US" w:eastAsia="zh-CN"/>
              </w:rPr>
              <w:t>2.3-6</w:t>
            </w:r>
            <w:r>
              <w:rPr>
                <w:rFonts w:hint="eastAsia"/>
                <w:lang w:eastAsia="zh-CN"/>
              </w:rPr>
              <w:t xml:space="preserve"> 主要生产设备一览表</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371"/>
              <w:gridCol w:w="636"/>
              <w:gridCol w:w="1266"/>
            </w:tblGrid>
            <w:tr w14:paraId="0D19D4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0" w:type="auto"/>
                  <w:tcBorders>
                    <w:left w:val="nil"/>
                  </w:tcBorders>
                  <w:noWrap w:val="0"/>
                  <w:vAlign w:val="top"/>
                </w:tcPr>
                <w:p w14:paraId="4F2E57BC">
                  <w:pPr>
                    <w:pStyle w:val="38"/>
                    <w:keepNext w:val="0"/>
                    <w:keepLines w:val="0"/>
                    <w:widowControl/>
                    <w:suppressLineNumbers w:val="0"/>
                    <w:bidi w:val="0"/>
                    <w:spacing w:before="0" w:beforeAutospacing="0" w:after="0" w:afterAutospacing="0"/>
                    <w:ind w:left="0" w:right="0"/>
                    <w:rPr>
                      <w:rFonts w:hint="eastAsia"/>
                      <w:color w:val="auto"/>
                      <w:szCs w:val="22"/>
                    </w:rPr>
                  </w:pPr>
                  <w:r>
                    <w:rPr>
                      <w:rFonts w:hint="eastAsia"/>
                      <w:szCs w:val="22"/>
                    </w:rPr>
                    <w:t>序号</w:t>
                  </w:r>
                </w:p>
              </w:tc>
              <w:tc>
                <w:tcPr>
                  <w:tcW w:w="0" w:type="auto"/>
                  <w:noWrap w:val="0"/>
                  <w:vAlign w:val="center"/>
                </w:tcPr>
                <w:p w14:paraId="73B4F288">
                  <w:pPr>
                    <w:pStyle w:val="38"/>
                    <w:keepNext w:val="0"/>
                    <w:keepLines w:val="0"/>
                    <w:widowControl/>
                    <w:suppressLineNumbers w:val="0"/>
                    <w:bidi w:val="0"/>
                    <w:spacing w:before="0" w:beforeAutospacing="0" w:after="0" w:afterAutospacing="0"/>
                    <w:ind w:left="0" w:right="0"/>
                    <w:rPr>
                      <w:rFonts w:hint="eastAsia"/>
                      <w:color w:val="auto"/>
                      <w:szCs w:val="22"/>
                      <w:lang w:eastAsia="zh-CN"/>
                    </w:rPr>
                  </w:pPr>
                  <w:r>
                    <w:rPr>
                      <w:rFonts w:hint="eastAsia"/>
                      <w:szCs w:val="22"/>
                    </w:rPr>
                    <w:t>设 备 名 称</w:t>
                  </w:r>
                </w:p>
              </w:tc>
              <w:tc>
                <w:tcPr>
                  <w:tcW w:w="0" w:type="auto"/>
                  <w:noWrap w:val="0"/>
                  <w:vAlign w:val="center"/>
                </w:tcPr>
                <w:p w14:paraId="16C1280E">
                  <w:pPr>
                    <w:pStyle w:val="38"/>
                    <w:keepNext w:val="0"/>
                    <w:keepLines w:val="0"/>
                    <w:widowControl/>
                    <w:suppressLineNumbers w:val="0"/>
                    <w:bidi w:val="0"/>
                    <w:spacing w:before="0" w:beforeAutospacing="0" w:after="0" w:afterAutospacing="0"/>
                    <w:ind w:left="0" w:right="0"/>
                    <w:rPr>
                      <w:rFonts w:hint="eastAsia"/>
                      <w:color w:val="auto"/>
                      <w:szCs w:val="22"/>
                    </w:rPr>
                  </w:pPr>
                  <w:r>
                    <w:rPr>
                      <w:rFonts w:hint="eastAsia"/>
                      <w:szCs w:val="22"/>
                    </w:rPr>
                    <w:t>单位</w:t>
                  </w:r>
                </w:p>
              </w:tc>
              <w:tc>
                <w:tcPr>
                  <w:tcW w:w="0" w:type="auto"/>
                  <w:tcBorders>
                    <w:right w:val="nil"/>
                  </w:tcBorders>
                  <w:noWrap w:val="0"/>
                  <w:vAlign w:val="center"/>
                </w:tcPr>
                <w:p w14:paraId="334ACA8D">
                  <w:pPr>
                    <w:pStyle w:val="38"/>
                    <w:keepNext w:val="0"/>
                    <w:keepLines w:val="0"/>
                    <w:widowControl/>
                    <w:suppressLineNumbers w:val="0"/>
                    <w:bidi w:val="0"/>
                    <w:spacing w:before="0" w:beforeAutospacing="0" w:after="0" w:afterAutospacing="0"/>
                    <w:ind w:left="0" w:right="0"/>
                    <w:rPr>
                      <w:rFonts w:hint="default" w:eastAsia="宋体"/>
                      <w:szCs w:val="22"/>
                      <w:lang w:val="en-US" w:eastAsia="zh-CN"/>
                    </w:rPr>
                  </w:pPr>
                  <w:r>
                    <w:rPr>
                      <w:rFonts w:hint="eastAsia"/>
                      <w:szCs w:val="22"/>
                      <w:lang w:val="en-US" w:eastAsia="zh-CN"/>
                    </w:rPr>
                    <w:t>本项目数量</w:t>
                  </w:r>
                </w:p>
              </w:tc>
            </w:tr>
            <w:tr w14:paraId="3DE599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0" w:type="auto"/>
                  <w:tcBorders>
                    <w:left w:val="nil"/>
                  </w:tcBorders>
                  <w:noWrap w:val="0"/>
                  <w:vAlign w:val="top"/>
                </w:tcPr>
                <w:p w14:paraId="202C735E">
                  <w:pPr>
                    <w:pStyle w:val="38"/>
                    <w:keepNext w:val="0"/>
                    <w:keepLines w:val="0"/>
                    <w:widowControl/>
                    <w:suppressLineNumbers w:val="0"/>
                    <w:bidi w:val="0"/>
                    <w:spacing w:before="0" w:beforeAutospacing="0" w:after="0" w:afterAutospacing="0"/>
                    <w:ind w:left="0" w:right="0"/>
                    <w:rPr>
                      <w:rFonts w:hint="eastAsia" w:eastAsia="宋体"/>
                      <w:color w:val="auto"/>
                      <w:szCs w:val="22"/>
                      <w:lang w:eastAsia="zh-CN"/>
                    </w:rPr>
                  </w:pPr>
                  <w:r>
                    <w:rPr>
                      <w:rFonts w:hint="eastAsia"/>
                      <w:szCs w:val="22"/>
                      <w:lang w:val="en-US" w:eastAsia="zh-CN"/>
                    </w:rPr>
                    <w:t>1</w:t>
                  </w:r>
                </w:p>
              </w:tc>
              <w:tc>
                <w:tcPr>
                  <w:tcW w:w="0" w:type="auto"/>
                  <w:noWrap w:val="0"/>
                  <w:vAlign w:val="center"/>
                </w:tcPr>
                <w:p w14:paraId="7E3A02AF">
                  <w:pPr>
                    <w:pStyle w:val="38"/>
                    <w:keepNext w:val="0"/>
                    <w:keepLines w:val="0"/>
                    <w:widowControl/>
                    <w:suppressLineNumbers w:val="0"/>
                    <w:bidi w:val="0"/>
                    <w:spacing w:before="0" w:beforeAutospacing="0" w:after="0" w:afterAutospacing="0"/>
                    <w:ind w:left="0" w:right="0"/>
                    <w:rPr>
                      <w:rFonts w:hint="eastAsia" w:eastAsia="宋体"/>
                      <w:color w:val="auto"/>
                      <w:szCs w:val="22"/>
                      <w:lang w:val="en-US" w:eastAsia="zh-CN"/>
                    </w:rPr>
                  </w:pPr>
                  <w:r>
                    <w:rPr>
                      <w:rFonts w:hint="eastAsia"/>
                      <w:szCs w:val="22"/>
                      <w:lang w:val="en-US" w:eastAsia="zh-CN"/>
                    </w:rPr>
                    <w:t>水帘柜</w:t>
                  </w:r>
                </w:p>
              </w:tc>
              <w:tc>
                <w:tcPr>
                  <w:tcW w:w="0" w:type="auto"/>
                  <w:noWrap w:val="0"/>
                  <w:vAlign w:val="center"/>
                </w:tcPr>
                <w:p w14:paraId="7A77E357">
                  <w:pPr>
                    <w:pStyle w:val="38"/>
                    <w:keepNext w:val="0"/>
                    <w:keepLines w:val="0"/>
                    <w:widowControl/>
                    <w:suppressLineNumbers w:val="0"/>
                    <w:bidi w:val="0"/>
                    <w:spacing w:before="0" w:beforeAutospacing="0" w:after="0" w:afterAutospacing="0"/>
                    <w:ind w:left="0" w:right="0"/>
                    <w:rPr>
                      <w:rFonts w:hint="eastAsia"/>
                      <w:color w:val="auto"/>
                      <w:szCs w:val="22"/>
                    </w:rPr>
                  </w:pPr>
                  <w:r>
                    <w:rPr>
                      <w:rFonts w:hint="eastAsia"/>
                      <w:szCs w:val="22"/>
                    </w:rPr>
                    <w:t>台</w:t>
                  </w:r>
                </w:p>
              </w:tc>
              <w:tc>
                <w:tcPr>
                  <w:tcW w:w="0" w:type="auto"/>
                  <w:tcBorders>
                    <w:right w:val="nil"/>
                  </w:tcBorders>
                  <w:noWrap w:val="0"/>
                  <w:vAlign w:val="center"/>
                </w:tcPr>
                <w:p w14:paraId="6100ED3F">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9</w:t>
                  </w:r>
                </w:p>
              </w:tc>
            </w:tr>
            <w:tr w14:paraId="520320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0" w:type="auto"/>
                  <w:tcBorders>
                    <w:left w:val="nil"/>
                  </w:tcBorders>
                  <w:noWrap w:val="0"/>
                  <w:vAlign w:val="top"/>
                </w:tcPr>
                <w:p w14:paraId="20B59BBA">
                  <w:pPr>
                    <w:pStyle w:val="38"/>
                    <w:keepNext w:val="0"/>
                    <w:keepLines w:val="0"/>
                    <w:widowControl/>
                    <w:suppressLineNumbers w:val="0"/>
                    <w:bidi w:val="0"/>
                    <w:spacing w:before="0" w:beforeAutospacing="0" w:after="0" w:afterAutospacing="0"/>
                    <w:ind w:left="0" w:right="0"/>
                    <w:rPr>
                      <w:rFonts w:hint="eastAsia"/>
                      <w:color w:val="auto"/>
                      <w:szCs w:val="22"/>
                      <w:lang w:val="en-US" w:eastAsia="zh-CN"/>
                    </w:rPr>
                  </w:pPr>
                  <w:r>
                    <w:rPr>
                      <w:rFonts w:hint="eastAsia"/>
                      <w:szCs w:val="22"/>
                      <w:lang w:val="en-US" w:eastAsia="zh-CN"/>
                    </w:rPr>
                    <w:t>2</w:t>
                  </w:r>
                </w:p>
              </w:tc>
              <w:tc>
                <w:tcPr>
                  <w:tcW w:w="0" w:type="auto"/>
                  <w:noWrap w:val="0"/>
                  <w:vAlign w:val="center"/>
                </w:tcPr>
                <w:p w14:paraId="50B44491">
                  <w:pPr>
                    <w:pStyle w:val="38"/>
                    <w:keepNext w:val="0"/>
                    <w:keepLines w:val="0"/>
                    <w:widowControl/>
                    <w:suppressLineNumbers w:val="0"/>
                    <w:bidi w:val="0"/>
                    <w:spacing w:before="0" w:beforeAutospacing="0" w:after="0" w:afterAutospacing="0"/>
                    <w:ind w:left="0" w:right="0"/>
                    <w:rPr>
                      <w:rFonts w:hint="default"/>
                      <w:color w:val="auto"/>
                      <w:szCs w:val="22"/>
                      <w:lang w:val="en-US" w:eastAsia="zh-CN"/>
                    </w:rPr>
                  </w:pPr>
                  <w:r>
                    <w:rPr>
                      <w:rFonts w:hint="eastAsia"/>
                      <w:szCs w:val="22"/>
                      <w:lang w:val="en-US" w:eastAsia="zh-CN"/>
                    </w:rPr>
                    <w:t>喷漆平板线</w:t>
                  </w:r>
                </w:p>
              </w:tc>
              <w:tc>
                <w:tcPr>
                  <w:tcW w:w="0" w:type="auto"/>
                  <w:noWrap w:val="0"/>
                  <w:vAlign w:val="center"/>
                </w:tcPr>
                <w:p w14:paraId="741AC3F8">
                  <w:pPr>
                    <w:pStyle w:val="38"/>
                    <w:keepNext w:val="0"/>
                    <w:keepLines w:val="0"/>
                    <w:widowControl/>
                    <w:suppressLineNumbers w:val="0"/>
                    <w:bidi w:val="0"/>
                    <w:spacing w:before="0" w:beforeAutospacing="0" w:after="0" w:afterAutospacing="0"/>
                    <w:ind w:left="0" w:right="0"/>
                    <w:rPr>
                      <w:rFonts w:hint="eastAsia" w:eastAsia="宋体"/>
                      <w:color w:val="auto"/>
                      <w:szCs w:val="22"/>
                      <w:lang w:val="en-US" w:eastAsia="zh-CN"/>
                    </w:rPr>
                  </w:pPr>
                  <w:r>
                    <w:rPr>
                      <w:rFonts w:hint="eastAsia"/>
                      <w:szCs w:val="22"/>
                      <w:lang w:val="en-US" w:eastAsia="zh-CN"/>
                    </w:rPr>
                    <w:t>条</w:t>
                  </w:r>
                </w:p>
              </w:tc>
              <w:tc>
                <w:tcPr>
                  <w:tcW w:w="0" w:type="auto"/>
                  <w:tcBorders>
                    <w:right w:val="nil"/>
                  </w:tcBorders>
                  <w:noWrap w:val="0"/>
                  <w:vAlign w:val="center"/>
                </w:tcPr>
                <w:p w14:paraId="763B9200">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3</w:t>
                  </w:r>
                </w:p>
              </w:tc>
            </w:tr>
            <w:tr w14:paraId="51AABC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0" w:type="auto"/>
                  <w:tcBorders>
                    <w:left w:val="nil"/>
                  </w:tcBorders>
                  <w:noWrap w:val="0"/>
                  <w:vAlign w:val="top"/>
                </w:tcPr>
                <w:p w14:paraId="65EA3426">
                  <w:pPr>
                    <w:pStyle w:val="38"/>
                    <w:keepNext w:val="0"/>
                    <w:keepLines w:val="0"/>
                    <w:widowControl/>
                    <w:suppressLineNumbers w:val="0"/>
                    <w:bidi w:val="0"/>
                    <w:spacing w:before="0" w:beforeAutospacing="0" w:after="0" w:afterAutospacing="0"/>
                    <w:ind w:left="0" w:right="0"/>
                    <w:rPr>
                      <w:rFonts w:hint="eastAsia"/>
                      <w:color w:val="auto"/>
                      <w:kern w:val="2"/>
                      <w:szCs w:val="24"/>
                      <w:lang w:val="en-US" w:eastAsia="zh-CN" w:bidi="ar-SA"/>
                    </w:rPr>
                  </w:pPr>
                  <w:r>
                    <w:rPr>
                      <w:rFonts w:hint="eastAsia"/>
                      <w:szCs w:val="22"/>
                      <w:lang w:val="en-US" w:eastAsia="zh-CN"/>
                    </w:rPr>
                    <w:t>3</w:t>
                  </w:r>
                </w:p>
              </w:tc>
              <w:tc>
                <w:tcPr>
                  <w:tcW w:w="0" w:type="auto"/>
                  <w:noWrap w:val="0"/>
                  <w:vAlign w:val="center"/>
                </w:tcPr>
                <w:p w14:paraId="3E495432">
                  <w:pPr>
                    <w:pStyle w:val="38"/>
                    <w:keepNext w:val="0"/>
                    <w:keepLines w:val="0"/>
                    <w:widowControl/>
                    <w:suppressLineNumbers w:val="0"/>
                    <w:bidi w:val="0"/>
                    <w:spacing w:before="0" w:beforeAutospacing="0" w:after="0" w:afterAutospacing="0"/>
                    <w:ind w:left="0" w:right="0"/>
                    <w:rPr>
                      <w:rFonts w:hint="default"/>
                      <w:color w:val="auto"/>
                      <w:szCs w:val="22"/>
                      <w:lang w:val="en-US" w:eastAsia="zh-CN"/>
                    </w:rPr>
                  </w:pPr>
                  <w:r>
                    <w:rPr>
                      <w:rFonts w:hint="eastAsia"/>
                      <w:szCs w:val="22"/>
                      <w:lang w:val="en-US" w:eastAsia="zh-CN"/>
                    </w:rPr>
                    <w:t>抛光机</w:t>
                  </w:r>
                </w:p>
              </w:tc>
              <w:tc>
                <w:tcPr>
                  <w:tcW w:w="0" w:type="auto"/>
                  <w:noWrap w:val="0"/>
                  <w:vAlign w:val="center"/>
                </w:tcPr>
                <w:p w14:paraId="3F9D124F">
                  <w:pPr>
                    <w:pStyle w:val="38"/>
                    <w:keepNext w:val="0"/>
                    <w:keepLines w:val="0"/>
                    <w:widowControl/>
                    <w:suppressLineNumbers w:val="0"/>
                    <w:bidi w:val="0"/>
                    <w:spacing w:before="0" w:beforeAutospacing="0" w:after="0" w:afterAutospacing="0"/>
                    <w:ind w:left="0" w:right="0"/>
                    <w:rPr>
                      <w:rFonts w:hint="eastAsia"/>
                      <w:color w:val="auto"/>
                      <w:szCs w:val="22"/>
                    </w:rPr>
                  </w:pPr>
                  <w:r>
                    <w:rPr>
                      <w:rFonts w:hint="eastAsia"/>
                      <w:szCs w:val="22"/>
                    </w:rPr>
                    <w:t>台</w:t>
                  </w:r>
                </w:p>
              </w:tc>
              <w:tc>
                <w:tcPr>
                  <w:tcW w:w="0" w:type="auto"/>
                  <w:tcBorders>
                    <w:right w:val="nil"/>
                  </w:tcBorders>
                  <w:noWrap w:val="0"/>
                  <w:vAlign w:val="center"/>
                </w:tcPr>
                <w:p w14:paraId="4CF96B36">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20</w:t>
                  </w:r>
                </w:p>
              </w:tc>
            </w:tr>
            <w:tr w14:paraId="7D312B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0" w:type="auto"/>
                  <w:tcBorders>
                    <w:left w:val="nil"/>
                  </w:tcBorders>
                  <w:noWrap w:val="0"/>
                  <w:vAlign w:val="top"/>
                </w:tcPr>
                <w:p w14:paraId="1863CFF3">
                  <w:pPr>
                    <w:pStyle w:val="38"/>
                    <w:keepNext w:val="0"/>
                    <w:keepLines w:val="0"/>
                    <w:widowControl/>
                    <w:suppressLineNumbers w:val="0"/>
                    <w:bidi w:val="0"/>
                    <w:spacing w:before="0" w:beforeAutospacing="0" w:after="0" w:afterAutospacing="0"/>
                    <w:ind w:left="0" w:right="0"/>
                    <w:rPr>
                      <w:rFonts w:hint="default" w:eastAsia="宋体"/>
                      <w:color w:val="auto"/>
                      <w:kern w:val="2"/>
                      <w:szCs w:val="24"/>
                      <w:lang w:val="en-US" w:eastAsia="zh-CN" w:bidi="ar-SA"/>
                    </w:rPr>
                  </w:pPr>
                  <w:r>
                    <w:rPr>
                      <w:rFonts w:hint="eastAsia"/>
                      <w:szCs w:val="22"/>
                      <w:lang w:val="en-US" w:eastAsia="zh-CN"/>
                    </w:rPr>
                    <w:t>4</w:t>
                  </w:r>
                </w:p>
              </w:tc>
              <w:tc>
                <w:tcPr>
                  <w:tcW w:w="0" w:type="auto"/>
                  <w:noWrap w:val="0"/>
                  <w:vAlign w:val="center"/>
                </w:tcPr>
                <w:p w14:paraId="7B66B736">
                  <w:pPr>
                    <w:pStyle w:val="38"/>
                    <w:keepNext w:val="0"/>
                    <w:keepLines w:val="0"/>
                    <w:widowControl/>
                    <w:suppressLineNumbers w:val="0"/>
                    <w:bidi w:val="0"/>
                    <w:spacing w:before="0" w:beforeAutospacing="0" w:after="0" w:afterAutospacing="0"/>
                    <w:ind w:left="0" w:right="0"/>
                    <w:rPr>
                      <w:rFonts w:hint="default"/>
                      <w:color w:val="auto"/>
                      <w:szCs w:val="22"/>
                      <w:lang w:val="en-US" w:eastAsia="zh-CN"/>
                    </w:rPr>
                  </w:pPr>
                  <w:r>
                    <w:rPr>
                      <w:rFonts w:hint="eastAsia"/>
                      <w:szCs w:val="22"/>
                      <w:lang w:val="en-US" w:eastAsia="zh-CN"/>
                    </w:rPr>
                    <w:t>喷枪</w:t>
                  </w:r>
                </w:p>
              </w:tc>
              <w:tc>
                <w:tcPr>
                  <w:tcW w:w="0" w:type="auto"/>
                  <w:noWrap w:val="0"/>
                  <w:vAlign w:val="center"/>
                </w:tcPr>
                <w:p w14:paraId="68D6060A">
                  <w:pPr>
                    <w:pStyle w:val="38"/>
                    <w:keepNext w:val="0"/>
                    <w:keepLines w:val="0"/>
                    <w:widowControl/>
                    <w:suppressLineNumbers w:val="0"/>
                    <w:bidi w:val="0"/>
                    <w:spacing w:before="0" w:beforeAutospacing="0" w:after="0" w:afterAutospacing="0"/>
                    <w:ind w:left="0" w:right="0"/>
                    <w:rPr>
                      <w:rFonts w:hint="eastAsia" w:eastAsia="宋体"/>
                      <w:color w:val="auto"/>
                      <w:szCs w:val="22"/>
                      <w:lang w:eastAsia="zh-CN"/>
                    </w:rPr>
                  </w:pPr>
                  <w:r>
                    <w:rPr>
                      <w:rFonts w:hint="eastAsia"/>
                      <w:szCs w:val="22"/>
                      <w:lang w:val="en-US" w:eastAsia="zh-CN"/>
                    </w:rPr>
                    <w:t>把</w:t>
                  </w:r>
                </w:p>
              </w:tc>
              <w:tc>
                <w:tcPr>
                  <w:tcW w:w="0" w:type="auto"/>
                  <w:tcBorders>
                    <w:right w:val="nil"/>
                  </w:tcBorders>
                  <w:noWrap w:val="0"/>
                  <w:vAlign w:val="center"/>
                </w:tcPr>
                <w:p w14:paraId="6E112E3C">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20</w:t>
                  </w:r>
                </w:p>
              </w:tc>
            </w:tr>
            <w:tr w14:paraId="0E34E0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0" w:type="auto"/>
                  <w:tcBorders>
                    <w:left w:val="nil"/>
                  </w:tcBorders>
                  <w:noWrap w:val="0"/>
                  <w:vAlign w:val="top"/>
                </w:tcPr>
                <w:p w14:paraId="506BA9DE">
                  <w:pPr>
                    <w:pStyle w:val="38"/>
                    <w:keepNext w:val="0"/>
                    <w:keepLines w:val="0"/>
                    <w:widowControl/>
                    <w:suppressLineNumbers w:val="0"/>
                    <w:bidi w:val="0"/>
                    <w:spacing w:before="0" w:beforeAutospacing="0" w:after="0" w:afterAutospacing="0"/>
                    <w:ind w:left="0" w:right="0"/>
                    <w:rPr>
                      <w:rFonts w:hint="eastAsia" w:eastAsia="宋体"/>
                      <w:color w:val="auto"/>
                      <w:szCs w:val="22"/>
                      <w:lang w:eastAsia="zh-CN"/>
                    </w:rPr>
                  </w:pPr>
                  <w:r>
                    <w:rPr>
                      <w:rFonts w:hint="eastAsia"/>
                      <w:szCs w:val="22"/>
                      <w:lang w:val="en-US" w:eastAsia="zh-CN"/>
                    </w:rPr>
                    <w:t>5</w:t>
                  </w:r>
                </w:p>
              </w:tc>
              <w:tc>
                <w:tcPr>
                  <w:tcW w:w="0" w:type="auto"/>
                  <w:noWrap w:val="0"/>
                  <w:vAlign w:val="center"/>
                </w:tcPr>
                <w:p w14:paraId="7A91D69E">
                  <w:pPr>
                    <w:pStyle w:val="38"/>
                    <w:keepNext w:val="0"/>
                    <w:keepLines w:val="0"/>
                    <w:widowControl/>
                    <w:suppressLineNumbers w:val="0"/>
                    <w:bidi w:val="0"/>
                    <w:spacing w:before="0" w:beforeAutospacing="0" w:after="0" w:afterAutospacing="0"/>
                    <w:ind w:left="0" w:right="0"/>
                    <w:rPr>
                      <w:rFonts w:hint="default" w:eastAsia="宋体"/>
                      <w:color w:val="auto"/>
                      <w:szCs w:val="22"/>
                      <w:lang w:val="en-US" w:eastAsia="zh-CN"/>
                    </w:rPr>
                  </w:pPr>
                  <w:r>
                    <w:rPr>
                      <w:rFonts w:hint="eastAsia"/>
                      <w:szCs w:val="22"/>
                      <w:lang w:val="en-US" w:eastAsia="zh-CN"/>
                    </w:rPr>
                    <w:t>电面包炉</w:t>
                  </w:r>
                </w:p>
              </w:tc>
              <w:tc>
                <w:tcPr>
                  <w:tcW w:w="0" w:type="auto"/>
                  <w:noWrap w:val="0"/>
                  <w:vAlign w:val="center"/>
                </w:tcPr>
                <w:p w14:paraId="5B9087CA">
                  <w:pPr>
                    <w:pStyle w:val="38"/>
                    <w:keepNext w:val="0"/>
                    <w:keepLines w:val="0"/>
                    <w:widowControl/>
                    <w:suppressLineNumbers w:val="0"/>
                    <w:bidi w:val="0"/>
                    <w:spacing w:before="0" w:beforeAutospacing="0" w:after="0" w:afterAutospacing="0"/>
                    <w:ind w:left="0" w:right="0"/>
                    <w:rPr>
                      <w:rFonts w:hint="eastAsia"/>
                      <w:color w:val="auto"/>
                      <w:szCs w:val="22"/>
                    </w:rPr>
                  </w:pPr>
                  <w:r>
                    <w:rPr>
                      <w:rFonts w:hint="eastAsia"/>
                      <w:szCs w:val="22"/>
                    </w:rPr>
                    <w:t>台</w:t>
                  </w:r>
                </w:p>
              </w:tc>
              <w:tc>
                <w:tcPr>
                  <w:tcW w:w="0" w:type="auto"/>
                  <w:tcBorders>
                    <w:right w:val="nil"/>
                  </w:tcBorders>
                  <w:noWrap w:val="0"/>
                  <w:vAlign w:val="center"/>
                </w:tcPr>
                <w:p w14:paraId="35BD33CE">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2</w:t>
                  </w:r>
                </w:p>
              </w:tc>
            </w:tr>
            <w:tr w14:paraId="5350AF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0" w:type="auto"/>
                  <w:tcBorders>
                    <w:left w:val="nil"/>
                  </w:tcBorders>
                  <w:noWrap w:val="0"/>
                  <w:vAlign w:val="top"/>
                </w:tcPr>
                <w:p w14:paraId="3995882F">
                  <w:pPr>
                    <w:pStyle w:val="38"/>
                    <w:keepNext w:val="0"/>
                    <w:keepLines w:val="0"/>
                    <w:widowControl/>
                    <w:suppressLineNumbers w:val="0"/>
                    <w:bidi w:val="0"/>
                    <w:spacing w:before="0" w:beforeAutospacing="0" w:after="0" w:afterAutospacing="0"/>
                    <w:ind w:left="0" w:right="0"/>
                    <w:rPr>
                      <w:rFonts w:hint="eastAsia"/>
                      <w:color w:val="auto"/>
                      <w:szCs w:val="22"/>
                      <w:lang w:val="en-US" w:eastAsia="zh-CN"/>
                    </w:rPr>
                  </w:pPr>
                  <w:r>
                    <w:rPr>
                      <w:rFonts w:hint="eastAsia"/>
                      <w:szCs w:val="22"/>
                      <w:lang w:val="en-US" w:eastAsia="zh-CN"/>
                    </w:rPr>
                    <w:t>6</w:t>
                  </w:r>
                </w:p>
              </w:tc>
              <w:tc>
                <w:tcPr>
                  <w:tcW w:w="0" w:type="auto"/>
                  <w:noWrap w:val="0"/>
                  <w:vAlign w:val="center"/>
                </w:tcPr>
                <w:p w14:paraId="6DD2A935">
                  <w:pPr>
                    <w:pStyle w:val="38"/>
                    <w:keepNext w:val="0"/>
                    <w:keepLines w:val="0"/>
                    <w:widowControl/>
                    <w:suppressLineNumbers w:val="0"/>
                    <w:bidi w:val="0"/>
                    <w:spacing w:before="0" w:beforeAutospacing="0" w:after="0" w:afterAutospacing="0"/>
                    <w:ind w:left="0" w:right="0"/>
                    <w:rPr>
                      <w:rFonts w:hint="default" w:eastAsia="宋体"/>
                      <w:color w:val="auto"/>
                      <w:szCs w:val="22"/>
                      <w:lang w:val="en-US" w:eastAsia="zh-CN"/>
                    </w:rPr>
                  </w:pPr>
                  <w:r>
                    <w:rPr>
                      <w:rFonts w:hint="eastAsia"/>
                      <w:szCs w:val="22"/>
                      <w:lang w:val="en-US" w:eastAsia="zh-CN"/>
                    </w:rPr>
                    <w:t>空压机</w:t>
                  </w:r>
                </w:p>
              </w:tc>
              <w:tc>
                <w:tcPr>
                  <w:tcW w:w="0" w:type="auto"/>
                  <w:noWrap w:val="0"/>
                  <w:vAlign w:val="center"/>
                </w:tcPr>
                <w:p w14:paraId="0A8C9813">
                  <w:pPr>
                    <w:pStyle w:val="38"/>
                    <w:keepNext w:val="0"/>
                    <w:keepLines w:val="0"/>
                    <w:widowControl/>
                    <w:suppressLineNumbers w:val="0"/>
                    <w:bidi w:val="0"/>
                    <w:spacing w:before="0" w:beforeAutospacing="0" w:after="0" w:afterAutospacing="0"/>
                    <w:ind w:left="0" w:right="0"/>
                    <w:rPr>
                      <w:rFonts w:hint="eastAsia"/>
                      <w:color w:val="auto"/>
                      <w:szCs w:val="22"/>
                    </w:rPr>
                  </w:pPr>
                  <w:r>
                    <w:rPr>
                      <w:rFonts w:hint="eastAsia"/>
                      <w:szCs w:val="22"/>
                    </w:rPr>
                    <w:t>台</w:t>
                  </w:r>
                </w:p>
              </w:tc>
              <w:tc>
                <w:tcPr>
                  <w:tcW w:w="0" w:type="auto"/>
                  <w:tcBorders>
                    <w:right w:val="nil"/>
                  </w:tcBorders>
                  <w:noWrap w:val="0"/>
                  <w:vAlign w:val="center"/>
                </w:tcPr>
                <w:p w14:paraId="05010F32">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1</w:t>
                  </w:r>
                </w:p>
              </w:tc>
            </w:tr>
          </w:tbl>
          <w:p w14:paraId="56D2EC7C">
            <w:pPr>
              <w:pStyle w:val="4"/>
              <w:suppressLineNumbers w:val="0"/>
              <w:bidi w:val="0"/>
              <w:spacing w:before="0" w:beforeAutospacing="0" w:after="0" w:afterAutospacing="0"/>
              <w:ind w:left="0" w:right="0"/>
              <w:rPr>
                <w:rFonts w:hint="default"/>
                <w:lang w:val="en-US" w:eastAsia="zh-CN"/>
              </w:rPr>
            </w:pPr>
            <w:r>
              <w:rPr>
                <w:rFonts w:hint="eastAsia"/>
                <w:lang w:val="en-US" w:eastAsia="zh-CN"/>
              </w:rPr>
              <w:t>物料平衡及水平衡</w:t>
            </w:r>
          </w:p>
          <w:p w14:paraId="18CD62A1">
            <w:pPr>
              <w:keepNext w:val="0"/>
              <w:keepLines w:val="0"/>
              <w:suppressLineNumbers w:val="0"/>
              <w:bidi w:val="0"/>
              <w:spacing w:before="0" w:beforeAutospacing="0" w:after="0" w:afterAutospacing="0"/>
              <w:ind w:left="0" w:right="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lang w:val="en-US" w:eastAsia="zh-CN"/>
              </w:rPr>
              <w:t>物料平衡</w:t>
            </w:r>
          </w:p>
          <w:p w14:paraId="32CB46DB">
            <w:pPr>
              <w:pStyle w:val="39"/>
              <w:keepNext w:val="0"/>
              <w:keepLines w:val="0"/>
              <w:suppressLineNumbers w:val="0"/>
              <w:bidi w:val="0"/>
              <w:spacing w:before="0" w:beforeAutospacing="0" w:after="0" w:afterAutospacing="0"/>
              <w:ind w:left="0" w:right="0"/>
              <w:rPr>
                <w:rFonts w:hint="default"/>
                <w:highlight w:val="none"/>
                <w:lang w:val="en-US" w:eastAsia="zh-CN"/>
              </w:rPr>
            </w:pPr>
            <w:r>
              <w:rPr>
                <w:rFonts w:hint="eastAsia"/>
                <w:highlight w:val="none"/>
                <w:lang w:eastAsia="zh-CN"/>
              </w:rPr>
              <w:t>表</w:t>
            </w:r>
            <w:r>
              <w:rPr>
                <w:rFonts w:hint="eastAsia"/>
                <w:color w:val="auto"/>
                <w:highlight w:val="none"/>
                <w:lang w:val="en-US" w:eastAsia="zh-CN"/>
              </w:rPr>
              <w:t>2.3-7</w:t>
            </w:r>
            <w:r>
              <w:rPr>
                <w:rFonts w:hint="eastAsia"/>
                <w:highlight w:val="none"/>
                <w:lang w:eastAsia="zh-CN"/>
              </w:rPr>
              <w:t xml:space="preserve"> </w:t>
            </w:r>
            <w:r>
              <w:rPr>
                <w:rFonts w:hint="eastAsia"/>
                <w:highlight w:val="none"/>
                <w:lang w:val="en-US" w:eastAsia="zh-CN"/>
              </w:rPr>
              <w:t>物料平衡表</w:t>
            </w:r>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88"/>
              <w:gridCol w:w="2834"/>
              <w:gridCol w:w="2180"/>
              <w:gridCol w:w="1410"/>
            </w:tblGrid>
            <w:tr w14:paraId="1C930B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940" w:type="pct"/>
                  <w:tcBorders>
                    <w:left w:val="nil"/>
                  </w:tcBorders>
                  <w:noWrap w:val="0"/>
                  <w:vAlign w:val="top"/>
                </w:tcPr>
                <w:p w14:paraId="4E2D7BC7">
                  <w:pPr>
                    <w:pStyle w:val="38"/>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eastAsia"/>
                      <w:szCs w:val="22"/>
                      <w:highlight w:val="none"/>
                      <w:lang w:val="en-US" w:eastAsia="zh-CN"/>
                    </w:rPr>
                    <w:t>投入</w:t>
                  </w:r>
                </w:p>
              </w:tc>
              <w:tc>
                <w:tcPr>
                  <w:tcW w:w="1790" w:type="pct"/>
                  <w:noWrap w:val="0"/>
                  <w:vAlign w:val="center"/>
                </w:tcPr>
                <w:p w14:paraId="6C9CF42A">
                  <w:pPr>
                    <w:pStyle w:val="38"/>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eastAsia"/>
                      <w:szCs w:val="22"/>
                      <w:highlight w:val="none"/>
                      <w:lang w:val="en-US" w:eastAsia="zh-CN"/>
                    </w:rPr>
                    <w:t>投入量</w:t>
                  </w:r>
                </w:p>
              </w:tc>
              <w:tc>
                <w:tcPr>
                  <w:tcW w:w="1377" w:type="pct"/>
                  <w:noWrap w:val="0"/>
                  <w:vAlign w:val="center"/>
                </w:tcPr>
                <w:p w14:paraId="41CAAF9E">
                  <w:pPr>
                    <w:pStyle w:val="38"/>
                    <w:keepNext w:val="0"/>
                    <w:keepLines w:val="0"/>
                    <w:widowControl/>
                    <w:suppressLineNumbers w:val="0"/>
                    <w:bidi w:val="0"/>
                    <w:spacing w:before="0" w:beforeAutospacing="0" w:after="0" w:afterAutospacing="0"/>
                    <w:ind w:left="0" w:right="0"/>
                    <w:rPr>
                      <w:rFonts w:hint="eastAsia"/>
                      <w:szCs w:val="22"/>
                      <w:highlight w:val="none"/>
                    </w:rPr>
                  </w:pPr>
                  <w:r>
                    <w:rPr>
                      <w:rFonts w:hint="eastAsia"/>
                      <w:szCs w:val="22"/>
                      <w:highlight w:val="none"/>
                      <w:lang w:val="en-US" w:eastAsia="zh-CN"/>
                    </w:rPr>
                    <w:t>产出</w:t>
                  </w:r>
                </w:p>
              </w:tc>
              <w:tc>
                <w:tcPr>
                  <w:tcW w:w="891" w:type="pct"/>
                  <w:tcBorders>
                    <w:right w:val="nil"/>
                  </w:tcBorders>
                  <w:noWrap w:val="0"/>
                  <w:vAlign w:val="center"/>
                </w:tcPr>
                <w:p w14:paraId="16EB5A85">
                  <w:pPr>
                    <w:pStyle w:val="38"/>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eastAsia"/>
                      <w:szCs w:val="22"/>
                      <w:highlight w:val="none"/>
                      <w:lang w:val="en-US" w:eastAsia="zh-CN"/>
                    </w:rPr>
                    <w:t>产出量</w:t>
                  </w:r>
                </w:p>
              </w:tc>
            </w:tr>
            <w:tr w14:paraId="287950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940" w:type="pct"/>
                  <w:vMerge w:val="restart"/>
                  <w:tcBorders>
                    <w:left w:val="nil"/>
                  </w:tcBorders>
                  <w:noWrap w:val="0"/>
                  <w:vAlign w:val="center"/>
                </w:tcPr>
                <w:p w14:paraId="4C1DB6B2">
                  <w:pPr>
                    <w:pStyle w:val="38"/>
                    <w:keepNext w:val="0"/>
                    <w:keepLines w:val="0"/>
                    <w:widowControl/>
                    <w:suppressLineNumbers w:val="0"/>
                    <w:bidi w:val="0"/>
                    <w:spacing w:before="0" w:beforeAutospacing="0" w:after="0" w:afterAutospacing="0"/>
                    <w:ind w:left="0" w:right="0"/>
                    <w:rPr>
                      <w:rFonts w:hint="eastAsia"/>
                      <w:szCs w:val="22"/>
                      <w:highlight w:val="none"/>
                      <w:lang w:val="en-US" w:eastAsia="zh-CN"/>
                    </w:rPr>
                  </w:pPr>
                  <w:r>
                    <w:rPr>
                      <w:rFonts w:hint="eastAsia"/>
                      <w:szCs w:val="22"/>
                      <w:highlight w:val="none"/>
                      <w:lang w:val="en-US" w:eastAsia="zh-CN"/>
                    </w:rPr>
                    <w:t>压铸铝</w:t>
                  </w:r>
                </w:p>
              </w:tc>
              <w:tc>
                <w:tcPr>
                  <w:tcW w:w="1790" w:type="pct"/>
                  <w:vMerge w:val="restart"/>
                  <w:noWrap w:val="0"/>
                  <w:vAlign w:val="center"/>
                </w:tcPr>
                <w:p w14:paraId="6315710D">
                  <w:pPr>
                    <w:pStyle w:val="38"/>
                    <w:keepNext w:val="0"/>
                    <w:keepLines w:val="0"/>
                    <w:widowControl/>
                    <w:suppressLineNumbers w:val="0"/>
                    <w:bidi w:val="0"/>
                    <w:spacing w:before="0" w:beforeAutospacing="0" w:after="0" w:afterAutospacing="0"/>
                    <w:ind w:left="0" w:right="0"/>
                    <w:rPr>
                      <w:rFonts w:hint="eastAsia"/>
                      <w:szCs w:val="22"/>
                      <w:highlight w:val="none"/>
                      <w:lang w:val="en-US" w:eastAsia="zh-CN"/>
                    </w:rPr>
                  </w:pPr>
                  <w:r>
                    <w:rPr>
                      <w:rFonts w:hint="eastAsia"/>
                      <w:szCs w:val="22"/>
                      <w:highlight w:val="none"/>
                      <w:lang w:val="en-US" w:eastAsia="zh-CN"/>
                    </w:rPr>
                    <w:t>20.6万套</w:t>
                  </w:r>
                </w:p>
              </w:tc>
              <w:tc>
                <w:tcPr>
                  <w:tcW w:w="1377" w:type="pct"/>
                  <w:noWrap w:val="0"/>
                  <w:vAlign w:val="center"/>
                </w:tcPr>
                <w:p w14:paraId="6C702BA7">
                  <w:pPr>
                    <w:pStyle w:val="38"/>
                    <w:keepNext w:val="0"/>
                    <w:keepLines w:val="0"/>
                    <w:widowControl/>
                    <w:suppressLineNumbers w:val="0"/>
                    <w:bidi w:val="0"/>
                    <w:spacing w:before="0" w:beforeAutospacing="0" w:after="0" w:afterAutospacing="0"/>
                    <w:ind w:left="0" w:right="0"/>
                    <w:rPr>
                      <w:rFonts w:hint="default"/>
                      <w:szCs w:val="22"/>
                      <w:highlight w:val="none"/>
                      <w:lang w:val="en-US"/>
                    </w:rPr>
                  </w:pPr>
                  <w:r>
                    <w:rPr>
                      <w:rFonts w:hint="eastAsia"/>
                      <w:szCs w:val="22"/>
                      <w:highlight w:val="none"/>
                      <w:lang w:val="en-US" w:eastAsia="zh-CN"/>
                    </w:rPr>
                    <w:t>铝合金产品</w:t>
                  </w:r>
                </w:p>
              </w:tc>
              <w:tc>
                <w:tcPr>
                  <w:tcW w:w="891" w:type="pct"/>
                  <w:tcBorders>
                    <w:right w:val="nil"/>
                  </w:tcBorders>
                  <w:noWrap w:val="0"/>
                  <w:vAlign w:val="center"/>
                </w:tcPr>
                <w:p w14:paraId="0DAFEB3F">
                  <w:pPr>
                    <w:pStyle w:val="38"/>
                    <w:keepNext w:val="0"/>
                    <w:keepLines w:val="0"/>
                    <w:widowControl/>
                    <w:suppressLineNumbers w:val="0"/>
                    <w:bidi w:val="0"/>
                    <w:spacing w:before="0" w:beforeAutospacing="0" w:after="0" w:afterAutospacing="0"/>
                    <w:ind w:left="0" w:right="0"/>
                    <w:rPr>
                      <w:rFonts w:hint="eastAsia"/>
                      <w:szCs w:val="22"/>
                      <w:highlight w:val="none"/>
                      <w:lang w:val="en-US" w:eastAsia="zh-CN"/>
                    </w:rPr>
                  </w:pPr>
                  <w:r>
                    <w:rPr>
                      <w:rFonts w:hint="eastAsia"/>
                      <w:szCs w:val="22"/>
                      <w:highlight w:val="none"/>
                      <w:lang w:val="en-US" w:eastAsia="zh-CN"/>
                    </w:rPr>
                    <w:t>20万套</w:t>
                  </w:r>
                </w:p>
              </w:tc>
            </w:tr>
            <w:tr w14:paraId="695C6B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940" w:type="pct"/>
                  <w:vMerge w:val="continue"/>
                  <w:tcBorders>
                    <w:left w:val="nil"/>
                  </w:tcBorders>
                  <w:noWrap w:val="0"/>
                  <w:vAlign w:val="center"/>
                </w:tcPr>
                <w:p w14:paraId="7BE1C8DD">
                  <w:pPr>
                    <w:pStyle w:val="38"/>
                    <w:keepNext w:val="0"/>
                    <w:keepLines w:val="0"/>
                    <w:widowControl/>
                    <w:suppressLineNumbers w:val="0"/>
                    <w:bidi w:val="0"/>
                    <w:spacing w:before="0" w:beforeAutospacing="0" w:after="0" w:afterAutospacing="0"/>
                    <w:ind w:left="0" w:right="0"/>
                    <w:rPr>
                      <w:rFonts w:hint="eastAsia"/>
                      <w:szCs w:val="22"/>
                      <w:highlight w:val="none"/>
                      <w:lang w:val="en-US" w:eastAsia="zh-CN"/>
                    </w:rPr>
                  </w:pPr>
                </w:p>
              </w:tc>
              <w:tc>
                <w:tcPr>
                  <w:tcW w:w="1790" w:type="pct"/>
                  <w:vMerge w:val="continue"/>
                  <w:noWrap w:val="0"/>
                  <w:vAlign w:val="center"/>
                </w:tcPr>
                <w:p w14:paraId="1ED30A63">
                  <w:pPr>
                    <w:pStyle w:val="38"/>
                    <w:keepNext w:val="0"/>
                    <w:keepLines w:val="0"/>
                    <w:widowControl/>
                    <w:suppressLineNumbers w:val="0"/>
                    <w:bidi w:val="0"/>
                    <w:spacing w:before="0" w:beforeAutospacing="0" w:after="0" w:afterAutospacing="0"/>
                    <w:ind w:left="0" w:right="0"/>
                    <w:rPr>
                      <w:rFonts w:hint="eastAsia"/>
                      <w:szCs w:val="22"/>
                      <w:highlight w:val="none"/>
                      <w:lang w:val="en-US" w:eastAsia="zh-CN"/>
                    </w:rPr>
                  </w:pPr>
                </w:p>
              </w:tc>
              <w:tc>
                <w:tcPr>
                  <w:tcW w:w="1377" w:type="pct"/>
                  <w:noWrap w:val="0"/>
                  <w:vAlign w:val="center"/>
                </w:tcPr>
                <w:p w14:paraId="7A931FB4">
                  <w:pPr>
                    <w:pStyle w:val="38"/>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eastAsia"/>
                      <w:szCs w:val="22"/>
                      <w:highlight w:val="none"/>
                      <w:lang w:val="en-US" w:eastAsia="zh-CN"/>
                    </w:rPr>
                    <w:t>铝合金不合格产品</w:t>
                  </w:r>
                </w:p>
              </w:tc>
              <w:tc>
                <w:tcPr>
                  <w:tcW w:w="891" w:type="pct"/>
                  <w:tcBorders>
                    <w:right w:val="nil"/>
                  </w:tcBorders>
                  <w:noWrap w:val="0"/>
                  <w:vAlign w:val="center"/>
                </w:tcPr>
                <w:p w14:paraId="230C758B">
                  <w:pPr>
                    <w:pStyle w:val="38"/>
                    <w:keepNext w:val="0"/>
                    <w:keepLines w:val="0"/>
                    <w:widowControl/>
                    <w:suppressLineNumbers w:val="0"/>
                    <w:bidi w:val="0"/>
                    <w:spacing w:before="0" w:beforeAutospacing="0" w:after="0" w:afterAutospacing="0"/>
                    <w:ind w:left="0" w:right="0"/>
                    <w:rPr>
                      <w:rFonts w:hint="default"/>
                      <w:szCs w:val="22"/>
                      <w:highlight w:val="none"/>
                      <w:lang w:val="en-US" w:eastAsia="zh-CN"/>
                    </w:rPr>
                  </w:pPr>
                  <w:r>
                    <w:rPr>
                      <w:rFonts w:hint="eastAsia"/>
                      <w:szCs w:val="22"/>
                      <w:highlight w:val="none"/>
                      <w:lang w:val="en-US" w:eastAsia="zh-CN"/>
                    </w:rPr>
                    <w:t>0.6万套</w:t>
                  </w:r>
                </w:p>
              </w:tc>
            </w:tr>
            <w:tr w14:paraId="5796B0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940" w:type="pct"/>
                  <w:vMerge w:val="restart"/>
                  <w:tcBorders>
                    <w:left w:val="nil"/>
                  </w:tcBorders>
                  <w:noWrap w:val="0"/>
                  <w:vAlign w:val="center"/>
                </w:tcPr>
                <w:p w14:paraId="18DC511B">
                  <w:pPr>
                    <w:pStyle w:val="38"/>
                    <w:keepNext w:val="0"/>
                    <w:keepLines w:val="0"/>
                    <w:widowControl/>
                    <w:suppressLineNumbers w:val="0"/>
                    <w:bidi w:val="0"/>
                    <w:spacing w:before="0" w:beforeAutospacing="0" w:after="0" w:afterAutospacing="0"/>
                    <w:ind w:left="0" w:right="0"/>
                    <w:rPr>
                      <w:rFonts w:hint="eastAsia"/>
                      <w:szCs w:val="22"/>
                      <w:highlight w:val="none"/>
                      <w:lang w:val="en-US" w:eastAsia="zh-CN"/>
                    </w:rPr>
                  </w:pPr>
                  <w:r>
                    <w:rPr>
                      <w:rFonts w:hint="eastAsia"/>
                      <w:szCs w:val="22"/>
                      <w:highlight w:val="none"/>
                      <w:lang w:val="en-US" w:eastAsia="zh-CN"/>
                    </w:rPr>
                    <w:t>塑胶壳</w:t>
                  </w:r>
                </w:p>
              </w:tc>
              <w:tc>
                <w:tcPr>
                  <w:tcW w:w="1790" w:type="pct"/>
                  <w:vMerge w:val="restart"/>
                  <w:noWrap w:val="0"/>
                  <w:vAlign w:val="center"/>
                </w:tcPr>
                <w:p w14:paraId="3934055D">
                  <w:pPr>
                    <w:pStyle w:val="38"/>
                    <w:keepNext w:val="0"/>
                    <w:keepLines w:val="0"/>
                    <w:widowControl/>
                    <w:suppressLineNumbers w:val="0"/>
                    <w:bidi w:val="0"/>
                    <w:spacing w:before="0" w:beforeAutospacing="0" w:after="0" w:afterAutospacing="0"/>
                    <w:ind w:left="0" w:right="0"/>
                    <w:rPr>
                      <w:rFonts w:hint="eastAsia"/>
                      <w:szCs w:val="22"/>
                      <w:highlight w:val="none"/>
                      <w:lang w:val="en-US" w:eastAsia="zh-CN"/>
                    </w:rPr>
                  </w:pPr>
                  <w:r>
                    <w:rPr>
                      <w:rFonts w:hint="eastAsia"/>
                      <w:szCs w:val="22"/>
                      <w:highlight w:val="none"/>
                      <w:lang w:val="en-US" w:eastAsia="zh-CN"/>
                    </w:rPr>
                    <w:t>30.9万套</w:t>
                  </w:r>
                </w:p>
              </w:tc>
              <w:tc>
                <w:tcPr>
                  <w:tcW w:w="1377" w:type="pct"/>
                  <w:noWrap w:val="0"/>
                  <w:vAlign w:val="center"/>
                </w:tcPr>
                <w:p w14:paraId="46D29585">
                  <w:pPr>
                    <w:pStyle w:val="38"/>
                    <w:keepNext w:val="0"/>
                    <w:keepLines w:val="0"/>
                    <w:widowControl/>
                    <w:suppressLineNumbers w:val="0"/>
                    <w:bidi w:val="0"/>
                    <w:spacing w:before="0" w:beforeAutospacing="0" w:after="0" w:afterAutospacing="0"/>
                    <w:ind w:left="0" w:right="0"/>
                    <w:rPr>
                      <w:rFonts w:hint="eastAsia"/>
                      <w:szCs w:val="22"/>
                      <w:highlight w:val="none"/>
                    </w:rPr>
                  </w:pPr>
                  <w:r>
                    <w:rPr>
                      <w:rFonts w:hint="eastAsia"/>
                      <w:szCs w:val="22"/>
                      <w:highlight w:val="none"/>
                      <w:lang w:val="en-US" w:eastAsia="zh-CN"/>
                    </w:rPr>
                    <w:t>塑胶件</w:t>
                  </w:r>
                </w:p>
              </w:tc>
              <w:tc>
                <w:tcPr>
                  <w:tcW w:w="891" w:type="pct"/>
                  <w:tcBorders>
                    <w:right w:val="nil"/>
                  </w:tcBorders>
                  <w:noWrap w:val="0"/>
                  <w:vAlign w:val="center"/>
                </w:tcPr>
                <w:p w14:paraId="034AB39B">
                  <w:pPr>
                    <w:pStyle w:val="38"/>
                    <w:keepNext w:val="0"/>
                    <w:keepLines w:val="0"/>
                    <w:widowControl/>
                    <w:suppressLineNumbers w:val="0"/>
                    <w:bidi w:val="0"/>
                    <w:spacing w:before="0" w:beforeAutospacing="0" w:after="0" w:afterAutospacing="0"/>
                    <w:ind w:left="0" w:right="0"/>
                    <w:rPr>
                      <w:rFonts w:hint="eastAsia"/>
                      <w:szCs w:val="22"/>
                      <w:highlight w:val="none"/>
                      <w:lang w:val="en-US" w:eastAsia="zh-CN"/>
                    </w:rPr>
                  </w:pPr>
                  <w:r>
                    <w:rPr>
                      <w:rFonts w:hint="eastAsia"/>
                      <w:szCs w:val="22"/>
                      <w:highlight w:val="none"/>
                      <w:lang w:val="en-US" w:eastAsia="zh-CN"/>
                    </w:rPr>
                    <w:t>30万套</w:t>
                  </w:r>
                </w:p>
              </w:tc>
            </w:tr>
            <w:tr w14:paraId="7C2462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940" w:type="pct"/>
                  <w:vMerge w:val="continue"/>
                  <w:tcBorders>
                    <w:left w:val="nil"/>
                  </w:tcBorders>
                  <w:noWrap w:val="0"/>
                  <w:vAlign w:val="center"/>
                </w:tcPr>
                <w:p w14:paraId="6AA2986E">
                  <w:pPr>
                    <w:pStyle w:val="38"/>
                    <w:keepNext w:val="0"/>
                    <w:keepLines w:val="0"/>
                    <w:widowControl/>
                    <w:suppressLineNumbers w:val="0"/>
                    <w:bidi w:val="0"/>
                    <w:spacing w:before="0" w:beforeAutospacing="0" w:after="0" w:afterAutospacing="0"/>
                    <w:ind w:left="0" w:right="0"/>
                    <w:rPr>
                      <w:rFonts w:hint="eastAsia"/>
                      <w:szCs w:val="22"/>
                      <w:lang w:val="en-US" w:eastAsia="zh-CN"/>
                    </w:rPr>
                  </w:pPr>
                </w:p>
              </w:tc>
              <w:tc>
                <w:tcPr>
                  <w:tcW w:w="1790" w:type="pct"/>
                  <w:vMerge w:val="continue"/>
                  <w:noWrap w:val="0"/>
                  <w:vAlign w:val="center"/>
                </w:tcPr>
                <w:p w14:paraId="45F44DCD">
                  <w:pPr>
                    <w:pStyle w:val="38"/>
                    <w:keepNext w:val="0"/>
                    <w:keepLines w:val="0"/>
                    <w:widowControl/>
                    <w:suppressLineNumbers w:val="0"/>
                    <w:bidi w:val="0"/>
                    <w:spacing w:before="0" w:beforeAutospacing="0" w:after="0" w:afterAutospacing="0"/>
                    <w:ind w:left="0" w:right="0"/>
                    <w:rPr>
                      <w:rFonts w:hint="eastAsia"/>
                      <w:szCs w:val="22"/>
                      <w:lang w:val="en-US" w:eastAsia="zh-CN"/>
                    </w:rPr>
                  </w:pPr>
                </w:p>
              </w:tc>
              <w:tc>
                <w:tcPr>
                  <w:tcW w:w="1377" w:type="pct"/>
                  <w:noWrap w:val="0"/>
                  <w:vAlign w:val="center"/>
                </w:tcPr>
                <w:p w14:paraId="6F70E21C">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塑胶件不合格产品</w:t>
                  </w:r>
                </w:p>
              </w:tc>
              <w:tc>
                <w:tcPr>
                  <w:tcW w:w="891" w:type="pct"/>
                  <w:tcBorders>
                    <w:right w:val="nil"/>
                  </w:tcBorders>
                  <w:noWrap w:val="0"/>
                  <w:vAlign w:val="center"/>
                </w:tcPr>
                <w:p w14:paraId="54DFA987">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0.9万套</w:t>
                  </w:r>
                </w:p>
              </w:tc>
            </w:tr>
            <w:tr w14:paraId="64D573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940" w:type="pct"/>
                  <w:vMerge w:val="restart"/>
                  <w:tcBorders>
                    <w:left w:val="nil"/>
                  </w:tcBorders>
                  <w:noWrap w:val="0"/>
                  <w:vAlign w:val="center"/>
                </w:tcPr>
                <w:p w14:paraId="6146E10E">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钣金</w:t>
                  </w:r>
                </w:p>
              </w:tc>
              <w:tc>
                <w:tcPr>
                  <w:tcW w:w="1790" w:type="pct"/>
                  <w:vMerge w:val="restart"/>
                  <w:noWrap w:val="0"/>
                  <w:vAlign w:val="center"/>
                </w:tcPr>
                <w:p w14:paraId="697B53F8">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10.3万套</w:t>
                  </w:r>
                </w:p>
              </w:tc>
              <w:tc>
                <w:tcPr>
                  <w:tcW w:w="1377" w:type="pct"/>
                  <w:noWrap w:val="0"/>
                  <w:vAlign w:val="center"/>
                </w:tcPr>
                <w:p w14:paraId="491473F3">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钣金件</w:t>
                  </w:r>
                </w:p>
              </w:tc>
              <w:tc>
                <w:tcPr>
                  <w:tcW w:w="891" w:type="pct"/>
                  <w:tcBorders>
                    <w:right w:val="nil"/>
                  </w:tcBorders>
                  <w:noWrap w:val="0"/>
                  <w:vAlign w:val="center"/>
                </w:tcPr>
                <w:p w14:paraId="66B96608">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10万套</w:t>
                  </w:r>
                </w:p>
              </w:tc>
            </w:tr>
            <w:tr w14:paraId="72C10C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940" w:type="pct"/>
                  <w:vMerge w:val="continue"/>
                  <w:tcBorders>
                    <w:left w:val="nil"/>
                  </w:tcBorders>
                  <w:noWrap w:val="0"/>
                  <w:vAlign w:val="center"/>
                </w:tcPr>
                <w:p w14:paraId="028A0903">
                  <w:pPr>
                    <w:pStyle w:val="38"/>
                    <w:keepNext w:val="0"/>
                    <w:keepLines w:val="0"/>
                    <w:widowControl/>
                    <w:suppressLineNumbers w:val="0"/>
                    <w:bidi w:val="0"/>
                    <w:spacing w:before="0" w:beforeAutospacing="0" w:after="0" w:afterAutospacing="0"/>
                    <w:ind w:left="0" w:right="0"/>
                    <w:rPr>
                      <w:rFonts w:hint="eastAsia"/>
                      <w:szCs w:val="22"/>
                      <w:lang w:val="en-US" w:eastAsia="zh-CN"/>
                    </w:rPr>
                  </w:pPr>
                </w:p>
              </w:tc>
              <w:tc>
                <w:tcPr>
                  <w:tcW w:w="1790" w:type="pct"/>
                  <w:vMerge w:val="continue"/>
                  <w:noWrap w:val="0"/>
                  <w:vAlign w:val="center"/>
                </w:tcPr>
                <w:p w14:paraId="71FACC80">
                  <w:pPr>
                    <w:pStyle w:val="38"/>
                    <w:keepNext w:val="0"/>
                    <w:keepLines w:val="0"/>
                    <w:widowControl/>
                    <w:suppressLineNumbers w:val="0"/>
                    <w:bidi w:val="0"/>
                    <w:spacing w:before="0" w:beforeAutospacing="0" w:after="0" w:afterAutospacing="0"/>
                    <w:ind w:left="0" w:right="0"/>
                    <w:rPr>
                      <w:rFonts w:hint="eastAsia"/>
                      <w:szCs w:val="22"/>
                      <w:lang w:val="en-US" w:eastAsia="zh-CN"/>
                    </w:rPr>
                  </w:pPr>
                </w:p>
              </w:tc>
              <w:tc>
                <w:tcPr>
                  <w:tcW w:w="1377" w:type="pct"/>
                  <w:noWrap w:val="0"/>
                  <w:vAlign w:val="center"/>
                </w:tcPr>
                <w:p w14:paraId="1229BF3D">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钣金件不合格产品</w:t>
                  </w:r>
                </w:p>
              </w:tc>
              <w:tc>
                <w:tcPr>
                  <w:tcW w:w="891" w:type="pct"/>
                  <w:tcBorders>
                    <w:right w:val="nil"/>
                  </w:tcBorders>
                  <w:noWrap w:val="0"/>
                  <w:vAlign w:val="center"/>
                </w:tcPr>
                <w:p w14:paraId="7A825F44">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0.3万套</w:t>
                  </w:r>
                </w:p>
              </w:tc>
            </w:tr>
          </w:tbl>
          <w:p w14:paraId="5A0456BC">
            <w:pPr>
              <w:keepNext w:val="0"/>
              <w:keepLines w:val="0"/>
              <w:suppressLineNumbers w:val="0"/>
              <w:bidi w:val="0"/>
              <w:spacing w:before="0" w:beforeAutospacing="0" w:after="0" w:afterAutospacing="0"/>
              <w:ind w:left="0" w:right="0"/>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水平衡</w:t>
            </w:r>
          </w:p>
          <w:p w14:paraId="31B73904">
            <w:pPr>
              <w:keepNext w:val="0"/>
              <w:keepLines w:val="0"/>
              <w:suppressLineNumbers w:val="0"/>
              <w:bidi w:val="0"/>
              <w:spacing w:before="0" w:beforeAutospacing="0" w:after="0" w:afterAutospacing="0"/>
              <w:ind w:left="0" w:right="0"/>
              <w:rPr>
                <w:rFonts w:hint="default"/>
              </w:rPr>
            </w:pPr>
            <w:r>
              <w:rPr>
                <w:rFonts w:hint="default"/>
              </w:rPr>
              <w:t>①生产用水</w:t>
            </w:r>
          </w:p>
          <w:p w14:paraId="29417E67">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a.损耗用水</w:t>
            </w:r>
          </w:p>
          <w:p w14:paraId="4447DCE6">
            <w:pPr>
              <w:keepNext w:val="0"/>
              <w:keepLines w:val="0"/>
              <w:suppressLineNumbers w:val="0"/>
              <w:bidi w:val="0"/>
              <w:spacing w:before="0" w:beforeAutospacing="0" w:after="0" w:afterAutospacing="0"/>
              <w:ind w:left="0" w:right="0"/>
              <w:rPr>
                <w:rFonts w:hint="eastAsia"/>
              </w:rPr>
            </w:pPr>
            <w:r>
              <w:rPr>
                <w:rFonts w:hint="eastAsia"/>
              </w:rPr>
              <w:t>项目喷漆工序</w:t>
            </w:r>
            <w:r>
              <w:rPr>
                <w:rFonts w:hint="eastAsia"/>
                <w:lang w:val="en-US" w:eastAsia="zh-CN"/>
              </w:rPr>
              <w:t>计划建设9台规格相同的水帘柜，每条生产线配置3台水帘柜</w:t>
            </w:r>
            <w:r>
              <w:rPr>
                <w:rFonts w:hint="eastAsia"/>
              </w:rPr>
              <w:t>，喷漆水帘柜在喷漆过程中有少量有机物进入水中形成了含漆废水。根据建设单位提供资料，</w:t>
            </w:r>
            <w:r>
              <w:rPr>
                <w:rFonts w:hint="eastAsia"/>
                <w:lang w:val="en-US" w:eastAsia="zh-CN"/>
              </w:rPr>
              <w:t>每台</w:t>
            </w:r>
            <w:r>
              <w:rPr>
                <w:rFonts w:hint="eastAsia"/>
              </w:rPr>
              <w:t>水帘柜循环水池的储水量约为</w:t>
            </w:r>
            <w:r>
              <w:rPr>
                <w:rFonts w:hint="eastAsia"/>
                <w:lang w:val="en-US" w:eastAsia="zh-CN"/>
              </w:rPr>
              <w:t>0.15t，故9台</w:t>
            </w:r>
            <w:r>
              <w:rPr>
                <w:rFonts w:hint="eastAsia"/>
              </w:rPr>
              <w:t>水帘柜循环水池的</w:t>
            </w:r>
            <w:r>
              <w:rPr>
                <w:rFonts w:hint="eastAsia"/>
                <w:lang w:val="en-US" w:eastAsia="zh-CN"/>
              </w:rPr>
              <w:t>合计</w:t>
            </w:r>
            <w:r>
              <w:rPr>
                <w:rFonts w:hint="eastAsia"/>
              </w:rPr>
              <w:t>储水量约为</w:t>
            </w:r>
            <w:r>
              <w:rPr>
                <w:rFonts w:hint="eastAsia"/>
                <w:lang w:val="en-US" w:eastAsia="zh-CN"/>
              </w:rPr>
              <w:t>1.35t</w:t>
            </w:r>
            <w:r>
              <w:rPr>
                <w:rFonts w:hint="eastAsia"/>
              </w:rPr>
              <w:t>。建设单位拟将该喷漆水帘柜的水循环使用，该废水由于蒸发等损耗需定期补充新鲜水，喷漆水帘柜循环水在使用过程中损耗水量按用水量的10%计算，</w:t>
            </w:r>
            <w:r>
              <w:rPr>
                <w:rFonts w:hint="eastAsia"/>
                <w:lang w:val="en-US" w:eastAsia="zh-CN"/>
              </w:rPr>
              <w:t>1台水帘柜的损耗水量为0.135t/d（4.5t/a），</w:t>
            </w:r>
            <w:r>
              <w:rPr>
                <w:rFonts w:hint="eastAsia"/>
              </w:rPr>
              <w:t>则</w:t>
            </w:r>
            <w:r>
              <w:rPr>
                <w:rFonts w:hint="eastAsia"/>
                <w:lang w:val="en-US" w:eastAsia="zh-CN"/>
              </w:rPr>
              <w:t>9台水帘柜合计</w:t>
            </w:r>
            <w:r>
              <w:rPr>
                <w:rFonts w:hint="eastAsia"/>
              </w:rPr>
              <w:t>损耗水量为</w:t>
            </w:r>
            <w:r>
              <w:rPr>
                <w:rFonts w:hint="eastAsia"/>
                <w:lang w:val="en-US" w:eastAsia="zh-CN"/>
              </w:rPr>
              <w:t>1.35</w:t>
            </w:r>
            <w:r>
              <w:rPr>
                <w:rFonts w:hint="eastAsia"/>
              </w:rPr>
              <w:t>t/d（</w:t>
            </w:r>
            <w:r>
              <w:rPr>
                <w:rFonts w:hint="eastAsia"/>
                <w:lang w:val="en-US" w:eastAsia="zh-CN"/>
              </w:rPr>
              <w:t>40.5</w:t>
            </w:r>
            <w:r>
              <w:rPr>
                <w:rFonts w:hint="eastAsia"/>
              </w:rPr>
              <w:t>t/a）。</w:t>
            </w:r>
          </w:p>
          <w:p w14:paraId="21C19E3C">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b.更换用水</w:t>
            </w:r>
          </w:p>
          <w:p w14:paraId="4DA9D6FC">
            <w:pPr>
              <w:keepNext w:val="0"/>
              <w:keepLines w:val="0"/>
              <w:suppressLineNumbers w:val="0"/>
              <w:bidi w:val="0"/>
              <w:spacing w:before="0" w:beforeAutospacing="0" w:after="0" w:afterAutospacing="0"/>
              <w:ind w:left="0" w:right="0"/>
              <w:rPr>
                <w:rFonts w:hint="default"/>
                <w:lang w:eastAsia="zh-CN"/>
              </w:rPr>
            </w:pPr>
            <w:r>
              <w:rPr>
                <w:rFonts w:hint="eastAsia"/>
              </w:rPr>
              <w:t>因循环使用时间较长后水质变浑浊，废水多次循环使用导致盐分增加，需定期对喷漆水帘柜循环水进行更换，项目喷漆水帘柜用水计划</w:t>
            </w:r>
            <w:r>
              <w:rPr>
                <w:rFonts w:hint="eastAsia"/>
                <w:lang w:val="en-US" w:eastAsia="zh-CN"/>
              </w:rPr>
              <w:t>一年</w:t>
            </w:r>
            <w:r>
              <w:rPr>
                <w:rFonts w:hint="eastAsia"/>
              </w:rPr>
              <w:t>更换一次，每次喷漆水帘柜废水全部更换，更换废水产生量为</w:t>
            </w:r>
            <w:r>
              <w:rPr>
                <w:rFonts w:hint="eastAsia"/>
                <w:lang w:val="en-US" w:eastAsia="zh-CN"/>
              </w:rPr>
              <w:t>1.35</w:t>
            </w:r>
            <w:r>
              <w:rPr>
                <w:rFonts w:hint="eastAsia"/>
              </w:rPr>
              <w:t>t/a。</w:t>
            </w:r>
            <w:r>
              <w:rPr>
                <w:rFonts w:hint="eastAsia"/>
                <w:lang w:val="en-US" w:eastAsia="zh-CN"/>
              </w:rPr>
              <w:t>定期</w:t>
            </w:r>
            <w:r>
              <w:rPr>
                <w:rFonts w:hint="eastAsia"/>
              </w:rPr>
              <w:t>更换的</w:t>
            </w:r>
            <w:r>
              <w:rPr>
                <w:rFonts w:hint="eastAsia"/>
                <w:lang w:val="en-US" w:eastAsia="zh-CN"/>
              </w:rPr>
              <w:t>水帘柜废水集中收集，</w:t>
            </w:r>
            <w:r>
              <w:rPr>
                <w:rFonts w:hint="eastAsia"/>
              </w:rPr>
              <w:t>当作危险废物委托有资质单位统一处置</w:t>
            </w:r>
            <w:r>
              <w:rPr>
                <w:rFonts w:hint="eastAsia"/>
                <w:lang w:eastAsia="zh-CN"/>
              </w:rPr>
              <w:t>。</w:t>
            </w:r>
          </w:p>
          <w:p w14:paraId="0E93174D">
            <w:pPr>
              <w:keepNext w:val="0"/>
              <w:keepLines w:val="0"/>
              <w:suppressLineNumbers w:val="0"/>
              <w:bidi w:val="0"/>
              <w:spacing w:before="0" w:beforeAutospacing="0" w:after="0" w:afterAutospacing="0"/>
              <w:ind w:left="0" w:right="0"/>
              <w:rPr>
                <w:rFonts w:hint="default"/>
                <w:lang w:val="en-US" w:eastAsia="zh-CN"/>
              </w:rPr>
            </w:pPr>
            <w:r>
              <w:rPr>
                <w:rFonts w:hint="default"/>
              </w:rPr>
              <w:t>②</w:t>
            </w:r>
            <w:r>
              <w:rPr>
                <w:rFonts w:hint="default"/>
                <w:lang w:val="en-US" w:eastAsia="zh-CN"/>
              </w:rPr>
              <w:t>生活污水</w:t>
            </w:r>
          </w:p>
          <w:p w14:paraId="6A638E08">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本项目劳动定员13人，均不在厂内食宿，根据《建筑给水排水设计规范》（GB50015-2019），项目不住宿员工用水量按50L/人·d计算，年工作300天，则生活用水量为0.65t/d（195t/a）。根据《室外排水设计规范》（GB 50014-2006）（2016年版），居民生活污水定额可按用水定额的80%计算（其余20%蒸发损耗等），则生活污水排放量为0.52</w:t>
            </w:r>
            <w:r>
              <w:rPr>
                <w:rFonts w:hint="default"/>
                <w:lang w:val="en-US" w:eastAsia="zh-CN"/>
              </w:rPr>
              <w:t>t/d（</w:t>
            </w:r>
            <w:r>
              <w:rPr>
                <w:rFonts w:hint="eastAsia"/>
                <w:lang w:val="en-US" w:eastAsia="zh-CN"/>
              </w:rPr>
              <w:t>156</w:t>
            </w:r>
            <w:r>
              <w:rPr>
                <w:rFonts w:hint="default"/>
                <w:lang w:val="en-US" w:eastAsia="zh-CN"/>
              </w:rPr>
              <w:t>t/a）。</w:t>
            </w:r>
          </w:p>
          <w:p w14:paraId="2EE160E8">
            <w:pPr>
              <w:keepNext w:val="0"/>
              <w:keepLines w:val="0"/>
              <w:suppressLineNumbers w:val="0"/>
              <w:bidi w:val="0"/>
              <w:spacing w:before="0" w:beforeAutospacing="0" w:after="0" w:afterAutospacing="0"/>
              <w:ind w:left="0" w:right="0"/>
              <w:rPr>
                <w:rFonts w:hint="default"/>
              </w:rPr>
            </w:pPr>
            <w:r>
              <w:rPr>
                <w:rFonts w:hint="default"/>
              </w:rPr>
              <w:t>项目水平衡图见图</w:t>
            </w:r>
            <w:r>
              <w:rPr>
                <w:rFonts w:hint="default"/>
                <w:lang w:val="en-US" w:eastAsia="zh-CN"/>
              </w:rPr>
              <w:t>2.</w:t>
            </w:r>
            <w:r>
              <w:rPr>
                <w:rFonts w:hint="eastAsia"/>
                <w:lang w:val="en-US" w:eastAsia="zh-CN"/>
              </w:rPr>
              <w:t>6-</w:t>
            </w:r>
            <w:r>
              <w:rPr>
                <w:rFonts w:hint="default"/>
                <w:lang w:val="en-US" w:eastAsia="zh-CN"/>
              </w:rPr>
              <w:t>1</w:t>
            </w:r>
            <w:r>
              <w:rPr>
                <w:rFonts w:hint="default"/>
              </w:rPr>
              <w:t>。</w:t>
            </w:r>
          </w:p>
          <w:p w14:paraId="4152E689">
            <w:pPr>
              <w:pStyle w:val="15"/>
              <w:keepNext w:val="0"/>
              <w:keepLines w:val="0"/>
              <w:suppressLineNumbers w:val="0"/>
              <w:bidi w:val="0"/>
              <w:spacing w:before="0" w:beforeAutospacing="0" w:after="0" w:afterAutospacing="0"/>
              <w:ind w:left="0" w:right="0"/>
              <w:jc w:val="center"/>
              <w:rPr>
                <w:rFonts w:hint="default"/>
              </w:rPr>
            </w:pPr>
            <w:r>
              <w:rPr>
                <w:rFonts w:hint="default"/>
                <w:lang w:val="en-US" w:eastAsia="zh-CN"/>
              </w:rPr>
              <w:drawing>
                <wp:inline distT="0" distB="0" distL="114300" distR="114300">
                  <wp:extent cx="4697095" cy="2304415"/>
                  <wp:effectExtent l="0" t="0" r="8255" b="635"/>
                  <wp:docPr id="79" name="F360BE8B-6686-4F3D-AEAF-501FE73E4058-1" descr="C:/Users/Administrator/AppData/Local/Temp/绘图1(6).png绘图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F360BE8B-6686-4F3D-AEAF-501FE73E4058-1" descr="C:/Users/Administrator/AppData/Local/Temp/绘图1(6).png绘图1(6)"/>
                          <pic:cNvPicPr>
                            <a:picLocks noChangeAspect="1"/>
                          </pic:cNvPicPr>
                        </pic:nvPicPr>
                        <pic:blipFill>
                          <a:blip r:embed="rId13"/>
                          <a:stretch>
                            <a:fillRect/>
                          </a:stretch>
                        </pic:blipFill>
                        <pic:spPr>
                          <a:xfrm>
                            <a:off x="0" y="0"/>
                            <a:ext cx="4696968" cy="2304288"/>
                          </a:xfrm>
                          <a:prstGeom prst="rect">
                            <a:avLst/>
                          </a:prstGeom>
                        </pic:spPr>
                      </pic:pic>
                    </a:graphicData>
                  </a:graphic>
                </wp:inline>
              </w:drawing>
            </w:r>
          </w:p>
          <w:p w14:paraId="5B34C965">
            <w:pPr>
              <w:pStyle w:val="39"/>
              <w:keepNext w:val="0"/>
              <w:keepLines w:val="0"/>
              <w:suppressLineNumbers w:val="0"/>
              <w:bidi w:val="0"/>
              <w:spacing w:before="0" w:beforeAutospacing="0" w:after="0" w:afterAutospacing="0"/>
              <w:ind w:left="0" w:right="0"/>
              <w:rPr>
                <w:rFonts w:hint="eastAsia"/>
                <w:lang w:eastAsia="zh-CN"/>
              </w:rPr>
            </w:pPr>
            <w:r>
              <w:rPr>
                <w:rFonts w:hint="default"/>
              </w:rPr>
              <w:t>图</w:t>
            </w:r>
            <w:r>
              <w:rPr>
                <w:rFonts w:hint="default"/>
                <w:lang w:val="en-US" w:eastAsia="zh-CN"/>
              </w:rPr>
              <w:t>2.</w:t>
            </w:r>
            <w:r>
              <w:rPr>
                <w:rFonts w:hint="eastAsia"/>
                <w:lang w:val="en-US" w:eastAsia="zh-CN"/>
              </w:rPr>
              <w:t>3</w:t>
            </w:r>
            <w:r>
              <w:rPr>
                <w:rFonts w:hint="default"/>
                <w:lang w:val="en-US" w:eastAsia="zh-CN"/>
              </w:rPr>
              <w:t>-1  项目</w:t>
            </w:r>
            <w:r>
              <w:rPr>
                <w:rFonts w:hint="default"/>
              </w:rPr>
              <w:t>水平衡图</w:t>
            </w:r>
            <w:r>
              <w:rPr>
                <w:rFonts w:hint="eastAsia"/>
                <w:lang w:eastAsia="zh-CN"/>
              </w:rPr>
              <w:t>（</w:t>
            </w:r>
            <w:r>
              <w:rPr>
                <w:rFonts w:hint="eastAsia"/>
                <w:lang w:val="en-US" w:eastAsia="zh-CN"/>
              </w:rPr>
              <w:t>t/a</w:t>
            </w:r>
            <w:r>
              <w:rPr>
                <w:rFonts w:hint="eastAsia"/>
                <w:lang w:eastAsia="zh-CN"/>
              </w:rPr>
              <w:t>）</w:t>
            </w:r>
          </w:p>
          <w:p w14:paraId="51B71D07">
            <w:pPr>
              <w:pStyle w:val="4"/>
              <w:suppressLineNumbers w:val="0"/>
              <w:bidi w:val="0"/>
              <w:spacing w:before="0" w:beforeAutospacing="0" w:after="0" w:afterAutospacing="0"/>
              <w:ind w:left="0" w:right="0"/>
              <w:rPr>
                <w:rFonts w:hint="eastAsia"/>
                <w:lang w:val="en-US" w:eastAsia="zh-CN"/>
              </w:rPr>
            </w:pPr>
            <w:r>
              <w:rPr>
                <w:rFonts w:hint="eastAsia"/>
                <w:lang w:val="en-US" w:eastAsia="zh-CN"/>
              </w:rPr>
              <w:t xml:space="preserve">平面布置合理性分析 </w:t>
            </w:r>
          </w:p>
          <w:p w14:paraId="7CA2042E">
            <w:pPr>
              <w:keepNext w:val="0"/>
              <w:keepLines w:val="0"/>
              <w:suppressLineNumbers w:val="0"/>
              <w:bidi w:val="0"/>
              <w:spacing w:before="0" w:beforeAutospacing="0" w:after="0" w:afterAutospacing="0"/>
              <w:ind w:left="0" w:right="0"/>
              <w:rPr>
                <w:rFonts w:hint="eastAsia"/>
              </w:rPr>
            </w:pPr>
            <w:r>
              <w:rPr>
                <w:rFonts w:hint="eastAsia"/>
              </w:rPr>
              <w:t>项目位于福清融侨经济技术开发区（租赁福清洪添科技有限公司车间2第3层），主要建筑面积</w:t>
            </w:r>
            <w:r>
              <w:rPr>
                <w:rFonts w:hint="eastAsia"/>
                <w:lang w:val="en-US" w:eastAsia="zh-CN"/>
              </w:rPr>
              <w:t>2212.46m</w:t>
            </w:r>
            <w:r>
              <w:rPr>
                <w:rFonts w:hint="eastAsia"/>
                <w:vertAlign w:val="superscript"/>
                <w:lang w:val="en-US" w:eastAsia="zh-CN"/>
              </w:rPr>
              <w:t>2</w:t>
            </w:r>
            <w:r>
              <w:rPr>
                <w:rFonts w:hint="eastAsia"/>
              </w:rPr>
              <w:t>。厂房内主要包括</w:t>
            </w:r>
            <w:r>
              <w:rPr>
                <w:rFonts w:hint="eastAsia"/>
                <w:lang w:val="en-US" w:eastAsia="zh-CN"/>
              </w:rPr>
              <w:t>生产区（投料区、检验区、打磨房、喷漆烘干房、加烤区）</w:t>
            </w:r>
            <w:r>
              <w:rPr>
                <w:rFonts w:hint="eastAsia"/>
                <w:lang w:eastAsia="zh-CN"/>
              </w:rPr>
              <w:t>、</w:t>
            </w:r>
            <w:r>
              <w:rPr>
                <w:rFonts w:hint="eastAsia"/>
              </w:rPr>
              <w:t>原料区</w:t>
            </w:r>
            <w:r>
              <w:rPr>
                <w:rFonts w:hint="eastAsia"/>
                <w:highlight w:val="none"/>
              </w:rPr>
              <w:t>和成品区，生产区位于车间</w:t>
            </w:r>
            <w:r>
              <w:rPr>
                <w:rFonts w:hint="eastAsia"/>
                <w:highlight w:val="none"/>
                <w:lang w:val="en-US" w:eastAsia="zh-CN"/>
              </w:rPr>
              <w:t>西侧</w:t>
            </w:r>
            <w:r>
              <w:rPr>
                <w:rFonts w:hint="eastAsia"/>
                <w:highlight w:val="none"/>
              </w:rPr>
              <w:t>，原料区、成品区位于车间</w:t>
            </w:r>
            <w:r>
              <w:rPr>
                <w:rFonts w:hint="eastAsia"/>
                <w:highlight w:val="none"/>
                <w:lang w:val="en-US" w:eastAsia="zh-CN"/>
              </w:rPr>
              <w:t>东</w:t>
            </w:r>
            <w:r>
              <w:rPr>
                <w:rFonts w:hint="eastAsia"/>
                <w:highlight w:val="none"/>
              </w:rPr>
              <w:t>侧。</w:t>
            </w:r>
          </w:p>
          <w:p w14:paraId="5550CBBB">
            <w:pPr>
              <w:keepNext w:val="0"/>
              <w:keepLines w:val="0"/>
              <w:suppressLineNumbers w:val="0"/>
              <w:bidi w:val="0"/>
              <w:spacing w:before="0" w:beforeAutospacing="0" w:after="0" w:afterAutospacing="0"/>
              <w:ind w:left="0" w:right="0"/>
              <w:rPr>
                <w:rFonts w:hint="eastAsia"/>
                <w:color w:val="auto"/>
              </w:rPr>
            </w:pPr>
            <w:r>
              <w:rPr>
                <w:rFonts w:hint="eastAsia"/>
              </w:rPr>
              <w:t>此平面布置方案功能划分相对清晰，各</w:t>
            </w:r>
            <w:r>
              <w:rPr>
                <w:rFonts w:hint="eastAsia"/>
                <w:lang w:val="en-US" w:eastAsia="zh-CN"/>
              </w:rPr>
              <w:t>区域</w:t>
            </w:r>
            <w:r>
              <w:rPr>
                <w:rFonts w:hint="eastAsia"/>
              </w:rPr>
              <w:t>之间物流顺畅，运输距离较短，有利于生产布置</w:t>
            </w:r>
            <w:r>
              <w:rPr>
                <w:rFonts w:hint="eastAsia"/>
                <w:lang w:eastAsia="zh-CN"/>
              </w:rPr>
              <w:t>。</w:t>
            </w:r>
            <w:r>
              <w:rPr>
                <w:rFonts w:hint="eastAsia"/>
              </w:rPr>
              <w:t>在满足生产条件要求的前提下，充分利用厂区空间进行设备布置，布局紧凑，生产流程比较流畅，布局基本合理，物料流向顺畅，符合防火、安全、卫生等有关规范，总体布局功能分区明确，便于生产的连续性，项目平面布置基本合理</w:t>
            </w:r>
            <w:r>
              <w:rPr>
                <w:rFonts w:hint="eastAsia"/>
                <w:lang w:eastAsia="zh-CN"/>
              </w:rPr>
              <w:t>，</w:t>
            </w:r>
            <w:r>
              <w:rPr>
                <w:rFonts w:hint="eastAsia"/>
                <w:lang w:val="en-US" w:eastAsia="zh-CN"/>
              </w:rPr>
              <w:t>项目车间</w:t>
            </w:r>
            <w:r>
              <w:rPr>
                <w:rFonts w:hint="eastAsia"/>
              </w:rPr>
              <w:t>平面布置图见</w:t>
            </w:r>
            <w:r>
              <w:rPr>
                <w:rFonts w:hint="eastAsia"/>
                <w:lang w:eastAsia="zh-CN"/>
              </w:rPr>
              <w:fldChar w:fldCharType="begin"/>
            </w:r>
            <w:r>
              <w:rPr>
                <w:rFonts w:hint="eastAsia"/>
                <w:lang w:eastAsia="zh-CN"/>
              </w:rPr>
              <w:instrText xml:space="preserve"> REF _Ref22851 \h </w:instrText>
            </w:r>
            <w:r>
              <w:rPr>
                <w:rFonts w:hint="eastAsia"/>
                <w:lang w:eastAsia="zh-CN"/>
              </w:rPr>
              <w:fldChar w:fldCharType="separate"/>
            </w:r>
            <w:r>
              <w:rPr>
                <w:rFonts w:hint="eastAsia"/>
              </w:rPr>
              <w:t>附图 4</w:t>
            </w:r>
            <w:r>
              <w:rPr>
                <w:rFonts w:hint="eastAsia"/>
                <w:lang w:eastAsia="zh-CN"/>
              </w:rPr>
              <w:fldChar w:fldCharType="end"/>
            </w:r>
            <w:r>
              <w:rPr>
                <w:rFonts w:hint="eastAsia"/>
              </w:rPr>
              <w:t>。</w:t>
            </w:r>
          </w:p>
        </w:tc>
      </w:tr>
      <w:tr w14:paraId="779198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23" w:type="dxa"/>
            <w:noWrap w:val="0"/>
            <w:vAlign w:val="center"/>
          </w:tcPr>
          <w:p w14:paraId="57F48184">
            <w:pPr>
              <w:pStyle w:val="40"/>
              <w:keepNext w:val="0"/>
              <w:keepLines w:val="0"/>
              <w:suppressLineNumbers w:val="0"/>
              <w:bidi w:val="0"/>
              <w:spacing w:before="0" w:beforeAutospacing="0" w:after="0" w:afterAutospacing="0"/>
              <w:ind w:left="0" w:right="0"/>
              <w:rPr>
                <w:rFonts w:hint="eastAsia"/>
              </w:rPr>
            </w:pPr>
            <w:r>
              <w:rPr>
                <w:rFonts w:hint="eastAsia"/>
              </w:rPr>
              <w:t>工艺流程和产排污环节</w:t>
            </w:r>
          </w:p>
        </w:tc>
        <w:tc>
          <w:tcPr>
            <w:tcW w:w="8161" w:type="dxa"/>
            <w:noWrap w:val="0"/>
            <w:vAlign w:val="top"/>
          </w:tcPr>
          <w:p w14:paraId="5947A07A">
            <w:pPr>
              <w:pStyle w:val="3"/>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生产工艺流程及产污环节</w:t>
            </w:r>
          </w:p>
          <w:p w14:paraId="0969D101">
            <w:pPr>
              <w:pStyle w:val="4"/>
              <w:suppressLineNumbers w:val="0"/>
              <w:bidi w:val="0"/>
              <w:spacing w:before="0" w:beforeAutospacing="0" w:after="0" w:afterAutospacing="0"/>
              <w:ind w:left="0" w:right="0"/>
              <w:rPr>
                <w:rFonts w:hint="eastAsia"/>
                <w:lang w:eastAsia="zh-CN"/>
              </w:rPr>
            </w:pPr>
            <w:r>
              <w:rPr>
                <w:rFonts w:hint="eastAsia"/>
                <w:lang w:val="en-US" w:eastAsia="zh-CN"/>
              </w:rPr>
              <w:t>工艺流程及工艺介绍</w:t>
            </w:r>
          </w:p>
          <w:p w14:paraId="3B22A9FE">
            <w:pPr>
              <w:keepNext w:val="0"/>
              <w:keepLines w:val="0"/>
              <w:suppressLineNumbers w:val="0"/>
              <w:bidi w:val="0"/>
              <w:spacing w:before="0" w:beforeAutospacing="0" w:after="0" w:afterAutospacing="0"/>
              <w:ind w:left="0" w:right="0"/>
              <w:rPr>
                <w:rFonts w:hint="eastAsia"/>
                <w:lang w:eastAsia="zh-CN"/>
              </w:rPr>
            </w:pPr>
            <w:r>
              <w:rPr>
                <w:rFonts w:hint="eastAsia"/>
              </w:rPr>
              <w:t>本项目设置</w:t>
            </w:r>
            <w:r>
              <w:rPr>
                <w:rFonts w:hint="eastAsia"/>
                <w:lang w:val="en-US" w:eastAsia="zh-CN"/>
              </w:rPr>
              <w:t>3</w:t>
            </w:r>
            <w:r>
              <w:rPr>
                <w:rFonts w:hint="eastAsia"/>
              </w:rPr>
              <w:t>条生产线，配套废气处理系统。</w:t>
            </w:r>
          </w:p>
          <w:p w14:paraId="37772156">
            <w:pPr>
              <w:keepNext w:val="0"/>
              <w:keepLines w:val="0"/>
              <w:suppressLineNumbers w:val="0"/>
              <w:spacing w:before="0" w:beforeAutospacing="0" w:after="0" w:afterAutospacing="0"/>
              <w:ind w:left="0" w:right="0"/>
              <w:rPr>
                <w:rFonts w:hint="eastAsia"/>
                <w:color w:val="auto"/>
              </w:rPr>
            </w:pPr>
            <w:r>
              <w:rPr>
                <w:rFonts w:hint="eastAsia"/>
                <w:color w:val="auto"/>
                <w:lang w:eastAsia="zh-CN"/>
              </w:rPr>
              <w:t>本</w:t>
            </w:r>
            <w:r>
              <w:rPr>
                <w:rFonts w:hint="eastAsia"/>
                <w:color w:val="auto"/>
              </w:rPr>
              <w:t>项目生产工艺流程及产污环节图见图2</w:t>
            </w:r>
            <w:r>
              <w:rPr>
                <w:rFonts w:hint="eastAsia"/>
                <w:color w:val="auto"/>
                <w:lang w:val="en-US" w:eastAsia="zh-CN"/>
              </w:rPr>
              <w:t>.4</w:t>
            </w:r>
            <w:r>
              <w:rPr>
                <w:rFonts w:hint="eastAsia"/>
                <w:color w:val="auto"/>
              </w:rPr>
              <w:t>-1：</w:t>
            </w:r>
          </w:p>
          <w:p w14:paraId="3BB4965E">
            <w:pPr>
              <w:pStyle w:val="15"/>
              <w:keepNext w:val="0"/>
              <w:keepLines w:val="0"/>
              <w:suppressLineNumbers w:val="0"/>
              <w:bidi w:val="0"/>
              <w:spacing w:before="0" w:beforeAutospacing="0" w:after="0" w:afterAutospacing="0"/>
              <w:ind w:left="0" w:right="0"/>
              <w:jc w:val="center"/>
              <w:rPr>
                <w:rFonts w:hint="eastAsia" w:eastAsia="宋体"/>
                <w:lang w:eastAsia="zh-CN"/>
              </w:rPr>
            </w:pPr>
            <w:r>
              <w:rPr>
                <w:rFonts w:hint="eastAsia"/>
                <w:lang w:eastAsia="zh-CN"/>
              </w:rPr>
              <w:drawing>
                <wp:inline distT="0" distB="0" distL="114300" distR="114300">
                  <wp:extent cx="4724400" cy="4742815"/>
                  <wp:effectExtent l="0" t="0" r="0" b="635"/>
                  <wp:docPr id="18" name="F360BE8B-6686-4F3D-AEAF-501FE73E4058-2" descr="C:/Users/Administrator/AppData/Local/Temp/绘图1(9).png绘图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360BE8B-6686-4F3D-AEAF-501FE73E4058-2" descr="C:/Users/Administrator/AppData/Local/Temp/绘图1(9).png绘图1(9)"/>
                          <pic:cNvPicPr>
                            <a:picLocks noChangeAspect="1"/>
                          </pic:cNvPicPr>
                        </pic:nvPicPr>
                        <pic:blipFill>
                          <a:blip r:embed="rId14"/>
                          <a:stretch>
                            <a:fillRect/>
                          </a:stretch>
                        </pic:blipFill>
                        <pic:spPr>
                          <a:xfrm>
                            <a:off x="0" y="0"/>
                            <a:ext cx="4724400" cy="4742688"/>
                          </a:xfrm>
                          <a:prstGeom prst="rect">
                            <a:avLst/>
                          </a:prstGeom>
                        </pic:spPr>
                      </pic:pic>
                    </a:graphicData>
                  </a:graphic>
                </wp:inline>
              </w:drawing>
            </w:r>
          </w:p>
          <w:p w14:paraId="480F1126">
            <w:pPr>
              <w:pStyle w:val="39"/>
              <w:keepNext w:val="0"/>
              <w:keepLines w:val="0"/>
              <w:suppressLineNumbers w:val="0"/>
              <w:bidi w:val="0"/>
              <w:spacing w:before="0" w:beforeAutospacing="0" w:after="0" w:afterAutospacing="0"/>
              <w:ind w:left="0" w:right="0"/>
              <w:rPr>
                <w:rFonts w:hint="eastAsia"/>
                <w:color w:val="auto"/>
              </w:rPr>
            </w:pPr>
            <w:r>
              <w:rPr>
                <w:rFonts w:hint="eastAsia"/>
              </w:rPr>
              <w:t>图2</w:t>
            </w:r>
            <w:r>
              <w:rPr>
                <w:rFonts w:hint="eastAsia"/>
                <w:lang w:val="en-US" w:eastAsia="zh-CN"/>
              </w:rPr>
              <w:t>.4</w:t>
            </w:r>
            <w:r>
              <w:rPr>
                <w:rFonts w:hint="eastAsia"/>
              </w:rPr>
              <w:t xml:space="preserve">-1  </w:t>
            </w:r>
            <w:r>
              <w:rPr>
                <w:rFonts w:hint="eastAsia"/>
                <w:lang w:val="en-US" w:eastAsia="zh-CN"/>
              </w:rPr>
              <w:t>本项目</w:t>
            </w:r>
            <w:r>
              <w:rPr>
                <w:rFonts w:hint="eastAsia"/>
              </w:rPr>
              <w:t>工艺流程及产污环节示意图</w:t>
            </w:r>
          </w:p>
          <w:p w14:paraId="5431BCB0">
            <w:pPr>
              <w:keepNext w:val="0"/>
              <w:keepLines w:val="0"/>
              <w:suppressLineNumbers w:val="0"/>
              <w:spacing w:before="0" w:beforeAutospacing="0" w:after="0" w:afterAutospacing="0" w:line="360" w:lineRule="auto"/>
              <w:ind w:left="0" w:right="0" w:firstLine="482" w:firstLineChars="200"/>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生产线1#</w:t>
            </w:r>
            <w:r>
              <w:rPr>
                <w:rFonts w:hint="eastAsia" w:cs="Times New Roman"/>
                <w:b/>
                <w:bCs/>
                <w:color w:val="auto"/>
                <w:kern w:val="0"/>
                <w:sz w:val="24"/>
                <w:szCs w:val="24"/>
                <w:lang w:val="en-US" w:eastAsia="zh-CN"/>
              </w:rPr>
              <w:t>、生产线2#、生产线3#</w:t>
            </w:r>
            <w:r>
              <w:rPr>
                <w:rFonts w:hint="eastAsia" w:ascii="Times New Roman" w:hAnsi="Times New Roman" w:eastAsia="宋体" w:cs="Times New Roman"/>
                <w:b/>
                <w:bCs/>
                <w:color w:val="auto"/>
                <w:kern w:val="0"/>
                <w:sz w:val="24"/>
                <w:szCs w:val="24"/>
                <w:lang w:val="en-US" w:eastAsia="zh-CN"/>
              </w:rPr>
              <w:t>工艺流程简述：</w:t>
            </w:r>
          </w:p>
          <w:p w14:paraId="1AB22181">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三条生产线的生产工艺，产污环节以及环保设施相同。</w:t>
            </w:r>
          </w:p>
          <w:p w14:paraId="2D613EDE">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打磨：利用打磨机对压铸铝外表面不平整处进行打磨处理，使之变得平整、光滑，产生G1打磨废气。</w:t>
            </w:r>
          </w:p>
          <w:p w14:paraId="6DD20FAE">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喷漆、烘干</w:t>
            </w:r>
            <w:r>
              <w:rPr>
                <w:rFonts w:hint="eastAsia"/>
                <w:lang w:eastAsia="zh-CN"/>
              </w:rPr>
              <w:t>：</w:t>
            </w:r>
            <w:r>
              <w:rPr>
                <w:rFonts w:hint="eastAsia"/>
                <w:lang w:val="en-US" w:eastAsia="zh-CN"/>
              </w:rPr>
              <w:t>本项目根据产品的类型及用途选择不同的漆，在水帘喷漆台上对塑胶壳、钣金或经打磨后的压铸铝进行喷漆，然后进入喷漆平板线自带的电烘干设备（隧道炉）内烘干固化，再送入电面包炉内加烤，产生G2喷漆、烘干废气、S1水帘柜废液、S2废漆渣、S3废水性漆桶、S4废油性漆桶。根据涂料成分报告及VOCs检测报告（详见</w:t>
            </w:r>
            <w:r>
              <w:rPr>
                <w:rFonts w:hint="eastAsia"/>
                <w:lang w:val="en-US" w:eastAsia="zh-CN"/>
              </w:rPr>
              <w:fldChar w:fldCharType="begin"/>
            </w:r>
            <w:r>
              <w:rPr>
                <w:rFonts w:hint="eastAsia"/>
                <w:lang w:val="en-US" w:eastAsia="zh-CN"/>
              </w:rPr>
              <w:instrText xml:space="preserve"> REF _Ref22352 \h </w:instrText>
            </w:r>
            <w:r>
              <w:rPr>
                <w:rFonts w:hint="eastAsia"/>
                <w:lang w:val="en-US" w:eastAsia="zh-CN"/>
              </w:rPr>
              <w:fldChar w:fldCharType="separate"/>
            </w:r>
            <w:r>
              <w:rPr>
                <w:rFonts w:hint="eastAsia"/>
              </w:rPr>
              <w:t>附件 8</w:t>
            </w:r>
            <w:r>
              <w:rPr>
                <w:rFonts w:hint="eastAsia"/>
                <w:lang w:val="en-US" w:eastAsia="zh-CN"/>
              </w:rPr>
              <w:fldChar w:fldCharType="end"/>
            </w:r>
            <w:r>
              <w:rPr>
                <w:rFonts w:hint="eastAsia"/>
                <w:lang w:val="en-US" w:eastAsia="zh-CN"/>
              </w:rPr>
              <w:t>~</w:t>
            </w:r>
            <w:r>
              <w:rPr>
                <w:rFonts w:hint="eastAsia"/>
                <w:lang w:val="en-US" w:eastAsia="zh-CN"/>
              </w:rPr>
              <w:fldChar w:fldCharType="begin"/>
            </w:r>
            <w:r>
              <w:rPr>
                <w:rFonts w:hint="eastAsia"/>
                <w:lang w:val="en-US" w:eastAsia="zh-CN"/>
              </w:rPr>
              <w:instrText xml:space="preserve"> REF _Ref22378 \h </w:instrText>
            </w:r>
            <w:r>
              <w:rPr>
                <w:rFonts w:hint="eastAsia"/>
                <w:lang w:val="en-US" w:eastAsia="zh-CN"/>
              </w:rPr>
              <w:fldChar w:fldCharType="separate"/>
            </w:r>
            <w:r>
              <w:rPr>
                <w:rFonts w:hint="eastAsia"/>
              </w:rPr>
              <w:t>附件 14</w:t>
            </w:r>
            <w:r>
              <w:rPr>
                <w:rFonts w:hint="eastAsia"/>
                <w:lang w:val="en-US" w:eastAsia="zh-CN"/>
              </w:rPr>
              <w:fldChar w:fldCharType="end"/>
            </w:r>
            <w:r>
              <w:rPr>
                <w:rFonts w:hint="eastAsia"/>
                <w:lang w:val="en-US" w:eastAsia="zh-CN"/>
              </w:rPr>
              <w:t>），未含有苯、甲苯和二甲苯等特征污染物，因此，以非甲烷总烃进行表征。</w:t>
            </w:r>
          </w:p>
          <w:p w14:paraId="6ABDE166">
            <w:pPr>
              <w:pStyle w:val="26"/>
              <w:keepNext w:val="0"/>
              <w:keepLines w:val="0"/>
              <w:suppressLineNumbers w:val="0"/>
              <w:spacing w:before="0" w:beforeAutospacing="0" w:after="0" w:afterAutospacing="0"/>
              <w:ind w:left="0" w:right="0"/>
              <w:rPr>
                <w:rFonts w:hint="eastAsia"/>
                <w:lang w:val="en-US" w:eastAsia="zh-CN"/>
              </w:rPr>
            </w:pPr>
            <w:r>
              <w:rPr>
                <w:rFonts w:hint="eastAsia"/>
                <w:lang w:val="en-US" w:eastAsia="zh-CN"/>
              </w:rPr>
              <w:t>检验：人工检验产品表面有无毛飞、沙孔等，产生S5不合格产品。</w:t>
            </w:r>
          </w:p>
          <w:p w14:paraId="4D5BF246">
            <w:pPr>
              <w:pStyle w:val="26"/>
              <w:keepNext w:val="0"/>
              <w:keepLines w:val="0"/>
              <w:suppressLineNumbers w:val="0"/>
              <w:spacing w:before="0" w:beforeAutospacing="0" w:after="0" w:afterAutospacing="0"/>
              <w:ind w:left="0" w:right="0"/>
              <w:rPr>
                <w:rFonts w:hint="default"/>
                <w:lang w:val="en-US" w:eastAsia="zh-CN"/>
              </w:rPr>
            </w:pPr>
            <w:r>
              <w:rPr>
                <w:rFonts w:hint="eastAsia"/>
                <w:lang w:val="en-US" w:eastAsia="zh-CN"/>
              </w:rPr>
              <w:t>加烤：检验后的合格品送入电面包炉内加烤，产生G3加烤废气</w:t>
            </w:r>
          </w:p>
          <w:p w14:paraId="4DCF3F30">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检验：再次进行人工检验产品表面有无毛飞、沙孔等，产生S5不合格产品。</w:t>
            </w:r>
          </w:p>
          <w:p w14:paraId="42E211BE">
            <w:pPr>
              <w:pStyle w:val="26"/>
              <w:keepNext w:val="0"/>
              <w:keepLines w:val="0"/>
              <w:suppressLineNumbers w:val="0"/>
              <w:spacing w:before="0" w:beforeAutospacing="0" w:after="0" w:afterAutospacing="0"/>
              <w:ind w:left="0" w:right="0"/>
              <w:rPr>
                <w:rFonts w:hint="eastAsia"/>
              </w:rPr>
            </w:pPr>
            <w:r>
              <w:rPr>
                <w:rFonts w:hint="eastAsia"/>
                <w:lang w:eastAsia="zh-CN"/>
              </w:rPr>
              <w:t>包装、</w:t>
            </w:r>
            <w:r>
              <w:rPr>
                <w:rFonts w:hint="eastAsia"/>
                <w:lang w:val="en-US" w:eastAsia="zh-CN"/>
              </w:rPr>
              <w:t>入库</w:t>
            </w:r>
            <w:r>
              <w:rPr>
                <w:rFonts w:hint="eastAsia"/>
                <w:lang w:eastAsia="zh-CN"/>
              </w:rPr>
              <w:t>：</w:t>
            </w:r>
            <w:r>
              <w:rPr>
                <w:rFonts w:hint="eastAsia"/>
                <w:lang w:val="en-US" w:eastAsia="zh-CN"/>
              </w:rPr>
              <w:t>检验合格的</w:t>
            </w:r>
            <w:r>
              <w:rPr>
                <w:rFonts w:hint="eastAsia"/>
                <w:lang w:eastAsia="zh-CN"/>
              </w:rPr>
              <w:t>成品</w:t>
            </w:r>
            <w:r>
              <w:rPr>
                <w:rFonts w:hint="eastAsia"/>
                <w:lang w:val="en-US" w:eastAsia="zh-CN"/>
              </w:rPr>
              <w:t>通过气泡袋包装好后再用来料装的包装箱（框）</w:t>
            </w:r>
            <w:r>
              <w:rPr>
                <w:rFonts w:hint="eastAsia"/>
                <w:lang w:eastAsia="zh-CN"/>
              </w:rPr>
              <w:t>包装</w:t>
            </w:r>
            <w:r>
              <w:rPr>
                <w:rFonts w:hint="eastAsia"/>
                <w:lang w:val="en-US" w:eastAsia="zh-CN"/>
              </w:rPr>
              <w:t>后即可</w:t>
            </w:r>
            <w:r>
              <w:rPr>
                <w:rFonts w:hint="eastAsia"/>
                <w:lang w:eastAsia="zh-CN"/>
              </w:rPr>
              <w:t>入库，</w:t>
            </w:r>
            <w:r>
              <w:rPr>
                <w:rFonts w:hint="eastAsia"/>
                <w:lang w:val="en-US" w:eastAsia="zh-CN"/>
              </w:rPr>
              <w:t>不产生废包装材料</w:t>
            </w:r>
            <w:r>
              <w:rPr>
                <w:rFonts w:hint="eastAsia"/>
                <w:lang w:eastAsia="zh-CN"/>
              </w:rPr>
              <w:t>。</w:t>
            </w:r>
          </w:p>
          <w:p w14:paraId="6962D245">
            <w:pPr>
              <w:keepNext w:val="0"/>
              <w:keepLines w:val="0"/>
              <w:suppressLineNumbers w:val="0"/>
              <w:spacing w:before="0" w:beforeAutospacing="0" w:after="0" w:afterAutospacing="0"/>
              <w:ind w:left="0" w:right="0"/>
              <w:rPr>
                <w:rFonts w:hint="eastAsia"/>
                <w:lang w:eastAsia="zh-CN"/>
              </w:rPr>
            </w:pPr>
            <w:r>
              <w:rPr>
                <w:rFonts w:hint="default" w:eastAsia="宋体"/>
                <w:b w:val="0"/>
                <w:bCs w:val="0"/>
                <w:iCs w:val="0"/>
                <w:lang w:val="en-US" w:eastAsia="zh-CN"/>
              </w:rPr>
              <w:t>废气治理设施</w:t>
            </w:r>
            <w:r>
              <w:rPr>
                <w:rFonts w:hint="eastAsia"/>
                <w:b w:val="0"/>
                <w:bCs w:val="0"/>
                <w:iCs w:val="0"/>
                <w:lang w:val="en-US" w:eastAsia="zh-CN"/>
              </w:rPr>
              <w:t>“</w:t>
            </w:r>
            <w:r>
              <w:rPr>
                <w:rFonts w:hint="eastAsia" w:eastAsia="宋体"/>
                <w:lang w:eastAsia="zh-CN"/>
              </w:rPr>
              <w:t>过滤棉+</w:t>
            </w:r>
            <w:r>
              <w:rPr>
                <w:rFonts w:hint="eastAsia"/>
                <w:lang w:eastAsia="zh-CN"/>
              </w:rPr>
              <w:t>二级活性炭</w:t>
            </w:r>
            <w:r>
              <w:rPr>
                <w:rFonts w:hint="eastAsia" w:eastAsia="宋体"/>
                <w:lang w:eastAsia="zh-CN"/>
              </w:rPr>
              <w:t>吸附装置</w:t>
            </w:r>
            <w:r>
              <w:rPr>
                <w:rFonts w:hint="eastAsia"/>
                <w:b w:val="0"/>
                <w:bCs w:val="0"/>
                <w:iCs w:val="0"/>
                <w:lang w:val="en-US" w:eastAsia="zh-CN"/>
              </w:rPr>
              <w:t>”会</w:t>
            </w:r>
            <w:r>
              <w:rPr>
                <w:rFonts w:hint="default" w:eastAsia="宋体"/>
                <w:b w:val="0"/>
                <w:bCs w:val="0"/>
                <w:iCs w:val="0"/>
                <w:lang w:val="en-US" w:eastAsia="zh-CN"/>
              </w:rPr>
              <w:t>产生S</w:t>
            </w:r>
            <w:r>
              <w:rPr>
                <w:rFonts w:hint="eastAsia"/>
                <w:b w:val="0"/>
                <w:bCs w:val="0"/>
                <w:iCs w:val="0"/>
                <w:lang w:val="en-US" w:eastAsia="zh-CN"/>
              </w:rPr>
              <w:t>6</w:t>
            </w:r>
            <w:r>
              <w:rPr>
                <w:rFonts w:hint="default" w:eastAsia="宋体"/>
                <w:b w:val="0"/>
                <w:bCs w:val="0"/>
                <w:iCs w:val="0"/>
                <w:lang w:val="en-US" w:eastAsia="zh-CN"/>
              </w:rPr>
              <w:t>废活性炭</w:t>
            </w:r>
            <w:r>
              <w:rPr>
                <w:rFonts w:hint="eastAsia" w:eastAsia="宋体"/>
                <w:b w:val="0"/>
                <w:bCs w:val="0"/>
                <w:iCs w:val="0"/>
                <w:lang w:val="en-US" w:eastAsia="zh-CN"/>
              </w:rPr>
              <w:t>、S</w:t>
            </w:r>
            <w:r>
              <w:rPr>
                <w:rFonts w:hint="eastAsia"/>
                <w:b w:val="0"/>
                <w:bCs w:val="0"/>
                <w:iCs w:val="0"/>
                <w:lang w:val="en-US" w:eastAsia="zh-CN"/>
              </w:rPr>
              <w:t>7</w:t>
            </w:r>
            <w:r>
              <w:rPr>
                <w:rFonts w:hint="eastAsia" w:eastAsia="宋体"/>
                <w:b w:val="0"/>
                <w:bCs w:val="0"/>
                <w:iCs w:val="0"/>
                <w:lang w:val="en-US" w:eastAsia="zh-CN"/>
              </w:rPr>
              <w:t>废过滤棉</w:t>
            </w:r>
            <w:r>
              <w:rPr>
                <w:rFonts w:hint="default" w:eastAsia="宋体"/>
                <w:b w:val="0"/>
                <w:bCs w:val="0"/>
                <w:iCs w:val="0"/>
                <w:lang w:val="en-US" w:eastAsia="zh-CN"/>
              </w:rPr>
              <w:t>；设备维护过程以及生产过程中会产生S</w:t>
            </w:r>
            <w:r>
              <w:rPr>
                <w:rFonts w:hint="eastAsia"/>
                <w:b w:val="0"/>
                <w:bCs w:val="0"/>
                <w:iCs w:val="0"/>
                <w:lang w:val="en-US" w:eastAsia="zh-CN"/>
              </w:rPr>
              <w:t>8</w:t>
            </w:r>
            <w:r>
              <w:rPr>
                <w:rFonts w:hint="default" w:eastAsia="宋体"/>
                <w:b w:val="0"/>
                <w:bCs w:val="0"/>
                <w:iCs w:val="0"/>
                <w:lang w:val="en-US" w:eastAsia="zh-CN"/>
              </w:rPr>
              <w:t>废</w:t>
            </w:r>
            <w:r>
              <w:rPr>
                <w:rFonts w:hint="eastAsia"/>
                <w:b w:val="0"/>
                <w:bCs w:val="0"/>
                <w:iCs w:val="0"/>
                <w:lang w:val="en-US" w:eastAsia="zh-CN"/>
              </w:rPr>
              <w:t>机</w:t>
            </w:r>
            <w:r>
              <w:rPr>
                <w:rFonts w:hint="default" w:eastAsia="宋体"/>
                <w:b w:val="0"/>
                <w:bCs w:val="0"/>
                <w:iCs w:val="0"/>
                <w:lang w:val="en-US" w:eastAsia="zh-CN"/>
              </w:rPr>
              <w:t>油。</w:t>
            </w:r>
          </w:p>
          <w:p w14:paraId="326CBD82">
            <w:pPr>
              <w:pStyle w:val="4"/>
              <w:suppressLineNumbers w:val="0"/>
              <w:bidi w:val="0"/>
              <w:spacing w:before="0" w:beforeAutospacing="0" w:after="0" w:afterAutospacing="0"/>
              <w:ind w:left="0" w:right="0"/>
              <w:rPr>
                <w:rFonts w:hint="eastAsia"/>
              </w:rPr>
            </w:pPr>
            <w:r>
              <w:rPr>
                <w:rFonts w:hint="eastAsia"/>
                <w:lang w:val="en-US" w:eastAsia="zh-CN"/>
              </w:rPr>
              <w:t>产污环节</w:t>
            </w:r>
          </w:p>
          <w:p w14:paraId="0E4DF5B1">
            <w:pPr>
              <w:keepNext w:val="0"/>
              <w:keepLines w:val="0"/>
              <w:suppressLineNumbers w:val="0"/>
              <w:bidi w:val="0"/>
              <w:spacing w:before="0" w:beforeAutospacing="0" w:after="0" w:afterAutospacing="0"/>
              <w:ind w:left="0" w:right="0"/>
              <w:rPr>
                <w:rFonts w:hint="eastAsia"/>
              </w:rPr>
            </w:pPr>
            <w:r>
              <w:rPr>
                <w:rFonts w:hint="eastAsia"/>
              </w:rPr>
              <w:t>本项目运营期产物环节汇总见下表。</w:t>
            </w:r>
          </w:p>
          <w:p w14:paraId="71934E49">
            <w:pPr>
              <w:pStyle w:val="39"/>
              <w:keepNext w:val="0"/>
              <w:keepLines w:val="0"/>
              <w:suppressLineNumbers w:val="0"/>
              <w:bidi w:val="0"/>
              <w:spacing w:before="0" w:beforeAutospacing="0" w:after="0" w:afterAutospacing="0"/>
              <w:ind w:left="0" w:right="0"/>
              <w:rPr>
                <w:rFonts w:hint="default" w:ascii="Times New Roman" w:hAnsi="Times New Roman" w:eastAsia="宋体" w:cs="Times New Roman"/>
                <w:b/>
                <w:bCs/>
                <w:color w:val="auto"/>
              </w:rPr>
            </w:pPr>
            <w:r>
              <w:rPr>
                <w:rFonts w:hint="default"/>
              </w:rPr>
              <w:t>表</w:t>
            </w:r>
            <w:r>
              <w:rPr>
                <w:rFonts w:hint="eastAsia"/>
                <w:color w:val="auto"/>
                <w:highlight w:val="none"/>
                <w:lang w:val="en-US" w:eastAsia="zh-CN"/>
              </w:rPr>
              <w:t>2.4-1</w:t>
            </w:r>
            <w:r>
              <w:rPr>
                <w:rFonts w:hint="default"/>
              </w:rPr>
              <w:t xml:space="preserve">  项目运营期产污环节汇总表</w:t>
            </w:r>
          </w:p>
          <w:tbl>
            <w:tblPr>
              <w:tblStyle w:val="29"/>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78"/>
              <w:gridCol w:w="725"/>
              <w:gridCol w:w="1367"/>
              <w:gridCol w:w="2029"/>
              <w:gridCol w:w="3443"/>
            </w:tblGrid>
            <w:tr w14:paraId="43896C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94" w:type="pct"/>
                  <w:gridSpan w:val="2"/>
                  <w:noWrap w:val="0"/>
                  <w:vAlign w:val="center"/>
                </w:tcPr>
                <w:p w14:paraId="2B1CF60C">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类别</w:t>
                  </w:r>
                </w:p>
              </w:tc>
              <w:tc>
                <w:tcPr>
                  <w:tcW w:w="860" w:type="pct"/>
                  <w:noWrap w:val="0"/>
                  <w:vAlign w:val="center"/>
                </w:tcPr>
                <w:p w14:paraId="781A5672">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污染源/污染工序</w:t>
                  </w:r>
                </w:p>
              </w:tc>
              <w:tc>
                <w:tcPr>
                  <w:tcW w:w="1277" w:type="pct"/>
                  <w:noWrap w:val="0"/>
                  <w:vAlign w:val="center"/>
                </w:tcPr>
                <w:p w14:paraId="28EBF3AE">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污染物</w:t>
                  </w:r>
                </w:p>
              </w:tc>
              <w:tc>
                <w:tcPr>
                  <w:tcW w:w="2167" w:type="pct"/>
                  <w:noWrap w:val="0"/>
                  <w:vAlign w:val="center"/>
                </w:tcPr>
                <w:p w14:paraId="5FE8A866">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治理措施</w:t>
                  </w:r>
                </w:p>
              </w:tc>
            </w:tr>
            <w:tr w14:paraId="209A66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94" w:type="pct"/>
                  <w:gridSpan w:val="2"/>
                  <w:vMerge w:val="restart"/>
                  <w:noWrap w:val="0"/>
                  <w:vAlign w:val="center"/>
                </w:tcPr>
                <w:p w14:paraId="2FEB564C">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废水</w:t>
                  </w:r>
                </w:p>
              </w:tc>
              <w:tc>
                <w:tcPr>
                  <w:tcW w:w="860" w:type="pct"/>
                  <w:noWrap w:val="0"/>
                  <w:vAlign w:val="center"/>
                </w:tcPr>
                <w:p w14:paraId="1167156B">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职工生活污水</w:t>
                  </w:r>
                </w:p>
              </w:tc>
              <w:tc>
                <w:tcPr>
                  <w:tcW w:w="1277" w:type="pct"/>
                  <w:noWrap w:val="0"/>
                  <w:vAlign w:val="center"/>
                </w:tcPr>
                <w:p w14:paraId="3E3CA499">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pH、COD、BOD</w:t>
                  </w:r>
                  <w:r>
                    <w:rPr>
                      <w:rFonts w:hint="eastAsia"/>
                      <w:szCs w:val="22"/>
                      <w:vertAlign w:val="subscript"/>
                    </w:rPr>
                    <w:t>5</w:t>
                  </w:r>
                  <w:r>
                    <w:rPr>
                      <w:rFonts w:hint="eastAsia"/>
                      <w:szCs w:val="22"/>
                    </w:rPr>
                    <w:t>、SS、NH</w:t>
                  </w:r>
                  <w:r>
                    <w:rPr>
                      <w:rFonts w:hint="eastAsia"/>
                      <w:szCs w:val="22"/>
                      <w:vertAlign w:val="subscript"/>
                    </w:rPr>
                    <w:t>3</w:t>
                  </w:r>
                  <w:r>
                    <w:rPr>
                      <w:rFonts w:hint="eastAsia"/>
                      <w:szCs w:val="22"/>
                    </w:rPr>
                    <w:t>-N</w:t>
                  </w:r>
                </w:p>
              </w:tc>
              <w:tc>
                <w:tcPr>
                  <w:tcW w:w="2167" w:type="pct"/>
                  <w:noWrap w:val="0"/>
                  <w:vAlign w:val="center"/>
                </w:tcPr>
                <w:p w14:paraId="79410C2F">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经化粪池预处理后接入市政污水管网排入福清市融元污水处理厂集中处理</w:t>
                  </w:r>
                </w:p>
              </w:tc>
            </w:tr>
            <w:tr w14:paraId="63B3AA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94" w:type="pct"/>
                  <w:gridSpan w:val="2"/>
                  <w:vMerge w:val="continue"/>
                  <w:noWrap w:val="0"/>
                  <w:vAlign w:val="center"/>
                </w:tcPr>
                <w:p w14:paraId="74214B60">
                  <w:pPr>
                    <w:pStyle w:val="38"/>
                    <w:keepNext w:val="0"/>
                    <w:keepLines w:val="0"/>
                    <w:widowControl/>
                    <w:suppressLineNumbers w:val="0"/>
                    <w:bidi w:val="0"/>
                    <w:spacing w:before="0" w:beforeAutospacing="0" w:after="0" w:afterAutospacing="0"/>
                    <w:ind w:left="0" w:right="0"/>
                    <w:rPr>
                      <w:rFonts w:hint="eastAsia"/>
                      <w:szCs w:val="22"/>
                    </w:rPr>
                  </w:pPr>
                </w:p>
              </w:tc>
              <w:tc>
                <w:tcPr>
                  <w:tcW w:w="860" w:type="pct"/>
                  <w:noWrap w:val="0"/>
                  <w:vAlign w:val="center"/>
                </w:tcPr>
                <w:p w14:paraId="53B29CC2">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水帘喷漆废水</w:t>
                  </w:r>
                </w:p>
              </w:tc>
              <w:tc>
                <w:tcPr>
                  <w:tcW w:w="1277" w:type="pct"/>
                  <w:noWrap w:val="0"/>
                  <w:vAlign w:val="center"/>
                </w:tcPr>
                <w:p w14:paraId="6F9FF989">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val="en-US" w:eastAsia="zh-CN"/>
                    </w:rPr>
                    <w:t>/</w:t>
                  </w:r>
                </w:p>
              </w:tc>
              <w:tc>
                <w:tcPr>
                  <w:tcW w:w="2167" w:type="pct"/>
                  <w:noWrap w:val="0"/>
                  <w:vAlign w:val="center"/>
                </w:tcPr>
                <w:p w14:paraId="0C16F3A6">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rPr>
                    <w:t>循环使用，不外排</w:t>
                  </w:r>
                  <w:r>
                    <w:rPr>
                      <w:rFonts w:hint="eastAsia"/>
                      <w:szCs w:val="22"/>
                      <w:lang w:eastAsia="zh-CN"/>
                    </w:rPr>
                    <w:t>。待浓度过高时按危废委托有资质的危废处置单位处置</w:t>
                  </w:r>
                </w:p>
              </w:tc>
            </w:tr>
            <w:tr w14:paraId="172DA8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694" w:type="pct"/>
                  <w:gridSpan w:val="2"/>
                  <w:vMerge w:val="restart"/>
                  <w:noWrap w:val="0"/>
                  <w:vAlign w:val="center"/>
                </w:tcPr>
                <w:p w14:paraId="700A2CC5">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废气</w:t>
                  </w:r>
                </w:p>
              </w:tc>
              <w:tc>
                <w:tcPr>
                  <w:tcW w:w="860" w:type="pct"/>
                  <w:tcBorders>
                    <w:bottom w:val="single" w:color="auto" w:sz="4" w:space="0"/>
                  </w:tcBorders>
                  <w:noWrap w:val="0"/>
                  <w:vAlign w:val="center"/>
                </w:tcPr>
                <w:p w14:paraId="109CB953">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val="en-US" w:eastAsia="zh-CN"/>
                    </w:rPr>
                    <w:t>打磨</w:t>
                  </w:r>
                </w:p>
              </w:tc>
              <w:tc>
                <w:tcPr>
                  <w:tcW w:w="1277" w:type="pct"/>
                  <w:tcBorders>
                    <w:bottom w:val="single" w:color="auto" w:sz="4" w:space="0"/>
                  </w:tcBorders>
                  <w:noWrap w:val="0"/>
                  <w:vAlign w:val="center"/>
                </w:tcPr>
                <w:p w14:paraId="0608DAF5">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颗粒物</w:t>
                  </w:r>
                </w:p>
              </w:tc>
              <w:tc>
                <w:tcPr>
                  <w:tcW w:w="2167" w:type="pct"/>
                  <w:tcBorders>
                    <w:bottom w:val="single" w:color="auto" w:sz="4" w:space="0"/>
                  </w:tcBorders>
                  <w:noWrap w:val="0"/>
                  <w:vAlign w:val="center"/>
                </w:tcPr>
                <w:p w14:paraId="33F0D9AE">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设置密闭打磨房，无组织排放</w:t>
                  </w:r>
                </w:p>
              </w:tc>
            </w:tr>
            <w:tr w14:paraId="05679A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82" w:hRule="atLeast"/>
                <w:jc w:val="center"/>
              </w:trPr>
              <w:tc>
                <w:tcPr>
                  <w:tcW w:w="694" w:type="pct"/>
                  <w:gridSpan w:val="2"/>
                  <w:vMerge w:val="continue"/>
                  <w:noWrap w:val="0"/>
                  <w:vAlign w:val="center"/>
                </w:tcPr>
                <w:p w14:paraId="02FDC57F">
                  <w:pPr>
                    <w:pStyle w:val="38"/>
                    <w:keepNext w:val="0"/>
                    <w:keepLines w:val="0"/>
                    <w:widowControl/>
                    <w:suppressLineNumbers w:val="0"/>
                    <w:bidi w:val="0"/>
                    <w:spacing w:before="0" w:beforeAutospacing="0" w:after="0" w:afterAutospacing="0"/>
                    <w:ind w:left="0" w:right="0"/>
                    <w:rPr>
                      <w:rFonts w:hint="eastAsia"/>
                      <w:szCs w:val="22"/>
                    </w:rPr>
                  </w:pPr>
                </w:p>
              </w:tc>
              <w:tc>
                <w:tcPr>
                  <w:tcW w:w="860" w:type="pct"/>
                  <w:tcBorders>
                    <w:top w:val="single" w:color="auto" w:sz="4" w:space="0"/>
                    <w:bottom w:val="single" w:color="auto" w:sz="4" w:space="0"/>
                  </w:tcBorders>
                  <w:noWrap w:val="0"/>
                  <w:vAlign w:val="center"/>
                </w:tcPr>
                <w:p w14:paraId="1A6A1DC1">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喷漆、烘干、加烤废气</w:t>
                  </w:r>
                </w:p>
              </w:tc>
              <w:tc>
                <w:tcPr>
                  <w:tcW w:w="1277" w:type="pct"/>
                  <w:tcBorders>
                    <w:top w:val="single" w:color="auto" w:sz="4" w:space="0"/>
                    <w:bottom w:val="single" w:color="auto" w:sz="4" w:space="0"/>
                  </w:tcBorders>
                  <w:noWrap w:val="0"/>
                  <w:vAlign w:val="center"/>
                </w:tcPr>
                <w:p w14:paraId="1CEF6881">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val="en-US" w:eastAsia="zh-CN"/>
                    </w:rPr>
                    <w:t>非甲烷总烃、颗粒物</w:t>
                  </w:r>
                </w:p>
              </w:tc>
              <w:tc>
                <w:tcPr>
                  <w:tcW w:w="2167" w:type="pct"/>
                  <w:tcBorders>
                    <w:top w:val="single" w:color="auto" w:sz="4" w:space="0"/>
                  </w:tcBorders>
                  <w:noWrap w:val="0"/>
                  <w:vAlign w:val="center"/>
                </w:tcPr>
                <w:p w14:paraId="60297AC4">
                  <w:pPr>
                    <w:pStyle w:val="38"/>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eastAsia="宋体"/>
                      <w:szCs w:val="22"/>
                      <w:lang w:eastAsia="zh-CN"/>
                    </w:rPr>
                    <w:t>三条生产线（1#、2#、3#）的废气治理系统完全独立、互不连通。每条生产线的烘干废气、加烤废气经密闭管道收集，喷漆废气经水帘柜预处理后，合并进入</w:t>
                  </w:r>
                  <w:r>
                    <w:rPr>
                      <w:rFonts w:hint="eastAsia"/>
                      <w:szCs w:val="22"/>
                      <w:lang w:val="en-US" w:eastAsia="zh-CN"/>
                    </w:rPr>
                    <w:t>相应生产线</w:t>
                  </w:r>
                  <w:r>
                    <w:rPr>
                      <w:rFonts w:hint="eastAsia" w:eastAsia="宋体"/>
                      <w:szCs w:val="22"/>
                      <w:lang w:eastAsia="zh-CN"/>
                    </w:rPr>
                    <w:t>的“过滤棉+</w:t>
                  </w:r>
                  <w:r>
                    <w:rPr>
                      <w:rFonts w:hint="eastAsia"/>
                      <w:szCs w:val="22"/>
                      <w:lang w:eastAsia="zh-CN"/>
                    </w:rPr>
                    <w:t>二级活性炭</w:t>
                  </w:r>
                  <w:r>
                    <w:rPr>
                      <w:rFonts w:hint="eastAsia" w:eastAsia="宋体"/>
                      <w:szCs w:val="22"/>
                      <w:lang w:eastAsia="zh-CN"/>
                    </w:rPr>
                    <w:t>吸附装置”处理，最终由对应的15米高排气筒（分别对应为DA001、DA002、DA003）达标排放</w:t>
                  </w:r>
                </w:p>
              </w:tc>
            </w:tr>
            <w:tr w14:paraId="48350D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6" w:hRule="atLeast"/>
                <w:jc w:val="center"/>
              </w:trPr>
              <w:tc>
                <w:tcPr>
                  <w:tcW w:w="238" w:type="pct"/>
                  <w:vMerge w:val="restart"/>
                  <w:noWrap w:val="0"/>
                  <w:vAlign w:val="center"/>
                </w:tcPr>
                <w:p w14:paraId="0B3F15CA">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固废</w:t>
                  </w:r>
                </w:p>
              </w:tc>
              <w:tc>
                <w:tcPr>
                  <w:tcW w:w="456" w:type="pct"/>
                  <w:noWrap w:val="0"/>
                  <w:vAlign w:val="center"/>
                </w:tcPr>
                <w:p w14:paraId="71D54049">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一般工业固废</w:t>
                  </w:r>
                </w:p>
              </w:tc>
              <w:tc>
                <w:tcPr>
                  <w:tcW w:w="860" w:type="pct"/>
                  <w:noWrap w:val="0"/>
                  <w:vAlign w:val="center"/>
                </w:tcPr>
                <w:p w14:paraId="19F64793">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检验</w:t>
                  </w:r>
                </w:p>
              </w:tc>
              <w:tc>
                <w:tcPr>
                  <w:tcW w:w="1277" w:type="pct"/>
                  <w:tcBorders>
                    <w:bottom w:val="single" w:color="auto" w:sz="4" w:space="0"/>
                  </w:tcBorders>
                  <w:noWrap w:val="0"/>
                  <w:vAlign w:val="center"/>
                </w:tcPr>
                <w:p w14:paraId="0B70F884">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S5不合格产品</w:t>
                  </w:r>
                </w:p>
              </w:tc>
              <w:tc>
                <w:tcPr>
                  <w:tcW w:w="2167" w:type="pct"/>
                  <w:noWrap w:val="0"/>
                  <w:vAlign w:val="center"/>
                </w:tcPr>
                <w:p w14:paraId="3999A94F">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退回待加工产品综合利用</w:t>
                  </w:r>
                </w:p>
              </w:tc>
            </w:tr>
            <w:tr w14:paraId="2D4705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238" w:type="pct"/>
                  <w:vMerge w:val="continue"/>
                  <w:noWrap w:val="0"/>
                  <w:vAlign w:val="center"/>
                </w:tcPr>
                <w:p w14:paraId="326974C4">
                  <w:pPr>
                    <w:pStyle w:val="38"/>
                    <w:keepNext w:val="0"/>
                    <w:keepLines w:val="0"/>
                    <w:widowControl/>
                    <w:suppressLineNumbers w:val="0"/>
                    <w:bidi w:val="0"/>
                    <w:spacing w:before="0" w:beforeAutospacing="0" w:after="0" w:afterAutospacing="0"/>
                    <w:ind w:left="0" w:right="0"/>
                    <w:rPr>
                      <w:rFonts w:hint="eastAsia"/>
                      <w:szCs w:val="22"/>
                    </w:rPr>
                  </w:pPr>
                </w:p>
              </w:tc>
              <w:tc>
                <w:tcPr>
                  <w:tcW w:w="456" w:type="pct"/>
                  <w:vMerge w:val="restart"/>
                  <w:noWrap w:val="0"/>
                  <w:vAlign w:val="center"/>
                </w:tcPr>
                <w:p w14:paraId="715EC341">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危险废物</w:t>
                  </w:r>
                </w:p>
              </w:tc>
              <w:tc>
                <w:tcPr>
                  <w:tcW w:w="860" w:type="pct"/>
                  <w:vMerge w:val="restart"/>
                  <w:noWrap w:val="0"/>
                  <w:vAlign w:val="center"/>
                </w:tcPr>
                <w:p w14:paraId="6B117344">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喷漆</w:t>
                  </w:r>
                </w:p>
              </w:tc>
              <w:tc>
                <w:tcPr>
                  <w:tcW w:w="1277" w:type="pct"/>
                  <w:noWrap w:val="0"/>
                  <w:vAlign w:val="center"/>
                </w:tcPr>
                <w:p w14:paraId="7441843E">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val="en-US" w:eastAsia="zh-CN"/>
                    </w:rPr>
                    <w:t>S1</w:t>
                  </w:r>
                  <w:r>
                    <w:rPr>
                      <w:rFonts w:hint="default"/>
                      <w:szCs w:val="22"/>
                      <w:lang w:val="en-US" w:eastAsia="zh-CN"/>
                    </w:rPr>
                    <w:t>水帘柜废液</w:t>
                  </w:r>
                </w:p>
              </w:tc>
              <w:tc>
                <w:tcPr>
                  <w:tcW w:w="2167" w:type="pct"/>
                  <w:vMerge w:val="restart"/>
                  <w:noWrap w:val="0"/>
                  <w:vAlign w:val="center"/>
                </w:tcPr>
                <w:p w14:paraId="58DE0106">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分类收集暂存于</w:t>
                  </w:r>
                  <w:r>
                    <w:rPr>
                      <w:rFonts w:hint="eastAsia"/>
                      <w:szCs w:val="22"/>
                      <w:lang w:eastAsia="zh-CN"/>
                    </w:rPr>
                    <w:t>危废贮存库</w:t>
                  </w:r>
                  <w:r>
                    <w:rPr>
                      <w:rFonts w:hint="eastAsia"/>
                      <w:szCs w:val="22"/>
                    </w:rPr>
                    <w:t>，委托资质的单位定期外运处置</w:t>
                  </w:r>
                </w:p>
              </w:tc>
            </w:tr>
            <w:tr w14:paraId="64D0CF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238" w:type="pct"/>
                  <w:vMerge w:val="continue"/>
                  <w:noWrap w:val="0"/>
                  <w:vAlign w:val="center"/>
                </w:tcPr>
                <w:p w14:paraId="7A88492B">
                  <w:pPr>
                    <w:pStyle w:val="38"/>
                    <w:keepNext w:val="0"/>
                    <w:keepLines w:val="0"/>
                    <w:widowControl/>
                    <w:suppressLineNumbers w:val="0"/>
                    <w:bidi w:val="0"/>
                    <w:spacing w:before="0" w:beforeAutospacing="0" w:after="0" w:afterAutospacing="0"/>
                    <w:ind w:left="0" w:right="0"/>
                    <w:rPr>
                      <w:rFonts w:hint="eastAsia"/>
                      <w:szCs w:val="22"/>
                    </w:rPr>
                  </w:pPr>
                </w:p>
              </w:tc>
              <w:tc>
                <w:tcPr>
                  <w:tcW w:w="456" w:type="pct"/>
                  <w:vMerge w:val="continue"/>
                  <w:noWrap w:val="0"/>
                  <w:vAlign w:val="center"/>
                </w:tcPr>
                <w:p w14:paraId="246429CE">
                  <w:pPr>
                    <w:pStyle w:val="38"/>
                    <w:keepNext w:val="0"/>
                    <w:keepLines w:val="0"/>
                    <w:widowControl/>
                    <w:suppressLineNumbers w:val="0"/>
                    <w:bidi w:val="0"/>
                    <w:spacing w:before="0" w:beforeAutospacing="0" w:after="0" w:afterAutospacing="0"/>
                    <w:ind w:left="0" w:right="0"/>
                    <w:rPr>
                      <w:rFonts w:hint="eastAsia"/>
                      <w:szCs w:val="22"/>
                    </w:rPr>
                  </w:pPr>
                </w:p>
              </w:tc>
              <w:tc>
                <w:tcPr>
                  <w:tcW w:w="860" w:type="pct"/>
                  <w:vMerge w:val="continue"/>
                  <w:noWrap w:val="0"/>
                  <w:vAlign w:val="center"/>
                </w:tcPr>
                <w:p w14:paraId="1F2FC52C">
                  <w:pPr>
                    <w:pStyle w:val="38"/>
                    <w:keepNext w:val="0"/>
                    <w:keepLines w:val="0"/>
                    <w:widowControl/>
                    <w:suppressLineNumbers w:val="0"/>
                    <w:bidi w:val="0"/>
                    <w:spacing w:before="0" w:beforeAutospacing="0" w:after="0" w:afterAutospacing="0"/>
                    <w:ind w:left="0" w:right="0"/>
                    <w:rPr>
                      <w:rFonts w:hint="eastAsia"/>
                      <w:szCs w:val="22"/>
                      <w:lang w:eastAsia="zh-CN"/>
                    </w:rPr>
                  </w:pPr>
                </w:p>
              </w:tc>
              <w:tc>
                <w:tcPr>
                  <w:tcW w:w="1277" w:type="pct"/>
                  <w:noWrap w:val="0"/>
                  <w:vAlign w:val="center"/>
                </w:tcPr>
                <w:p w14:paraId="71049DE3">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val="en-US" w:eastAsia="zh-CN"/>
                    </w:rPr>
                    <w:t>S2</w:t>
                  </w:r>
                  <w:r>
                    <w:rPr>
                      <w:rFonts w:hint="default"/>
                      <w:szCs w:val="22"/>
                      <w:lang w:val="en-US" w:eastAsia="zh-CN"/>
                    </w:rPr>
                    <w:t>废漆渣</w:t>
                  </w:r>
                </w:p>
              </w:tc>
              <w:tc>
                <w:tcPr>
                  <w:tcW w:w="2167" w:type="pct"/>
                  <w:vMerge w:val="continue"/>
                  <w:noWrap w:val="0"/>
                  <w:vAlign w:val="center"/>
                </w:tcPr>
                <w:p w14:paraId="36AF17BE">
                  <w:pPr>
                    <w:pStyle w:val="38"/>
                    <w:keepNext w:val="0"/>
                    <w:keepLines w:val="0"/>
                    <w:widowControl/>
                    <w:suppressLineNumbers w:val="0"/>
                    <w:bidi w:val="0"/>
                    <w:spacing w:before="0" w:beforeAutospacing="0" w:after="0" w:afterAutospacing="0"/>
                    <w:ind w:left="0" w:right="0"/>
                    <w:rPr>
                      <w:rFonts w:hint="eastAsia"/>
                      <w:szCs w:val="22"/>
                    </w:rPr>
                  </w:pPr>
                </w:p>
              </w:tc>
            </w:tr>
            <w:tr w14:paraId="46689C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238" w:type="pct"/>
                  <w:vMerge w:val="continue"/>
                  <w:noWrap w:val="0"/>
                  <w:vAlign w:val="center"/>
                </w:tcPr>
                <w:p w14:paraId="5DCF5F72">
                  <w:pPr>
                    <w:pStyle w:val="38"/>
                    <w:keepNext w:val="0"/>
                    <w:keepLines w:val="0"/>
                    <w:widowControl/>
                    <w:suppressLineNumbers w:val="0"/>
                    <w:bidi w:val="0"/>
                    <w:spacing w:before="0" w:beforeAutospacing="0" w:after="0" w:afterAutospacing="0"/>
                    <w:ind w:left="0" w:right="0"/>
                    <w:rPr>
                      <w:rFonts w:hint="eastAsia"/>
                      <w:szCs w:val="22"/>
                    </w:rPr>
                  </w:pPr>
                </w:p>
              </w:tc>
              <w:tc>
                <w:tcPr>
                  <w:tcW w:w="456" w:type="pct"/>
                  <w:vMerge w:val="continue"/>
                  <w:noWrap w:val="0"/>
                  <w:vAlign w:val="center"/>
                </w:tcPr>
                <w:p w14:paraId="404CD55A">
                  <w:pPr>
                    <w:pStyle w:val="38"/>
                    <w:keepNext w:val="0"/>
                    <w:keepLines w:val="0"/>
                    <w:widowControl/>
                    <w:suppressLineNumbers w:val="0"/>
                    <w:bidi w:val="0"/>
                    <w:spacing w:before="0" w:beforeAutospacing="0" w:after="0" w:afterAutospacing="0"/>
                    <w:ind w:left="0" w:right="0"/>
                    <w:rPr>
                      <w:rFonts w:hint="eastAsia"/>
                      <w:szCs w:val="22"/>
                    </w:rPr>
                  </w:pPr>
                </w:p>
              </w:tc>
              <w:tc>
                <w:tcPr>
                  <w:tcW w:w="860" w:type="pct"/>
                  <w:vMerge w:val="continue"/>
                  <w:noWrap w:val="0"/>
                  <w:vAlign w:val="center"/>
                </w:tcPr>
                <w:p w14:paraId="348A285D">
                  <w:pPr>
                    <w:pStyle w:val="38"/>
                    <w:keepNext w:val="0"/>
                    <w:keepLines w:val="0"/>
                    <w:widowControl/>
                    <w:suppressLineNumbers w:val="0"/>
                    <w:bidi w:val="0"/>
                    <w:spacing w:before="0" w:beforeAutospacing="0" w:after="0" w:afterAutospacing="0"/>
                    <w:ind w:left="0" w:right="0"/>
                    <w:rPr>
                      <w:rFonts w:hint="eastAsia"/>
                      <w:szCs w:val="22"/>
                      <w:lang w:eastAsia="zh-CN"/>
                    </w:rPr>
                  </w:pPr>
                </w:p>
              </w:tc>
              <w:tc>
                <w:tcPr>
                  <w:tcW w:w="1277" w:type="pct"/>
                  <w:noWrap w:val="0"/>
                  <w:vAlign w:val="center"/>
                </w:tcPr>
                <w:p w14:paraId="43360A3C">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val="en-US" w:eastAsia="zh-CN"/>
                    </w:rPr>
                    <w:t>S3废水性漆桶</w:t>
                  </w:r>
                </w:p>
              </w:tc>
              <w:tc>
                <w:tcPr>
                  <w:tcW w:w="2167" w:type="pct"/>
                  <w:vMerge w:val="continue"/>
                  <w:noWrap w:val="0"/>
                  <w:vAlign w:val="center"/>
                </w:tcPr>
                <w:p w14:paraId="255A90F2">
                  <w:pPr>
                    <w:pStyle w:val="38"/>
                    <w:keepNext w:val="0"/>
                    <w:keepLines w:val="0"/>
                    <w:widowControl/>
                    <w:suppressLineNumbers w:val="0"/>
                    <w:bidi w:val="0"/>
                    <w:spacing w:before="0" w:beforeAutospacing="0" w:after="0" w:afterAutospacing="0"/>
                    <w:ind w:left="0" w:right="0"/>
                    <w:rPr>
                      <w:rFonts w:hint="eastAsia"/>
                      <w:szCs w:val="22"/>
                    </w:rPr>
                  </w:pPr>
                </w:p>
              </w:tc>
            </w:tr>
            <w:tr w14:paraId="67E546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238" w:type="pct"/>
                  <w:vMerge w:val="continue"/>
                  <w:noWrap w:val="0"/>
                  <w:vAlign w:val="center"/>
                </w:tcPr>
                <w:p w14:paraId="25418C6B">
                  <w:pPr>
                    <w:pStyle w:val="38"/>
                    <w:keepNext w:val="0"/>
                    <w:keepLines w:val="0"/>
                    <w:widowControl/>
                    <w:suppressLineNumbers w:val="0"/>
                    <w:bidi w:val="0"/>
                    <w:spacing w:before="0" w:beforeAutospacing="0" w:after="0" w:afterAutospacing="0"/>
                    <w:ind w:left="0" w:right="0"/>
                    <w:rPr>
                      <w:rFonts w:hint="eastAsia"/>
                      <w:szCs w:val="22"/>
                    </w:rPr>
                  </w:pPr>
                </w:p>
              </w:tc>
              <w:tc>
                <w:tcPr>
                  <w:tcW w:w="456" w:type="pct"/>
                  <w:vMerge w:val="continue"/>
                  <w:noWrap w:val="0"/>
                  <w:vAlign w:val="center"/>
                </w:tcPr>
                <w:p w14:paraId="41C0C73A">
                  <w:pPr>
                    <w:pStyle w:val="38"/>
                    <w:keepNext w:val="0"/>
                    <w:keepLines w:val="0"/>
                    <w:widowControl/>
                    <w:suppressLineNumbers w:val="0"/>
                    <w:bidi w:val="0"/>
                    <w:spacing w:before="0" w:beforeAutospacing="0" w:after="0" w:afterAutospacing="0"/>
                    <w:ind w:left="0" w:right="0"/>
                    <w:rPr>
                      <w:rFonts w:hint="eastAsia"/>
                      <w:szCs w:val="22"/>
                    </w:rPr>
                  </w:pPr>
                </w:p>
              </w:tc>
              <w:tc>
                <w:tcPr>
                  <w:tcW w:w="860" w:type="pct"/>
                  <w:vMerge w:val="continue"/>
                  <w:noWrap w:val="0"/>
                  <w:vAlign w:val="center"/>
                </w:tcPr>
                <w:p w14:paraId="24DA7293">
                  <w:pPr>
                    <w:pStyle w:val="38"/>
                    <w:keepNext w:val="0"/>
                    <w:keepLines w:val="0"/>
                    <w:widowControl/>
                    <w:suppressLineNumbers w:val="0"/>
                    <w:bidi w:val="0"/>
                    <w:spacing w:before="0" w:beforeAutospacing="0" w:after="0" w:afterAutospacing="0"/>
                    <w:ind w:left="0" w:right="0"/>
                    <w:rPr>
                      <w:rFonts w:hint="eastAsia"/>
                      <w:szCs w:val="22"/>
                      <w:lang w:eastAsia="zh-CN"/>
                    </w:rPr>
                  </w:pPr>
                </w:p>
              </w:tc>
              <w:tc>
                <w:tcPr>
                  <w:tcW w:w="1277" w:type="pct"/>
                  <w:noWrap w:val="0"/>
                  <w:vAlign w:val="center"/>
                </w:tcPr>
                <w:p w14:paraId="062650E5">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val="en-US" w:eastAsia="zh-CN"/>
                    </w:rPr>
                    <w:t>S4废油性漆桶</w:t>
                  </w:r>
                </w:p>
              </w:tc>
              <w:tc>
                <w:tcPr>
                  <w:tcW w:w="2167" w:type="pct"/>
                  <w:vMerge w:val="continue"/>
                  <w:noWrap w:val="0"/>
                  <w:vAlign w:val="center"/>
                </w:tcPr>
                <w:p w14:paraId="22E75603">
                  <w:pPr>
                    <w:pStyle w:val="38"/>
                    <w:keepNext w:val="0"/>
                    <w:keepLines w:val="0"/>
                    <w:widowControl/>
                    <w:suppressLineNumbers w:val="0"/>
                    <w:bidi w:val="0"/>
                    <w:spacing w:before="0" w:beforeAutospacing="0" w:after="0" w:afterAutospacing="0"/>
                    <w:ind w:left="0" w:right="0"/>
                    <w:rPr>
                      <w:rFonts w:hint="eastAsia"/>
                      <w:szCs w:val="22"/>
                    </w:rPr>
                  </w:pPr>
                </w:p>
              </w:tc>
            </w:tr>
            <w:tr w14:paraId="4AB972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238" w:type="pct"/>
                  <w:vMerge w:val="continue"/>
                  <w:noWrap w:val="0"/>
                  <w:vAlign w:val="center"/>
                </w:tcPr>
                <w:p w14:paraId="586CDF0B">
                  <w:pPr>
                    <w:pStyle w:val="38"/>
                    <w:keepNext w:val="0"/>
                    <w:keepLines w:val="0"/>
                    <w:widowControl/>
                    <w:suppressLineNumbers w:val="0"/>
                    <w:bidi w:val="0"/>
                    <w:spacing w:before="0" w:beforeAutospacing="0" w:after="0" w:afterAutospacing="0"/>
                    <w:ind w:left="0" w:right="0"/>
                    <w:rPr>
                      <w:rFonts w:hint="eastAsia"/>
                      <w:szCs w:val="22"/>
                    </w:rPr>
                  </w:pPr>
                </w:p>
              </w:tc>
              <w:tc>
                <w:tcPr>
                  <w:tcW w:w="456" w:type="pct"/>
                  <w:vMerge w:val="continue"/>
                  <w:noWrap w:val="0"/>
                  <w:vAlign w:val="center"/>
                </w:tcPr>
                <w:p w14:paraId="35F6DFBB">
                  <w:pPr>
                    <w:pStyle w:val="38"/>
                    <w:keepNext w:val="0"/>
                    <w:keepLines w:val="0"/>
                    <w:widowControl/>
                    <w:suppressLineNumbers w:val="0"/>
                    <w:bidi w:val="0"/>
                    <w:spacing w:before="0" w:beforeAutospacing="0" w:after="0" w:afterAutospacing="0"/>
                    <w:ind w:left="0" w:right="0"/>
                    <w:rPr>
                      <w:rFonts w:hint="eastAsia"/>
                      <w:szCs w:val="22"/>
                    </w:rPr>
                  </w:pPr>
                </w:p>
              </w:tc>
              <w:tc>
                <w:tcPr>
                  <w:tcW w:w="860" w:type="pct"/>
                  <w:vMerge w:val="restart"/>
                  <w:noWrap w:val="0"/>
                  <w:vAlign w:val="center"/>
                </w:tcPr>
                <w:p w14:paraId="7C269734">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废气处理</w:t>
                  </w:r>
                </w:p>
              </w:tc>
              <w:tc>
                <w:tcPr>
                  <w:tcW w:w="1277" w:type="pct"/>
                  <w:noWrap w:val="0"/>
                  <w:vAlign w:val="center"/>
                </w:tcPr>
                <w:p w14:paraId="19F4AF06">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S6</w:t>
                  </w:r>
                  <w:r>
                    <w:rPr>
                      <w:rFonts w:hint="default"/>
                      <w:szCs w:val="22"/>
                      <w:lang w:val="en-US" w:eastAsia="zh-CN"/>
                    </w:rPr>
                    <w:t>废活性炭</w:t>
                  </w:r>
                </w:p>
              </w:tc>
              <w:tc>
                <w:tcPr>
                  <w:tcW w:w="2167" w:type="pct"/>
                  <w:vMerge w:val="continue"/>
                  <w:noWrap w:val="0"/>
                  <w:vAlign w:val="center"/>
                </w:tcPr>
                <w:p w14:paraId="4BB62064">
                  <w:pPr>
                    <w:pStyle w:val="38"/>
                    <w:keepNext w:val="0"/>
                    <w:keepLines w:val="0"/>
                    <w:widowControl/>
                    <w:suppressLineNumbers w:val="0"/>
                    <w:bidi w:val="0"/>
                    <w:spacing w:before="0" w:beforeAutospacing="0" w:after="0" w:afterAutospacing="0"/>
                    <w:ind w:left="0" w:right="0"/>
                    <w:rPr>
                      <w:rFonts w:hint="eastAsia"/>
                      <w:szCs w:val="22"/>
                    </w:rPr>
                  </w:pPr>
                </w:p>
              </w:tc>
            </w:tr>
            <w:tr w14:paraId="606B32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238" w:type="pct"/>
                  <w:vMerge w:val="continue"/>
                  <w:noWrap w:val="0"/>
                  <w:vAlign w:val="center"/>
                </w:tcPr>
                <w:p w14:paraId="5152AE47">
                  <w:pPr>
                    <w:pStyle w:val="38"/>
                    <w:keepNext w:val="0"/>
                    <w:keepLines w:val="0"/>
                    <w:widowControl/>
                    <w:suppressLineNumbers w:val="0"/>
                    <w:bidi w:val="0"/>
                    <w:spacing w:before="0" w:beforeAutospacing="0" w:after="0" w:afterAutospacing="0"/>
                    <w:ind w:left="0" w:right="0"/>
                    <w:rPr>
                      <w:rFonts w:hint="eastAsia"/>
                      <w:szCs w:val="22"/>
                    </w:rPr>
                  </w:pPr>
                </w:p>
              </w:tc>
              <w:tc>
                <w:tcPr>
                  <w:tcW w:w="456" w:type="pct"/>
                  <w:vMerge w:val="continue"/>
                  <w:noWrap w:val="0"/>
                  <w:vAlign w:val="center"/>
                </w:tcPr>
                <w:p w14:paraId="28AFC104">
                  <w:pPr>
                    <w:pStyle w:val="38"/>
                    <w:keepNext w:val="0"/>
                    <w:keepLines w:val="0"/>
                    <w:widowControl/>
                    <w:suppressLineNumbers w:val="0"/>
                    <w:bidi w:val="0"/>
                    <w:spacing w:before="0" w:beforeAutospacing="0" w:after="0" w:afterAutospacing="0"/>
                    <w:ind w:left="0" w:right="0"/>
                    <w:rPr>
                      <w:rFonts w:hint="eastAsia"/>
                      <w:szCs w:val="22"/>
                    </w:rPr>
                  </w:pPr>
                </w:p>
              </w:tc>
              <w:tc>
                <w:tcPr>
                  <w:tcW w:w="860" w:type="pct"/>
                  <w:vMerge w:val="continue"/>
                  <w:noWrap w:val="0"/>
                  <w:vAlign w:val="center"/>
                </w:tcPr>
                <w:p w14:paraId="1BDD3CA2">
                  <w:pPr>
                    <w:pStyle w:val="38"/>
                    <w:keepNext w:val="0"/>
                    <w:keepLines w:val="0"/>
                    <w:widowControl/>
                    <w:suppressLineNumbers w:val="0"/>
                    <w:bidi w:val="0"/>
                    <w:spacing w:before="0" w:beforeAutospacing="0" w:after="0" w:afterAutospacing="0"/>
                    <w:ind w:left="0" w:right="0"/>
                    <w:rPr>
                      <w:rFonts w:hint="default"/>
                      <w:szCs w:val="22"/>
                      <w:lang w:val="en-US" w:eastAsia="zh-CN"/>
                    </w:rPr>
                  </w:pPr>
                </w:p>
              </w:tc>
              <w:tc>
                <w:tcPr>
                  <w:tcW w:w="1277" w:type="pct"/>
                  <w:noWrap w:val="0"/>
                  <w:vAlign w:val="center"/>
                </w:tcPr>
                <w:p w14:paraId="3BE5ACC6">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S7废过滤棉</w:t>
                  </w:r>
                </w:p>
              </w:tc>
              <w:tc>
                <w:tcPr>
                  <w:tcW w:w="2167" w:type="pct"/>
                  <w:vMerge w:val="continue"/>
                  <w:noWrap w:val="0"/>
                  <w:vAlign w:val="center"/>
                </w:tcPr>
                <w:p w14:paraId="3F1546AF">
                  <w:pPr>
                    <w:pStyle w:val="38"/>
                    <w:keepNext w:val="0"/>
                    <w:keepLines w:val="0"/>
                    <w:widowControl/>
                    <w:suppressLineNumbers w:val="0"/>
                    <w:bidi w:val="0"/>
                    <w:spacing w:before="0" w:beforeAutospacing="0" w:after="0" w:afterAutospacing="0"/>
                    <w:ind w:left="0" w:right="0"/>
                    <w:rPr>
                      <w:rFonts w:hint="eastAsia"/>
                      <w:szCs w:val="22"/>
                    </w:rPr>
                  </w:pPr>
                </w:p>
              </w:tc>
            </w:tr>
            <w:tr w14:paraId="3FA79C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238" w:type="pct"/>
                  <w:vMerge w:val="continue"/>
                  <w:noWrap w:val="0"/>
                  <w:vAlign w:val="center"/>
                </w:tcPr>
                <w:p w14:paraId="765BCCC6">
                  <w:pPr>
                    <w:pStyle w:val="38"/>
                    <w:keepNext w:val="0"/>
                    <w:keepLines w:val="0"/>
                    <w:widowControl/>
                    <w:suppressLineNumbers w:val="0"/>
                    <w:bidi w:val="0"/>
                    <w:spacing w:before="0" w:beforeAutospacing="0" w:after="0" w:afterAutospacing="0"/>
                    <w:ind w:left="0" w:right="0"/>
                    <w:rPr>
                      <w:rFonts w:hint="eastAsia"/>
                      <w:szCs w:val="22"/>
                    </w:rPr>
                  </w:pPr>
                </w:p>
              </w:tc>
              <w:tc>
                <w:tcPr>
                  <w:tcW w:w="456" w:type="pct"/>
                  <w:vMerge w:val="continue"/>
                  <w:noWrap w:val="0"/>
                  <w:vAlign w:val="center"/>
                </w:tcPr>
                <w:p w14:paraId="1E877721">
                  <w:pPr>
                    <w:pStyle w:val="38"/>
                    <w:keepNext w:val="0"/>
                    <w:keepLines w:val="0"/>
                    <w:widowControl/>
                    <w:suppressLineNumbers w:val="0"/>
                    <w:bidi w:val="0"/>
                    <w:spacing w:before="0" w:beforeAutospacing="0" w:after="0" w:afterAutospacing="0"/>
                    <w:ind w:left="0" w:right="0"/>
                    <w:rPr>
                      <w:rFonts w:hint="eastAsia"/>
                      <w:szCs w:val="22"/>
                    </w:rPr>
                  </w:pPr>
                </w:p>
              </w:tc>
              <w:tc>
                <w:tcPr>
                  <w:tcW w:w="860" w:type="pct"/>
                  <w:noWrap w:val="0"/>
                  <w:vAlign w:val="center"/>
                </w:tcPr>
                <w:p w14:paraId="54C5A8B3">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设备保养、检修等</w:t>
                  </w:r>
                </w:p>
              </w:tc>
              <w:tc>
                <w:tcPr>
                  <w:tcW w:w="1277" w:type="pct"/>
                  <w:noWrap w:val="0"/>
                  <w:vAlign w:val="center"/>
                </w:tcPr>
                <w:p w14:paraId="1E822B92">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S8</w:t>
                  </w:r>
                  <w:r>
                    <w:rPr>
                      <w:rFonts w:hint="default"/>
                      <w:szCs w:val="22"/>
                    </w:rPr>
                    <w:t>废机油</w:t>
                  </w:r>
                </w:p>
              </w:tc>
              <w:tc>
                <w:tcPr>
                  <w:tcW w:w="2167" w:type="pct"/>
                  <w:vMerge w:val="continue"/>
                  <w:noWrap w:val="0"/>
                  <w:vAlign w:val="center"/>
                </w:tcPr>
                <w:p w14:paraId="13FC6196">
                  <w:pPr>
                    <w:pStyle w:val="38"/>
                    <w:keepNext w:val="0"/>
                    <w:keepLines w:val="0"/>
                    <w:widowControl/>
                    <w:suppressLineNumbers w:val="0"/>
                    <w:bidi w:val="0"/>
                    <w:spacing w:before="0" w:beforeAutospacing="0" w:after="0" w:afterAutospacing="0"/>
                    <w:ind w:left="0" w:right="0"/>
                    <w:rPr>
                      <w:rFonts w:hint="eastAsia"/>
                      <w:szCs w:val="22"/>
                    </w:rPr>
                  </w:pPr>
                </w:p>
              </w:tc>
            </w:tr>
            <w:tr w14:paraId="6048D7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38" w:type="pct"/>
                  <w:vMerge w:val="continue"/>
                  <w:noWrap w:val="0"/>
                  <w:vAlign w:val="center"/>
                </w:tcPr>
                <w:p w14:paraId="07AA9D41">
                  <w:pPr>
                    <w:pStyle w:val="38"/>
                    <w:keepNext w:val="0"/>
                    <w:keepLines w:val="0"/>
                    <w:widowControl/>
                    <w:suppressLineNumbers w:val="0"/>
                    <w:bidi w:val="0"/>
                    <w:spacing w:before="0" w:beforeAutospacing="0" w:after="0" w:afterAutospacing="0"/>
                    <w:ind w:left="0" w:right="0"/>
                    <w:rPr>
                      <w:rFonts w:hint="eastAsia"/>
                      <w:szCs w:val="22"/>
                    </w:rPr>
                  </w:pPr>
                </w:p>
              </w:tc>
              <w:tc>
                <w:tcPr>
                  <w:tcW w:w="1316" w:type="pct"/>
                  <w:gridSpan w:val="2"/>
                  <w:noWrap w:val="0"/>
                  <w:vAlign w:val="center"/>
                </w:tcPr>
                <w:p w14:paraId="6599AE7C">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职工生活垃圾</w:t>
                  </w:r>
                </w:p>
              </w:tc>
              <w:tc>
                <w:tcPr>
                  <w:tcW w:w="1277" w:type="pct"/>
                  <w:noWrap w:val="0"/>
                  <w:vAlign w:val="center"/>
                </w:tcPr>
                <w:p w14:paraId="4C143BA6">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纸屑、果皮、塑料盒、塑料袋等</w:t>
                  </w:r>
                </w:p>
              </w:tc>
              <w:tc>
                <w:tcPr>
                  <w:tcW w:w="2167" w:type="pct"/>
                  <w:noWrap w:val="0"/>
                  <w:vAlign w:val="center"/>
                </w:tcPr>
                <w:p w14:paraId="7845B7ED">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委托环卫部门统一外运处置</w:t>
                  </w:r>
                </w:p>
              </w:tc>
            </w:tr>
            <w:tr w14:paraId="34AA7F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94" w:type="pct"/>
                  <w:gridSpan w:val="2"/>
                  <w:noWrap w:val="0"/>
                  <w:vAlign w:val="center"/>
                </w:tcPr>
                <w:p w14:paraId="7FC09A0B">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噪声</w:t>
                  </w:r>
                </w:p>
              </w:tc>
              <w:tc>
                <w:tcPr>
                  <w:tcW w:w="860" w:type="pct"/>
                  <w:noWrap w:val="0"/>
                  <w:vAlign w:val="center"/>
                </w:tcPr>
                <w:p w14:paraId="20547347">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机械设备</w:t>
                  </w:r>
                </w:p>
              </w:tc>
              <w:tc>
                <w:tcPr>
                  <w:tcW w:w="1277" w:type="pct"/>
                  <w:noWrap w:val="0"/>
                  <w:vAlign w:val="center"/>
                </w:tcPr>
                <w:p w14:paraId="7D473EF3">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Leq</w:t>
                  </w:r>
                </w:p>
              </w:tc>
              <w:tc>
                <w:tcPr>
                  <w:tcW w:w="2167" w:type="pct"/>
                  <w:noWrap w:val="0"/>
                  <w:vAlign w:val="center"/>
                </w:tcPr>
                <w:p w14:paraId="36FD69EE">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厂房隔声、设备基础减振等综合降噪措施</w:t>
                  </w:r>
                </w:p>
              </w:tc>
            </w:tr>
          </w:tbl>
          <w:p w14:paraId="5609C41A">
            <w:pPr>
              <w:keepNext w:val="0"/>
              <w:keepLines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kern w:val="2"/>
                <w:sz w:val="24"/>
                <w:szCs w:val="24"/>
                <w:lang w:val="en-US" w:eastAsia="zh-CN" w:bidi="ar-SA"/>
              </w:rPr>
            </w:pPr>
          </w:p>
        </w:tc>
      </w:tr>
      <w:tr w14:paraId="251322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noWrap w:val="0"/>
            <w:vAlign w:val="center"/>
          </w:tcPr>
          <w:p w14:paraId="263BDC06">
            <w:pPr>
              <w:pStyle w:val="40"/>
              <w:keepNext w:val="0"/>
              <w:keepLines w:val="0"/>
              <w:suppressLineNumbers w:val="0"/>
              <w:bidi w:val="0"/>
              <w:spacing w:before="0" w:beforeAutospacing="0" w:after="0" w:afterAutospacing="0"/>
              <w:ind w:left="0" w:right="0"/>
              <w:rPr>
                <w:rFonts w:hint="eastAsia"/>
              </w:rPr>
            </w:pPr>
            <w:r>
              <w:rPr>
                <w:rFonts w:hint="eastAsia"/>
              </w:rPr>
              <w:t>与项目有关的原有环境污染问题</w:t>
            </w:r>
          </w:p>
        </w:tc>
        <w:tc>
          <w:tcPr>
            <w:tcW w:w="8161" w:type="dxa"/>
            <w:noWrap w:val="0"/>
            <w:vAlign w:val="center"/>
          </w:tcPr>
          <w:p w14:paraId="794869B0">
            <w:pPr>
              <w:keepNext w:val="0"/>
              <w:keepLines w:val="0"/>
              <w:suppressLineNumbers w:val="0"/>
              <w:bidi w:val="0"/>
              <w:spacing w:before="0" w:beforeAutospacing="0" w:after="0" w:afterAutospacing="0"/>
              <w:ind w:left="0" w:right="0"/>
              <w:rPr>
                <w:rFonts w:hint="default" w:ascii="Times New Roman" w:hAnsi="Times New Roman" w:cs="Times New Roman"/>
                <w:color w:val="auto"/>
                <w:vertAlign w:val="baseline"/>
                <w:lang w:val="en-US" w:eastAsia="zh-CN"/>
              </w:rPr>
            </w:pPr>
            <w:r>
              <w:rPr>
                <w:rFonts w:hint="eastAsia" w:cs="Times New Roman"/>
                <w:color w:val="auto"/>
                <w:vertAlign w:val="baseline"/>
                <w:lang w:val="en-US" w:eastAsia="zh-CN"/>
              </w:rPr>
              <w:t>本项目为新建项目，不存在与本项目有关的环境污染问题。</w:t>
            </w:r>
          </w:p>
        </w:tc>
      </w:tr>
    </w:tbl>
    <w:p w14:paraId="025B4BC3">
      <w:pPr>
        <w:jc w:val="center"/>
        <w:rPr>
          <w:rFonts w:ascii="Times New Roman" w:hAnsi="Times New Roman" w:eastAsia="黑体"/>
          <w:snapToGrid w:val="0"/>
          <w:color w:val="auto"/>
          <w:sz w:val="36"/>
          <w:szCs w:val="36"/>
        </w:rPr>
        <w:sectPr>
          <w:pgSz w:w="11906" w:h="16838"/>
          <w:pgMar w:top="1418"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155D08C1">
      <w:pPr>
        <w:pStyle w:val="2"/>
        <w:tabs>
          <w:tab w:val="left" w:pos="420"/>
          <w:tab w:val="clear" w:pos="715"/>
        </w:tabs>
        <w:bidi w:val="0"/>
      </w:pPr>
      <w:bookmarkStart w:id="19" w:name="_Toc7854"/>
      <w:bookmarkStart w:id="20" w:name="_Toc29608"/>
      <w:r>
        <w:t>区域环境质量现状、环境保护目标及评价标准</w:t>
      </w:r>
      <w:bookmarkEnd w:id="19"/>
      <w:bookmarkEnd w:id="20"/>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46ECDA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00" w:type="dxa"/>
            <w:noWrap w:val="0"/>
            <w:vAlign w:val="center"/>
          </w:tcPr>
          <w:p w14:paraId="3D39FCC7">
            <w:pPr>
              <w:pStyle w:val="40"/>
              <w:keepNext w:val="0"/>
              <w:keepLines w:val="0"/>
              <w:suppressLineNumbers w:val="0"/>
              <w:bidi w:val="0"/>
              <w:spacing w:before="0" w:beforeAutospacing="0" w:after="0" w:afterAutospacing="0"/>
              <w:ind w:left="0" w:right="0"/>
              <w:rPr>
                <w:rFonts w:hint="eastAsia"/>
              </w:rPr>
            </w:pPr>
            <w:r>
              <w:rPr>
                <w:rFonts w:hint="eastAsia"/>
              </w:rPr>
              <w:t>区域</w:t>
            </w:r>
          </w:p>
          <w:p w14:paraId="13D8D212">
            <w:pPr>
              <w:pStyle w:val="40"/>
              <w:keepNext w:val="0"/>
              <w:keepLines w:val="0"/>
              <w:suppressLineNumbers w:val="0"/>
              <w:bidi w:val="0"/>
              <w:spacing w:before="0" w:beforeAutospacing="0" w:after="0" w:afterAutospacing="0"/>
              <w:ind w:left="0" w:right="0"/>
              <w:rPr>
                <w:rFonts w:hint="eastAsia"/>
              </w:rPr>
            </w:pPr>
            <w:r>
              <w:rPr>
                <w:rFonts w:hint="eastAsia"/>
              </w:rPr>
              <w:t>环境</w:t>
            </w:r>
          </w:p>
          <w:p w14:paraId="65535231">
            <w:pPr>
              <w:pStyle w:val="40"/>
              <w:keepNext w:val="0"/>
              <w:keepLines w:val="0"/>
              <w:suppressLineNumbers w:val="0"/>
              <w:bidi w:val="0"/>
              <w:spacing w:before="0" w:beforeAutospacing="0" w:after="0" w:afterAutospacing="0"/>
              <w:ind w:left="0" w:right="0"/>
              <w:rPr>
                <w:rFonts w:hint="eastAsia"/>
              </w:rPr>
            </w:pPr>
            <w:r>
              <w:rPr>
                <w:rFonts w:hint="eastAsia"/>
              </w:rPr>
              <w:t>质量</w:t>
            </w:r>
          </w:p>
          <w:p w14:paraId="178A2A73">
            <w:pPr>
              <w:pStyle w:val="40"/>
              <w:keepNext w:val="0"/>
              <w:keepLines w:val="0"/>
              <w:suppressLineNumbers w:val="0"/>
              <w:bidi w:val="0"/>
              <w:spacing w:before="0" w:beforeAutospacing="0" w:after="0" w:afterAutospacing="0"/>
              <w:ind w:left="0" w:right="0"/>
              <w:rPr>
                <w:rFonts w:hint="eastAsia"/>
              </w:rPr>
            </w:pPr>
            <w:r>
              <w:rPr>
                <w:rFonts w:hint="eastAsia"/>
              </w:rPr>
              <w:t>现状</w:t>
            </w:r>
          </w:p>
        </w:tc>
        <w:tc>
          <w:tcPr>
            <w:tcW w:w="8190" w:type="dxa"/>
            <w:noWrap w:val="0"/>
            <w:vAlign w:val="center"/>
          </w:tcPr>
          <w:p w14:paraId="3F4FB8CA">
            <w:pPr>
              <w:pStyle w:val="3"/>
              <w:keepNext w:val="0"/>
              <w:keepLines w:val="0"/>
              <w:suppressLineNumbers w:val="0"/>
              <w:bidi w:val="0"/>
              <w:spacing w:before="0" w:beforeAutospacing="0" w:after="0" w:afterAutospacing="0"/>
              <w:ind w:left="0" w:right="0"/>
              <w:rPr>
                <w:rFonts w:hint="default"/>
              </w:rPr>
            </w:pPr>
            <w:r>
              <w:rPr>
                <w:rFonts w:hint="eastAsia"/>
                <w:lang w:val="en-US" w:eastAsia="zh-CN"/>
              </w:rPr>
              <w:t>大气</w:t>
            </w:r>
            <w:r>
              <w:rPr>
                <w:rFonts w:hint="default"/>
                <w:lang w:val="en-US" w:eastAsia="zh-CN"/>
              </w:rPr>
              <w:t>环境</w:t>
            </w:r>
            <w:r>
              <w:rPr>
                <w:rFonts w:hint="default"/>
              </w:rPr>
              <w:t>质量现状</w:t>
            </w:r>
          </w:p>
          <w:p w14:paraId="12E49278">
            <w:pPr>
              <w:pStyle w:val="4"/>
              <w:suppressLineNumbers w:val="0"/>
              <w:bidi w:val="0"/>
              <w:spacing w:before="0" w:beforeAutospacing="0" w:after="0" w:afterAutospacing="0"/>
              <w:ind w:left="0" w:right="0"/>
              <w:rPr>
                <w:rFonts w:hint="eastAsia"/>
                <w:lang w:val="en-US" w:eastAsia="zh-CN"/>
              </w:rPr>
            </w:pPr>
            <w:r>
              <w:rPr>
                <w:rFonts w:hint="default"/>
                <w:lang w:val="en-US" w:eastAsia="zh-CN"/>
              </w:rPr>
              <w:t>环境空气质量功能区划</w:t>
            </w:r>
          </w:p>
          <w:p w14:paraId="46CE9CD9">
            <w:pPr>
              <w:keepNext w:val="0"/>
              <w:keepLines w:val="0"/>
              <w:suppressLineNumbers w:val="0"/>
              <w:bidi w:val="0"/>
              <w:spacing w:before="0" w:beforeAutospacing="0" w:after="0" w:afterAutospacing="0"/>
              <w:ind w:left="0" w:right="0"/>
              <w:rPr>
                <w:rFonts w:hint="eastAsia"/>
              </w:rPr>
            </w:pPr>
            <w:bookmarkStart w:id="21" w:name="_Toc338850492"/>
            <w:bookmarkStart w:id="22" w:name="_Toc339964236"/>
            <w:r>
              <w:rPr>
                <w:rFonts w:hint="eastAsia"/>
              </w:rPr>
              <w:t>本评价区域处于福清市融侨经济开发区</w:t>
            </w:r>
            <w:r>
              <w:rPr>
                <w:rFonts w:hint="eastAsia"/>
                <w:lang w:eastAsia="zh-CN"/>
              </w:rPr>
              <w:t>，</w:t>
            </w:r>
            <w:r>
              <w:rPr>
                <w:rFonts w:hint="eastAsia"/>
              </w:rPr>
              <w:t>根据福州市人民政府榕政综</w:t>
            </w:r>
            <w:r>
              <w:rPr>
                <w:rFonts w:hint="eastAsia"/>
                <w:lang w:eastAsia="zh-CN"/>
              </w:rPr>
              <w:t>〔2014〕30号</w:t>
            </w:r>
            <w:r>
              <w:rPr>
                <w:rFonts w:hint="eastAsia"/>
              </w:rPr>
              <w:t>文件正式批准实施《福州市环境空气质量功能区划</w:t>
            </w:r>
            <w:r>
              <w:rPr>
                <w:rFonts w:hint="eastAsia"/>
                <w:lang w:eastAsia="zh-CN"/>
              </w:rPr>
              <w:t>（</w:t>
            </w:r>
            <w:r>
              <w:rPr>
                <w:rFonts w:hint="eastAsia"/>
              </w:rPr>
              <w:t>报批稿</w:t>
            </w:r>
            <w:r>
              <w:rPr>
                <w:rFonts w:hint="eastAsia"/>
                <w:lang w:eastAsia="zh-CN"/>
              </w:rPr>
              <w:t>）</w:t>
            </w:r>
            <w:r>
              <w:rPr>
                <w:rFonts w:hint="eastAsia"/>
              </w:rPr>
              <w:t>》的规定，项目所在区域环境空气功能规划为二类区，环境空气质量执行</w:t>
            </w:r>
            <w:r>
              <w:rPr>
                <w:rFonts w:hint="eastAsia"/>
                <w:lang w:eastAsia="zh-CN"/>
              </w:rPr>
              <w:t>《环境空气质量标准》（GB 3095—2026）</w:t>
            </w:r>
            <w:r>
              <w:rPr>
                <w:rFonts w:hint="eastAsia"/>
              </w:rPr>
              <w:t>中的二级标准。非甲烷总烃参照执行《大气污染物综合排放标准详解》</w:t>
            </w:r>
            <w:r>
              <w:rPr>
                <w:rFonts w:hint="eastAsia"/>
                <w:lang w:eastAsia="zh-CN"/>
              </w:rPr>
              <w:t>（生态环境部</w:t>
            </w:r>
            <w:r>
              <w:rPr>
                <w:rFonts w:hint="eastAsia"/>
              </w:rPr>
              <w:t>科技标准司</w:t>
            </w:r>
            <w:r>
              <w:rPr>
                <w:rFonts w:hint="eastAsia"/>
                <w:lang w:eastAsia="zh-CN"/>
              </w:rPr>
              <w:t>）</w:t>
            </w:r>
            <w:r>
              <w:rPr>
                <w:rFonts w:hint="eastAsia"/>
              </w:rPr>
              <w:t>中规定的标准限值，具体详见表3</w:t>
            </w:r>
            <w:r>
              <w:rPr>
                <w:rFonts w:hint="eastAsia"/>
                <w:lang w:val="en-US" w:eastAsia="zh-CN"/>
              </w:rPr>
              <w:t>.1</w:t>
            </w:r>
            <w:r>
              <w:rPr>
                <w:rFonts w:hint="eastAsia"/>
              </w:rPr>
              <w:t>-1。</w:t>
            </w:r>
          </w:p>
          <w:p w14:paraId="0394A926">
            <w:pPr>
              <w:pStyle w:val="39"/>
              <w:keepNext w:val="0"/>
              <w:keepLines w:val="0"/>
              <w:suppressLineNumbers w:val="0"/>
              <w:bidi w:val="0"/>
              <w:spacing w:before="0" w:beforeAutospacing="0" w:after="0" w:afterAutospacing="0"/>
              <w:ind w:left="0" w:right="0"/>
              <w:rPr>
                <w:rFonts w:hint="default"/>
              </w:rPr>
            </w:pPr>
            <w:r>
              <w:rPr>
                <w:rFonts w:hint="eastAsia"/>
              </w:rPr>
              <w:t>表3</w:t>
            </w:r>
            <w:r>
              <w:rPr>
                <w:rFonts w:hint="eastAsia"/>
                <w:lang w:val="en-US" w:eastAsia="zh-CN"/>
              </w:rPr>
              <w:t>.1</w:t>
            </w:r>
            <w:r>
              <w:rPr>
                <w:rFonts w:hint="eastAsia"/>
              </w:rPr>
              <w:t>-1</w:t>
            </w:r>
            <w:r>
              <w:rPr>
                <w:rFonts w:hint="default"/>
              </w:rPr>
              <w:t xml:space="preserve">  本项目环境空气标准一览表</w:t>
            </w:r>
          </w:p>
          <w:tbl>
            <w:tblPr>
              <w:tblStyle w:val="29"/>
              <w:tblW w:w="4998"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359"/>
              <w:gridCol w:w="1866"/>
              <w:gridCol w:w="1338"/>
              <w:gridCol w:w="3408"/>
            </w:tblGrid>
            <w:tr w14:paraId="0634AC5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2" w:type="pct"/>
                  <w:noWrap w:val="0"/>
                  <w:vAlign w:val="center"/>
                </w:tcPr>
                <w:p w14:paraId="30417E35">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污染物名称</w:t>
                  </w:r>
                </w:p>
              </w:tc>
              <w:tc>
                <w:tcPr>
                  <w:tcW w:w="1170" w:type="pct"/>
                  <w:noWrap w:val="0"/>
                  <w:vAlign w:val="center"/>
                </w:tcPr>
                <w:p w14:paraId="72AA10D6">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取值时间</w:t>
                  </w:r>
                </w:p>
              </w:tc>
              <w:tc>
                <w:tcPr>
                  <w:tcW w:w="839" w:type="pct"/>
                  <w:noWrap w:val="0"/>
                  <w:vAlign w:val="center"/>
                </w:tcPr>
                <w:p w14:paraId="6E29DEC4">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浓度限值</w:t>
                  </w:r>
                </w:p>
              </w:tc>
              <w:tc>
                <w:tcPr>
                  <w:tcW w:w="2137" w:type="pct"/>
                  <w:noWrap w:val="0"/>
                  <w:vAlign w:val="center"/>
                </w:tcPr>
                <w:p w14:paraId="633BC345">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标准来源</w:t>
                  </w:r>
                </w:p>
              </w:tc>
            </w:tr>
            <w:tr w14:paraId="76D11E6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2" w:type="pct"/>
                  <w:vMerge w:val="restart"/>
                  <w:noWrap w:val="0"/>
                  <w:vAlign w:val="center"/>
                </w:tcPr>
                <w:p w14:paraId="7B49BF8C">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PM</w:t>
                  </w:r>
                  <w:r>
                    <w:rPr>
                      <w:rFonts w:hint="eastAsia"/>
                      <w:szCs w:val="22"/>
                      <w:vertAlign w:val="subscript"/>
                    </w:rPr>
                    <w:t>10</w:t>
                  </w:r>
                </w:p>
              </w:tc>
              <w:tc>
                <w:tcPr>
                  <w:tcW w:w="1170" w:type="pct"/>
                  <w:noWrap w:val="0"/>
                  <w:vAlign w:val="center"/>
                </w:tcPr>
                <w:p w14:paraId="429BB6AE">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年平均</w:t>
                  </w:r>
                </w:p>
              </w:tc>
              <w:tc>
                <w:tcPr>
                  <w:tcW w:w="839" w:type="pct"/>
                  <w:noWrap w:val="0"/>
                  <w:vAlign w:val="center"/>
                </w:tcPr>
                <w:p w14:paraId="674B7394">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50</w:t>
                  </w:r>
                  <w:r>
                    <w:rPr>
                      <w:rFonts w:hint="eastAsia"/>
                      <w:szCs w:val="22"/>
                    </w:rPr>
                    <w:t>μg/m</w:t>
                  </w:r>
                  <w:r>
                    <w:rPr>
                      <w:rFonts w:hint="eastAsia"/>
                      <w:szCs w:val="22"/>
                      <w:vertAlign w:val="superscript"/>
                    </w:rPr>
                    <w:t>3</w:t>
                  </w:r>
                </w:p>
              </w:tc>
              <w:tc>
                <w:tcPr>
                  <w:tcW w:w="2137" w:type="pct"/>
                  <w:vMerge w:val="restart"/>
                  <w:noWrap w:val="0"/>
                  <w:vAlign w:val="center"/>
                </w:tcPr>
                <w:p w14:paraId="36F38E0C">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eastAsia="zh-CN"/>
                    </w:rPr>
                    <w:t>《环境空气质量标准》（GB 3095—2026）</w:t>
                  </w:r>
                  <w:r>
                    <w:rPr>
                      <w:rFonts w:hint="eastAsia"/>
                      <w:szCs w:val="22"/>
                    </w:rPr>
                    <w:t>中的二级标准</w:t>
                  </w:r>
                </w:p>
              </w:tc>
            </w:tr>
            <w:tr w14:paraId="65023A6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2" w:type="pct"/>
                  <w:vMerge w:val="continue"/>
                  <w:noWrap w:val="0"/>
                  <w:vAlign w:val="center"/>
                </w:tcPr>
                <w:p w14:paraId="221EBB74">
                  <w:pPr>
                    <w:pStyle w:val="38"/>
                    <w:keepNext w:val="0"/>
                    <w:keepLines w:val="0"/>
                    <w:widowControl/>
                    <w:suppressLineNumbers w:val="0"/>
                    <w:bidi w:val="0"/>
                    <w:spacing w:before="0" w:beforeAutospacing="0" w:after="0" w:afterAutospacing="0"/>
                    <w:ind w:left="0" w:right="0"/>
                    <w:rPr>
                      <w:rFonts w:hint="eastAsia"/>
                      <w:szCs w:val="22"/>
                    </w:rPr>
                  </w:pPr>
                </w:p>
              </w:tc>
              <w:tc>
                <w:tcPr>
                  <w:tcW w:w="1170" w:type="pct"/>
                  <w:noWrap w:val="0"/>
                  <w:vAlign w:val="center"/>
                </w:tcPr>
                <w:p w14:paraId="251CE681">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24小时平均</w:t>
                  </w:r>
                </w:p>
              </w:tc>
              <w:tc>
                <w:tcPr>
                  <w:tcW w:w="839" w:type="pct"/>
                  <w:noWrap w:val="0"/>
                  <w:vAlign w:val="center"/>
                </w:tcPr>
                <w:p w14:paraId="7FD36AD3">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100</w:t>
                  </w:r>
                  <w:r>
                    <w:rPr>
                      <w:rFonts w:hint="eastAsia"/>
                      <w:szCs w:val="22"/>
                    </w:rPr>
                    <w:t>μg/m</w:t>
                  </w:r>
                  <w:r>
                    <w:rPr>
                      <w:rFonts w:hint="eastAsia"/>
                      <w:szCs w:val="22"/>
                      <w:vertAlign w:val="superscript"/>
                    </w:rPr>
                    <w:t>3</w:t>
                  </w:r>
                </w:p>
              </w:tc>
              <w:tc>
                <w:tcPr>
                  <w:tcW w:w="2137" w:type="pct"/>
                  <w:vMerge w:val="continue"/>
                  <w:noWrap w:val="0"/>
                  <w:vAlign w:val="center"/>
                </w:tcPr>
                <w:p w14:paraId="12111974">
                  <w:pPr>
                    <w:pStyle w:val="38"/>
                    <w:keepNext w:val="0"/>
                    <w:keepLines w:val="0"/>
                    <w:widowControl/>
                    <w:suppressLineNumbers w:val="0"/>
                    <w:bidi w:val="0"/>
                    <w:spacing w:before="0" w:beforeAutospacing="0" w:after="0" w:afterAutospacing="0"/>
                    <w:ind w:left="0" w:right="0"/>
                    <w:rPr>
                      <w:rFonts w:hint="eastAsia"/>
                      <w:szCs w:val="22"/>
                    </w:rPr>
                  </w:pPr>
                </w:p>
              </w:tc>
            </w:tr>
            <w:tr w14:paraId="3B3F1DA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2" w:type="pct"/>
                  <w:vMerge w:val="restart"/>
                  <w:noWrap w:val="0"/>
                  <w:vAlign w:val="center"/>
                </w:tcPr>
                <w:p w14:paraId="002FEF6B">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PM</w:t>
                  </w:r>
                  <w:r>
                    <w:rPr>
                      <w:rFonts w:hint="eastAsia"/>
                      <w:szCs w:val="22"/>
                      <w:vertAlign w:val="subscript"/>
                    </w:rPr>
                    <w:t>2.5</w:t>
                  </w:r>
                </w:p>
              </w:tc>
              <w:tc>
                <w:tcPr>
                  <w:tcW w:w="1170" w:type="pct"/>
                  <w:noWrap w:val="0"/>
                  <w:vAlign w:val="center"/>
                </w:tcPr>
                <w:p w14:paraId="241A7405">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年平均</w:t>
                  </w:r>
                </w:p>
              </w:tc>
              <w:tc>
                <w:tcPr>
                  <w:tcW w:w="839" w:type="pct"/>
                  <w:noWrap w:val="0"/>
                  <w:vAlign w:val="center"/>
                </w:tcPr>
                <w:p w14:paraId="1B0A98A8">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25</w:t>
                  </w:r>
                  <w:r>
                    <w:rPr>
                      <w:rFonts w:hint="eastAsia"/>
                      <w:szCs w:val="22"/>
                    </w:rPr>
                    <w:t>μg/m</w:t>
                  </w:r>
                  <w:r>
                    <w:rPr>
                      <w:rFonts w:hint="eastAsia"/>
                      <w:szCs w:val="22"/>
                      <w:vertAlign w:val="superscript"/>
                    </w:rPr>
                    <w:t>3</w:t>
                  </w:r>
                </w:p>
              </w:tc>
              <w:tc>
                <w:tcPr>
                  <w:tcW w:w="2137" w:type="pct"/>
                  <w:vMerge w:val="continue"/>
                  <w:noWrap w:val="0"/>
                  <w:vAlign w:val="center"/>
                </w:tcPr>
                <w:p w14:paraId="40C15569">
                  <w:pPr>
                    <w:pStyle w:val="38"/>
                    <w:keepNext w:val="0"/>
                    <w:keepLines w:val="0"/>
                    <w:widowControl/>
                    <w:suppressLineNumbers w:val="0"/>
                    <w:bidi w:val="0"/>
                    <w:spacing w:before="0" w:beforeAutospacing="0" w:after="0" w:afterAutospacing="0"/>
                    <w:ind w:left="0" w:right="0"/>
                    <w:rPr>
                      <w:rFonts w:hint="eastAsia"/>
                      <w:szCs w:val="22"/>
                    </w:rPr>
                  </w:pPr>
                </w:p>
              </w:tc>
            </w:tr>
            <w:tr w14:paraId="3B868A6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2" w:type="pct"/>
                  <w:vMerge w:val="continue"/>
                  <w:noWrap w:val="0"/>
                  <w:vAlign w:val="center"/>
                </w:tcPr>
                <w:p w14:paraId="2B6C187F">
                  <w:pPr>
                    <w:pStyle w:val="38"/>
                    <w:keepNext w:val="0"/>
                    <w:keepLines w:val="0"/>
                    <w:widowControl/>
                    <w:suppressLineNumbers w:val="0"/>
                    <w:bidi w:val="0"/>
                    <w:spacing w:before="0" w:beforeAutospacing="0" w:after="0" w:afterAutospacing="0"/>
                    <w:ind w:left="0" w:right="0"/>
                    <w:rPr>
                      <w:rFonts w:hint="eastAsia"/>
                      <w:szCs w:val="22"/>
                    </w:rPr>
                  </w:pPr>
                </w:p>
              </w:tc>
              <w:tc>
                <w:tcPr>
                  <w:tcW w:w="1170" w:type="pct"/>
                  <w:noWrap w:val="0"/>
                  <w:vAlign w:val="center"/>
                </w:tcPr>
                <w:p w14:paraId="353B01FE">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24小时平均</w:t>
                  </w:r>
                </w:p>
              </w:tc>
              <w:tc>
                <w:tcPr>
                  <w:tcW w:w="839" w:type="pct"/>
                  <w:noWrap w:val="0"/>
                  <w:vAlign w:val="center"/>
                </w:tcPr>
                <w:p w14:paraId="74A75570">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50</w:t>
                  </w:r>
                  <w:r>
                    <w:rPr>
                      <w:rFonts w:hint="eastAsia"/>
                      <w:szCs w:val="22"/>
                    </w:rPr>
                    <w:t>μg/m</w:t>
                  </w:r>
                  <w:r>
                    <w:rPr>
                      <w:rFonts w:hint="eastAsia"/>
                      <w:szCs w:val="22"/>
                      <w:vertAlign w:val="superscript"/>
                    </w:rPr>
                    <w:t>3</w:t>
                  </w:r>
                </w:p>
              </w:tc>
              <w:tc>
                <w:tcPr>
                  <w:tcW w:w="2137" w:type="pct"/>
                  <w:vMerge w:val="continue"/>
                  <w:noWrap w:val="0"/>
                  <w:vAlign w:val="center"/>
                </w:tcPr>
                <w:p w14:paraId="5657029A">
                  <w:pPr>
                    <w:pStyle w:val="38"/>
                    <w:keepNext w:val="0"/>
                    <w:keepLines w:val="0"/>
                    <w:widowControl/>
                    <w:suppressLineNumbers w:val="0"/>
                    <w:bidi w:val="0"/>
                    <w:spacing w:before="0" w:beforeAutospacing="0" w:after="0" w:afterAutospacing="0"/>
                    <w:ind w:left="0" w:right="0"/>
                    <w:rPr>
                      <w:rFonts w:hint="eastAsia"/>
                      <w:szCs w:val="22"/>
                    </w:rPr>
                  </w:pPr>
                </w:p>
              </w:tc>
            </w:tr>
            <w:tr w14:paraId="323ED36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2" w:type="pct"/>
                  <w:vMerge w:val="restart"/>
                  <w:noWrap w:val="0"/>
                  <w:vAlign w:val="center"/>
                </w:tcPr>
                <w:p w14:paraId="1083033F">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SO</w:t>
                  </w:r>
                  <w:r>
                    <w:rPr>
                      <w:rFonts w:hint="eastAsia"/>
                      <w:szCs w:val="22"/>
                      <w:vertAlign w:val="subscript"/>
                    </w:rPr>
                    <w:t>2</w:t>
                  </w:r>
                </w:p>
              </w:tc>
              <w:tc>
                <w:tcPr>
                  <w:tcW w:w="1170" w:type="pct"/>
                  <w:noWrap w:val="0"/>
                  <w:vAlign w:val="center"/>
                </w:tcPr>
                <w:p w14:paraId="5A9C13CD">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年平均</w:t>
                  </w:r>
                </w:p>
              </w:tc>
              <w:tc>
                <w:tcPr>
                  <w:tcW w:w="839" w:type="pct"/>
                  <w:noWrap w:val="0"/>
                  <w:vAlign w:val="center"/>
                </w:tcPr>
                <w:p w14:paraId="492B7078">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20</w:t>
                  </w:r>
                  <w:r>
                    <w:rPr>
                      <w:rFonts w:hint="eastAsia"/>
                      <w:szCs w:val="22"/>
                    </w:rPr>
                    <w:t>μg/m</w:t>
                  </w:r>
                  <w:r>
                    <w:rPr>
                      <w:rFonts w:hint="eastAsia"/>
                      <w:szCs w:val="22"/>
                      <w:vertAlign w:val="superscript"/>
                    </w:rPr>
                    <w:t>3</w:t>
                  </w:r>
                </w:p>
              </w:tc>
              <w:tc>
                <w:tcPr>
                  <w:tcW w:w="2137" w:type="pct"/>
                  <w:vMerge w:val="continue"/>
                  <w:noWrap w:val="0"/>
                  <w:vAlign w:val="center"/>
                </w:tcPr>
                <w:p w14:paraId="4B36F64F">
                  <w:pPr>
                    <w:pStyle w:val="38"/>
                    <w:keepNext w:val="0"/>
                    <w:keepLines w:val="0"/>
                    <w:widowControl/>
                    <w:suppressLineNumbers w:val="0"/>
                    <w:bidi w:val="0"/>
                    <w:spacing w:before="0" w:beforeAutospacing="0" w:after="0" w:afterAutospacing="0"/>
                    <w:ind w:left="0" w:right="0"/>
                    <w:rPr>
                      <w:rFonts w:hint="eastAsia"/>
                      <w:szCs w:val="22"/>
                    </w:rPr>
                  </w:pPr>
                </w:p>
              </w:tc>
            </w:tr>
            <w:tr w14:paraId="4728055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2" w:type="pct"/>
                  <w:vMerge w:val="continue"/>
                  <w:noWrap w:val="0"/>
                  <w:vAlign w:val="center"/>
                </w:tcPr>
                <w:p w14:paraId="397B5C85">
                  <w:pPr>
                    <w:pStyle w:val="38"/>
                    <w:keepNext w:val="0"/>
                    <w:keepLines w:val="0"/>
                    <w:widowControl/>
                    <w:suppressLineNumbers w:val="0"/>
                    <w:bidi w:val="0"/>
                    <w:spacing w:before="0" w:beforeAutospacing="0" w:after="0" w:afterAutospacing="0"/>
                    <w:ind w:left="0" w:right="0"/>
                    <w:rPr>
                      <w:rFonts w:hint="eastAsia"/>
                      <w:szCs w:val="22"/>
                    </w:rPr>
                  </w:pPr>
                </w:p>
              </w:tc>
              <w:tc>
                <w:tcPr>
                  <w:tcW w:w="1170" w:type="pct"/>
                  <w:noWrap w:val="0"/>
                  <w:vAlign w:val="center"/>
                </w:tcPr>
                <w:p w14:paraId="0479C9AA">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24小时平均</w:t>
                  </w:r>
                </w:p>
              </w:tc>
              <w:tc>
                <w:tcPr>
                  <w:tcW w:w="839" w:type="pct"/>
                  <w:noWrap w:val="0"/>
                  <w:vAlign w:val="center"/>
                </w:tcPr>
                <w:p w14:paraId="1ECD57A5">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50</w:t>
                  </w:r>
                  <w:r>
                    <w:rPr>
                      <w:rFonts w:hint="eastAsia"/>
                      <w:szCs w:val="22"/>
                    </w:rPr>
                    <w:t>μg/m</w:t>
                  </w:r>
                  <w:r>
                    <w:rPr>
                      <w:rFonts w:hint="eastAsia"/>
                      <w:szCs w:val="22"/>
                      <w:vertAlign w:val="superscript"/>
                    </w:rPr>
                    <w:t>3</w:t>
                  </w:r>
                </w:p>
              </w:tc>
              <w:tc>
                <w:tcPr>
                  <w:tcW w:w="2137" w:type="pct"/>
                  <w:vMerge w:val="continue"/>
                  <w:noWrap w:val="0"/>
                  <w:vAlign w:val="center"/>
                </w:tcPr>
                <w:p w14:paraId="77A103D4">
                  <w:pPr>
                    <w:pStyle w:val="38"/>
                    <w:keepNext w:val="0"/>
                    <w:keepLines w:val="0"/>
                    <w:widowControl/>
                    <w:suppressLineNumbers w:val="0"/>
                    <w:bidi w:val="0"/>
                    <w:spacing w:before="0" w:beforeAutospacing="0" w:after="0" w:afterAutospacing="0"/>
                    <w:ind w:left="0" w:right="0"/>
                    <w:rPr>
                      <w:rFonts w:hint="eastAsia"/>
                      <w:szCs w:val="22"/>
                    </w:rPr>
                  </w:pPr>
                </w:p>
              </w:tc>
            </w:tr>
            <w:tr w14:paraId="7228878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2" w:type="pct"/>
                  <w:vMerge w:val="continue"/>
                  <w:noWrap w:val="0"/>
                  <w:vAlign w:val="center"/>
                </w:tcPr>
                <w:p w14:paraId="13D3194F">
                  <w:pPr>
                    <w:pStyle w:val="38"/>
                    <w:keepNext w:val="0"/>
                    <w:keepLines w:val="0"/>
                    <w:widowControl/>
                    <w:suppressLineNumbers w:val="0"/>
                    <w:bidi w:val="0"/>
                    <w:spacing w:before="0" w:beforeAutospacing="0" w:after="0" w:afterAutospacing="0"/>
                    <w:ind w:left="0" w:right="0"/>
                    <w:rPr>
                      <w:rFonts w:hint="eastAsia"/>
                      <w:szCs w:val="22"/>
                    </w:rPr>
                  </w:pPr>
                </w:p>
              </w:tc>
              <w:tc>
                <w:tcPr>
                  <w:tcW w:w="1170" w:type="pct"/>
                  <w:noWrap w:val="0"/>
                  <w:vAlign w:val="center"/>
                </w:tcPr>
                <w:p w14:paraId="5FAF3B4D">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1小时平均</w:t>
                  </w:r>
                </w:p>
              </w:tc>
              <w:tc>
                <w:tcPr>
                  <w:tcW w:w="839" w:type="pct"/>
                  <w:noWrap w:val="0"/>
                  <w:vAlign w:val="center"/>
                </w:tcPr>
                <w:p w14:paraId="293ACBF2">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150</w:t>
                  </w:r>
                  <w:r>
                    <w:rPr>
                      <w:rFonts w:hint="eastAsia"/>
                      <w:szCs w:val="22"/>
                    </w:rPr>
                    <w:t>μg/m</w:t>
                  </w:r>
                  <w:r>
                    <w:rPr>
                      <w:rFonts w:hint="eastAsia"/>
                      <w:szCs w:val="22"/>
                      <w:vertAlign w:val="superscript"/>
                    </w:rPr>
                    <w:t>3</w:t>
                  </w:r>
                </w:p>
              </w:tc>
              <w:tc>
                <w:tcPr>
                  <w:tcW w:w="2137" w:type="pct"/>
                  <w:vMerge w:val="continue"/>
                  <w:noWrap w:val="0"/>
                  <w:vAlign w:val="center"/>
                </w:tcPr>
                <w:p w14:paraId="2673B604">
                  <w:pPr>
                    <w:pStyle w:val="38"/>
                    <w:keepNext w:val="0"/>
                    <w:keepLines w:val="0"/>
                    <w:widowControl/>
                    <w:suppressLineNumbers w:val="0"/>
                    <w:bidi w:val="0"/>
                    <w:spacing w:before="0" w:beforeAutospacing="0" w:after="0" w:afterAutospacing="0"/>
                    <w:ind w:left="0" w:right="0"/>
                    <w:rPr>
                      <w:rFonts w:hint="eastAsia"/>
                      <w:szCs w:val="22"/>
                    </w:rPr>
                  </w:pPr>
                </w:p>
              </w:tc>
            </w:tr>
            <w:tr w14:paraId="0B0F490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2" w:type="pct"/>
                  <w:vMerge w:val="restart"/>
                  <w:noWrap w:val="0"/>
                  <w:vAlign w:val="center"/>
                </w:tcPr>
                <w:p w14:paraId="68FA1929">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NO</w:t>
                  </w:r>
                  <w:r>
                    <w:rPr>
                      <w:rFonts w:hint="eastAsia"/>
                      <w:szCs w:val="22"/>
                      <w:vertAlign w:val="subscript"/>
                    </w:rPr>
                    <w:t>2</w:t>
                  </w:r>
                </w:p>
              </w:tc>
              <w:tc>
                <w:tcPr>
                  <w:tcW w:w="1170" w:type="pct"/>
                  <w:noWrap w:val="0"/>
                  <w:vAlign w:val="center"/>
                </w:tcPr>
                <w:p w14:paraId="12AC8FA1">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年平均</w:t>
                  </w:r>
                </w:p>
              </w:tc>
              <w:tc>
                <w:tcPr>
                  <w:tcW w:w="839" w:type="pct"/>
                  <w:noWrap w:val="0"/>
                  <w:vAlign w:val="center"/>
                </w:tcPr>
                <w:p w14:paraId="6BC994AE">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30</w:t>
                  </w:r>
                  <w:r>
                    <w:rPr>
                      <w:rFonts w:hint="eastAsia"/>
                      <w:szCs w:val="22"/>
                    </w:rPr>
                    <w:t>μg/m</w:t>
                  </w:r>
                  <w:r>
                    <w:rPr>
                      <w:rFonts w:hint="eastAsia"/>
                      <w:szCs w:val="22"/>
                      <w:vertAlign w:val="superscript"/>
                    </w:rPr>
                    <w:t>3</w:t>
                  </w:r>
                </w:p>
              </w:tc>
              <w:tc>
                <w:tcPr>
                  <w:tcW w:w="2137" w:type="pct"/>
                  <w:vMerge w:val="continue"/>
                  <w:noWrap w:val="0"/>
                  <w:vAlign w:val="center"/>
                </w:tcPr>
                <w:p w14:paraId="646774CA">
                  <w:pPr>
                    <w:pStyle w:val="38"/>
                    <w:keepNext w:val="0"/>
                    <w:keepLines w:val="0"/>
                    <w:widowControl/>
                    <w:suppressLineNumbers w:val="0"/>
                    <w:bidi w:val="0"/>
                    <w:spacing w:before="0" w:beforeAutospacing="0" w:after="0" w:afterAutospacing="0"/>
                    <w:ind w:left="0" w:right="0"/>
                    <w:rPr>
                      <w:rFonts w:hint="eastAsia"/>
                      <w:szCs w:val="22"/>
                    </w:rPr>
                  </w:pPr>
                </w:p>
              </w:tc>
            </w:tr>
            <w:tr w14:paraId="0E1E649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2" w:type="pct"/>
                  <w:vMerge w:val="continue"/>
                  <w:noWrap w:val="0"/>
                  <w:vAlign w:val="center"/>
                </w:tcPr>
                <w:p w14:paraId="5BD2E329">
                  <w:pPr>
                    <w:pStyle w:val="38"/>
                    <w:keepNext w:val="0"/>
                    <w:keepLines w:val="0"/>
                    <w:widowControl/>
                    <w:suppressLineNumbers w:val="0"/>
                    <w:bidi w:val="0"/>
                    <w:spacing w:before="0" w:beforeAutospacing="0" w:after="0" w:afterAutospacing="0"/>
                    <w:ind w:left="0" w:right="0"/>
                    <w:rPr>
                      <w:rFonts w:hint="eastAsia"/>
                      <w:szCs w:val="22"/>
                    </w:rPr>
                  </w:pPr>
                </w:p>
              </w:tc>
              <w:tc>
                <w:tcPr>
                  <w:tcW w:w="1170" w:type="pct"/>
                  <w:noWrap w:val="0"/>
                  <w:vAlign w:val="center"/>
                </w:tcPr>
                <w:p w14:paraId="50755A06">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24小时平均</w:t>
                  </w:r>
                </w:p>
              </w:tc>
              <w:tc>
                <w:tcPr>
                  <w:tcW w:w="839" w:type="pct"/>
                  <w:noWrap w:val="0"/>
                  <w:vAlign w:val="center"/>
                </w:tcPr>
                <w:p w14:paraId="2B6B4E7E">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50</w:t>
                  </w:r>
                  <w:r>
                    <w:rPr>
                      <w:rFonts w:hint="eastAsia"/>
                      <w:szCs w:val="22"/>
                    </w:rPr>
                    <w:t>μg/m</w:t>
                  </w:r>
                  <w:r>
                    <w:rPr>
                      <w:rFonts w:hint="eastAsia"/>
                      <w:szCs w:val="22"/>
                      <w:vertAlign w:val="superscript"/>
                    </w:rPr>
                    <w:t>3</w:t>
                  </w:r>
                </w:p>
              </w:tc>
              <w:tc>
                <w:tcPr>
                  <w:tcW w:w="2137" w:type="pct"/>
                  <w:vMerge w:val="continue"/>
                  <w:noWrap w:val="0"/>
                  <w:vAlign w:val="center"/>
                </w:tcPr>
                <w:p w14:paraId="4D0C0D7B">
                  <w:pPr>
                    <w:pStyle w:val="38"/>
                    <w:keepNext w:val="0"/>
                    <w:keepLines w:val="0"/>
                    <w:widowControl/>
                    <w:suppressLineNumbers w:val="0"/>
                    <w:bidi w:val="0"/>
                    <w:spacing w:before="0" w:beforeAutospacing="0" w:after="0" w:afterAutospacing="0"/>
                    <w:ind w:left="0" w:right="0"/>
                    <w:rPr>
                      <w:rFonts w:hint="eastAsia"/>
                      <w:szCs w:val="22"/>
                    </w:rPr>
                  </w:pPr>
                </w:p>
              </w:tc>
            </w:tr>
            <w:tr w14:paraId="24B8E73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2" w:type="pct"/>
                  <w:vMerge w:val="continue"/>
                  <w:noWrap w:val="0"/>
                  <w:vAlign w:val="center"/>
                </w:tcPr>
                <w:p w14:paraId="173EAE04">
                  <w:pPr>
                    <w:pStyle w:val="38"/>
                    <w:keepNext w:val="0"/>
                    <w:keepLines w:val="0"/>
                    <w:widowControl/>
                    <w:suppressLineNumbers w:val="0"/>
                    <w:bidi w:val="0"/>
                    <w:spacing w:before="0" w:beforeAutospacing="0" w:after="0" w:afterAutospacing="0"/>
                    <w:ind w:left="0" w:right="0"/>
                    <w:rPr>
                      <w:rFonts w:hint="eastAsia"/>
                      <w:szCs w:val="22"/>
                    </w:rPr>
                  </w:pPr>
                </w:p>
              </w:tc>
              <w:tc>
                <w:tcPr>
                  <w:tcW w:w="1170" w:type="pct"/>
                  <w:noWrap w:val="0"/>
                  <w:vAlign w:val="center"/>
                </w:tcPr>
                <w:p w14:paraId="44E46C0F">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1小时平均</w:t>
                  </w:r>
                </w:p>
              </w:tc>
              <w:tc>
                <w:tcPr>
                  <w:tcW w:w="839" w:type="pct"/>
                  <w:noWrap w:val="0"/>
                  <w:vAlign w:val="center"/>
                </w:tcPr>
                <w:p w14:paraId="5D64916E">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200μg/m</w:t>
                  </w:r>
                  <w:r>
                    <w:rPr>
                      <w:rFonts w:hint="eastAsia"/>
                      <w:szCs w:val="22"/>
                      <w:vertAlign w:val="superscript"/>
                    </w:rPr>
                    <w:t>3</w:t>
                  </w:r>
                </w:p>
              </w:tc>
              <w:tc>
                <w:tcPr>
                  <w:tcW w:w="2137" w:type="pct"/>
                  <w:vMerge w:val="continue"/>
                  <w:noWrap w:val="0"/>
                  <w:vAlign w:val="center"/>
                </w:tcPr>
                <w:p w14:paraId="4E704DC0">
                  <w:pPr>
                    <w:pStyle w:val="38"/>
                    <w:keepNext w:val="0"/>
                    <w:keepLines w:val="0"/>
                    <w:widowControl/>
                    <w:suppressLineNumbers w:val="0"/>
                    <w:bidi w:val="0"/>
                    <w:spacing w:before="0" w:beforeAutospacing="0" w:after="0" w:afterAutospacing="0"/>
                    <w:ind w:left="0" w:right="0"/>
                    <w:rPr>
                      <w:rFonts w:hint="eastAsia"/>
                      <w:szCs w:val="22"/>
                    </w:rPr>
                  </w:pPr>
                </w:p>
              </w:tc>
            </w:tr>
            <w:tr w14:paraId="2A01450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2" w:type="pct"/>
                  <w:vMerge w:val="restart"/>
                  <w:noWrap w:val="0"/>
                  <w:vAlign w:val="center"/>
                </w:tcPr>
                <w:p w14:paraId="0F18B7B4">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CO</w:t>
                  </w:r>
                </w:p>
              </w:tc>
              <w:tc>
                <w:tcPr>
                  <w:tcW w:w="1170" w:type="pct"/>
                  <w:noWrap w:val="0"/>
                  <w:vAlign w:val="center"/>
                </w:tcPr>
                <w:p w14:paraId="0A46CE3A">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24小时平均</w:t>
                  </w:r>
                </w:p>
              </w:tc>
              <w:tc>
                <w:tcPr>
                  <w:tcW w:w="839" w:type="pct"/>
                  <w:noWrap w:val="0"/>
                  <w:vAlign w:val="center"/>
                </w:tcPr>
                <w:p w14:paraId="30A17728">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4mg/m</w:t>
                  </w:r>
                  <w:r>
                    <w:rPr>
                      <w:rFonts w:hint="eastAsia"/>
                      <w:szCs w:val="22"/>
                      <w:vertAlign w:val="superscript"/>
                    </w:rPr>
                    <w:t>3</w:t>
                  </w:r>
                </w:p>
              </w:tc>
              <w:tc>
                <w:tcPr>
                  <w:tcW w:w="2137" w:type="pct"/>
                  <w:vMerge w:val="continue"/>
                  <w:noWrap w:val="0"/>
                  <w:vAlign w:val="center"/>
                </w:tcPr>
                <w:p w14:paraId="35E6EBFC">
                  <w:pPr>
                    <w:pStyle w:val="38"/>
                    <w:keepNext w:val="0"/>
                    <w:keepLines w:val="0"/>
                    <w:widowControl/>
                    <w:suppressLineNumbers w:val="0"/>
                    <w:bidi w:val="0"/>
                    <w:spacing w:before="0" w:beforeAutospacing="0" w:after="0" w:afterAutospacing="0"/>
                    <w:ind w:left="0" w:right="0"/>
                    <w:rPr>
                      <w:rFonts w:hint="eastAsia"/>
                      <w:szCs w:val="22"/>
                    </w:rPr>
                  </w:pPr>
                </w:p>
              </w:tc>
            </w:tr>
            <w:tr w14:paraId="04E45A7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2" w:type="pct"/>
                  <w:vMerge w:val="continue"/>
                  <w:noWrap w:val="0"/>
                  <w:vAlign w:val="center"/>
                </w:tcPr>
                <w:p w14:paraId="3F483C92">
                  <w:pPr>
                    <w:pStyle w:val="38"/>
                    <w:keepNext w:val="0"/>
                    <w:keepLines w:val="0"/>
                    <w:widowControl/>
                    <w:suppressLineNumbers w:val="0"/>
                    <w:bidi w:val="0"/>
                    <w:spacing w:before="0" w:beforeAutospacing="0" w:after="0" w:afterAutospacing="0"/>
                    <w:ind w:left="0" w:right="0"/>
                    <w:rPr>
                      <w:rFonts w:hint="eastAsia"/>
                      <w:szCs w:val="22"/>
                    </w:rPr>
                  </w:pPr>
                </w:p>
              </w:tc>
              <w:tc>
                <w:tcPr>
                  <w:tcW w:w="1170" w:type="pct"/>
                  <w:noWrap w:val="0"/>
                  <w:vAlign w:val="center"/>
                </w:tcPr>
                <w:p w14:paraId="65095EDF">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1小时平均</w:t>
                  </w:r>
                </w:p>
              </w:tc>
              <w:tc>
                <w:tcPr>
                  <w:tcW w:w="839" w:type="pct"/>
                  <w:noWrap w:val="0"/>
                  <w:vAlign w:val="center"/>
                </w:tcPr>
                <w:p w14:paraId="417411D3">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10mg/m</w:t>
                  </w:r>
                  <w:r>
                    <w:rPr>
                      <w:rFonts w:hint="eastAsia"/>
                      <w:szCs w:val="22"/>
                      <w:vertAlign w:val="superscript"/>
                    </w:rPr>
                    <w:t>3</w:t>
                  </w:r>
                </w:p>
              </w:tc>
              <w:tc>
                <w:tcPr>
                  <w:tcW w:w="2137" w:type="pct"/>
                  <w:vMerge w:val="continue"/>
                  <w:noWrap w:val="0"/>
                  <w:vAlign w:val="center"/>
                </w:tcPr>
                <w:p w14:paraId="63B05540">
                  <w:pPr>
                    <w:pStyle w:val="38"/>
                    <w:keepNext w:val="0"/>
                    <w:keepLines w:val="0"/>
                    <w:widowControl/>
                    <w:suppressLineNumbers w:val="0"/>
                    <w:bidi w:val="0"/>
                    <w:spacing w:before="0" w:beforeAutospacing="0" w:after="0" w:afterAutospacing="0"/>
                    <w:ind w:left="0" w:right="0"/>
                    <w:rPr>
                      <w:rFonts w:hint="eastAsia"/>
                      <w:szCs w:val="22"/>
                    </w:rPr>
                  </w:pPr>
                </w:p>
              </w:tc>
            </w:tr>
            <w:tr w14:paraId="0A35AA7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2" w:type="pct"/>
                  <w:vMerge w:val="restart"/>
                  <w:noWrap w:val="0"/>
                  <w:vAlign w:val="center"/>
                </w:tcPr>
                <w:p w14:paraId="3BDC0B77">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O</w:t>
                  </w:r>
                  <w:r>
                    <w:rPr>
                      <w:rFonts w:hint="eastAsia"/>
                      <w:szCs w:val="22"/>
                      <w:vertAlign w:val="subscript"/>
                    </w:rPr>
                    <w:t>3</w:t>
                  </w:r>
                </w:p>
              </w:tc>
              <w:tc>
                <w:tcPr>
                  <w:tcW w:w="1170" w:type="pct"/>
                  <w:noWrap w:val="0"/>
                  <w:vAlign w:val="center"/>
                </w:tcPr>
                <w:p w14:paraId="0827B534">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日最大8小时平均</w:t>
                  </w:r>
                </w:p>
              </w:tc>
              <w:tc>
                <w:tcPr>
                  <w:tcW w:w="839" w:type="pct"/>
                  <w:noWrap w:val="0"/>
                  <w:vAlign w:val="center"/>
                </w:tcPr>
                <w:p w14:paraId="3001FE6B">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160μg/m</w:t>
                  </w:r>
                  <w:r>
                    <w:rPr>
                      <w:rFonts w:hint="eastAsia"/>
                      <w:szCs w:val="22"/>
                      <w:vertAlign w:val="superscript"/>
                    </w:rPr>
                    <w:t>3</w:t>
                  </w:r>
                </w:p>
              </w:tc>
              <w:tc>
                <w:tcPr>
                  <w:tcW w:w="2137" w:type="pct"/>
                  <w:vMerge w:val="continue"/>
                  <w:noWrap w:val="0"/>
                  <w:vAlign w:val="center"/>
                </w:tcPr>
                <w:p w14:paraId="4F6FF838">
                  <w:pPr>
                    <w:pStyle w:val="38"/>
                    <w:keepNext w:val="0"/>
                    <w:keepLines w:val="0"/>
                    <w:widowControl/>
                    <w:suppressLineNumbers w:val="0"/>
                    <w:bidi w:val="0"/>
                    <w:spacing w:before="0" w:beforeAutospacing="0" w:after="0" w:afterAutospacing="0"/>
                    <w:ind w:left="0" w:right="0"/>
                    <w:rPr>
                      <w:rFonts w:hint="eastAsia"/>
                      <w:szCs w:val="22"/>
                    </w:rPr>
                  </w:pPr>
                </w:p>
              </w:tc>
            </w:tr>
            <w:tr w14:paraId="31805C7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2" w:type="pct"/>
                  <w:vMerge w:val="continue"/>
                  <w:noWrap w:val="0"/>
                  <w:vAlign w:val="center"/>
                </w:tcPr>
                <w:p w14:paraId="3A60258C">
                  <w:pPr>
                    <w:pStyle w:val="38"/>
                    <w:keepNext w:val="0"/>
                    <w:keepLines w:val="0"/>
                    <w:widowControl/>
                    <w:suppressLineNumbers w:val="0"/>
                    <w:bidi w:val="0"/>
                    <w:spacing w:before="0" w:beforeAutospacing="0" w:after="0" w:afterAutospacing="0"/>
                    <w:ind w:left="0" w:right="0"/>
                    <w:rPr>
                      <w:rFonts w:hint="eastAsia"/>
                      <w:szCs w:val="22"/>
                    </w:rPr>
                  </w:pPr>
                </w:p>
              </w:tc>
              <w:tc>
                <w:tcPr>
                  <w:tcW w:w="1170" w:type="pct"/>
                  <w:noWrap w:val="0"/>
                  <w:vAlign w:val="center"/>
                </w:tcPr>
                <w:p w14:paraId="6FBA457A">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1小时平均</w:t>
                  </w:r>
                </w:p>
              </w:tc>
              <w:tc>
                <w:tcPr>
                  <w:tcW w:w="839" w:type="pct"/>
                  <w:noWrap w:val="0"/>
                  <w:vAlign w:val="center"/>
                </w:tcPr>
                <w:p w14:paraId="0482BCE3">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200μg/m</w:t>
                  </w:r>
                  <w:r>
                    <w:rPr>
                      <w:rFonts w:hint="eastAsia"/>
                      <w:szCs w:val="22"/>
                      <w:vertAlign w:val="superscript"/>
                    </w:rPr>
                    <w:t>3</w:t>
                  </w:r>
                </w:p>
              </w:tc>
              <w:tc>
                <w:tcPr>
                  <w:tcW w:w="2137" w:type="pct"/>
                  <w:vMerge w:val="continue"/>
                  <w:noWrap w:val="0"/>
                  <w:vAlign w:val="center"/>
                </w:tcPr>
                <w:p w14:paraId="3743345F">
                  <w:pPr>
                    <w:pStyle w:val="38"/>
                    <w:keepNext w:val="0"/>
                    <w:keepLines w:val="0"/>
                    <w:widowControl/>
                    <w:suppressLineNumbers w:val="0"/>
                    <w:bidi w:val="0"/>
                    <w:spacing w:before="0" w:beforeAutospacing="0" w:after="0" w:afterAutospacing="0"/>
                    <w:ind w:left="0" w:right="0"/>
                    <w:rPr>
                      <w:rFonts w:hint="eastAsia"/>
                      <w:szCs w:val="22"/>
                    </w:rPr>
                  </w:pPr>
                </w:p>
              </w:tc>
            </w:tr>
            <w:tr w14:paraId="7610399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2" w:type="pct"/>
                  <w:vMerge w:val="restart"/>
                  <w:noWrap w:val="0"/>
                  <w:vAlign w:val="center"/>
                </w:tcPr>
                <w:p w14:paraId="5CFC5A79">
                  <w:pPr>
                    <w:pStyle w:val="38"/>
                    <w:keepNext w:val="0"/>
                    <w:keepLines w:val="0"/>
                    <w:widowControl/>
                    <w:suppressLineNumbers w:val="0"/>
                    <w:bidi w:val="0"/>
                    <w:spacing w:before="0" w:beforeAutospacing="0" w:after="0" w:afterAutospacing="0"/>
                    <w:ind w:left="0" w:right="0"/>
                    <w:rPr>
                      <w:rFonts w:hint="default" w:eastAsia="宋体"/>
                      <w:szCs w:val="22"/>
                      <w:lang w:val="en-US" w:eastAsia="zh-CN"/>
                    </w:rPr>
                  </w:pPr>
                  <w:r>
                    <w:rPr>
                      <w:rFonts w:hint="eastAsia"/>
                      <w:szCs w:val="22"/>
                      <w:lang w:val="en-US" w:eastAsia="zh-CN"/>
                    </w:rPr>
                    <w:t>TSP</w:t>
                  </w:r>
                </w:p>
              </w:tc>
              <w:tc>
                <w:tcPr>
                  <w:tcW w:w="1866" w:type="dxa"/>
                  <w:noWrap w:val="0"/>
                  <w:vAlign w:val="center"/>
                </w:tcPr>
                <w:p w14:paraId="3E311D6F">
                  <w:pPr>
                    <w:pStyle w:val="38"/>
                    <w:keepNext w:val="0"/>
                    <w:keepLines w:val="0"/>
                    <w:widowControl/>
                    <w:suppressLineNumbers w:val="0"/>
                    <w:bidi w:val="0"/>
                    <w:spacing w:before="0" w:beforeAutospacing="0" w:after="0" w:afterAutospacing="0"/>
                    <w:ind w:left="0" w:leftChars="0" w:right="0" w:rightChars="0"/>
                    <w:rPr>
                      <w:rFonts w:hint="eastAsia"/>
                      <w:szCs w:val="22"/>
                    </w:rPr>
                  </w:pPr>
                  <w:r>
                    <w:rPr>
                      <w:rFonts w:hint="eastAsia"/>
                      <w:szCs w:val="22"/>
                    </w:rPr>
                    <w:t>年平均</w:t>
                  </w:r>
                </w:p>
              </w:tc>
              <w:tc>
                <w:tcPr>
                  <w:tcW w:w="1338" w:type="dxa"/>
                  <w:noWrap w:val="0"/>
                  <w:vAlign w:val="center"/>
                </w:tcPr>
                <w:p w14:paraId="257CC7C8">
                  <w:pPr>
                    <w:pStyle w:val="38"/>
                    <w:keepNext w:val="0"/>
                    <w:keepLines w:val="0"/>
                    <w:widowControl/>
                    <w:suppressLineNumbers w:val="0"/>
                    <w:bidi w:val="0"/>
                    <w:spacing w:before="0" w:beforeAutospacing="0" w:after="0" w:afterAutospacing="0"/>
                    <w:ind w:left="0" w:leftChars="0" w:right="0" w:rightChars="0"/>
                    <w:rPr>
                      <w:rFonts w:hint="eastAsia"/>
                      <w:szCs w:val="22"/>
                    </w:rPr>
                  </w:pPr>
                  <w:r>
                    <w:rPr>
                      <w:rFonts w:hint="eastAsia"/>
                      <w:szCs w:val="22"/>
                      <w:lang w:val="en-US" w:eastAsia="zh-CN"/>
                    </w:rPr>
                    <w:t>200</w:t>
                  </w:r>
                  <w:r>
                    <w:rPr>
                      <w:rFonts w:hint="eastAsia"/>
                      <w:szCs w:val="22"/>
                    </w:rPr>
                    <w:t>μg/m</w:t>
                  </w:r>
                  <w:r>
                    <w:rPr>
                      <w:rFonts w:hint="eastAsia"/>
                      <w:szCs w:val="22"/>
                      <w:vertAlign w:val="superscript"/>
                    </w:rPr>
                    <w:t>3</w:t>
                  </w:r>
                </w:p>
              </w:tc>
              <w:tc>
                <w:tcPr>
                  <w:tcW w:w="2137" w:type="pct"/>
                  <w:vMerge w:val="continue"/>
                  <w:noWrap w:val="0"/>
                  <w:vAlign w:val="center"/>
                </w:tcPr>
                <w:p w14:paraId="624D1C77">
                  <w:pPr>
                    <w:pStyle w:val="38"/>
                    <w:keepNext w:val="0"/>
                    <w:keepLines w:val="0"/>
                    <w:widowControl/>
                    <w:suppressLineNumbers w:val="0"/>
                    <w:bidi w:val="0"/>
                    <w:spacing w:before="0" w:beforeAutospacing="0" w:after="0" w:afterAutospacing="0"/>
                    <w:ind w:left="0" w:right="0"/>
                    <w:rPr>
                      <w:rFonts w:hint="eastAsia"/>
                      <w:szCs w:val="22"/>
                    </w:rPr>
                  </w:pPr>
                </w:p>
              </w:tc>
            </w:tr>
            <w:tr w14:paraId="6B39662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2" w:type="pct"/>
                  <w:vMerge w:val="continue"/>
                  <w:noWrap w:val="0"/>
                  <w:vAlign w:val="center"/>
                </w:tcPr>
                <w:p w14:paraId="3230FCC2">
                  <w:pPr>
                    <w:pStyle w:val="38"/>
                    <w:keepNext w:val="0"/>
                    <w:keepLines w:val="0"/>
                    <w:widowControl/>
                    <w:suppressLineNumbers w:val="0"/>
                    <w:bidi w:val="0"/>
                    <w:spacing w:before="0" w:beforeAutospacing="0" w:after="0" w:afterAutospacing="0"/>
                    <w:ind w:left="0" w:right="0"/>
                    <w:rPr>
                      <w:rFonts w:hint="eastAsia"/>
                      <w:szCs w:val="22"/>
                    </w:rPr>
                  </w:pPr>
                </w:p>
              </w:tc>
              <w:tc>
                <w:tcPr>
                  <w:tcW w:w="1866" w:type="dxa"/>
                  <w:noWrap w:val="0"/>
                  <w:vAlign w:val="center"/>
                </w:tcPr>
                <w:p w14:paraId="793329D5">
                  <w:pPr>
                    <w:pStyle w:val="38"/>
                    <w:keepNext w:val="0"/>
                    <w:keepLines w:val="0"/>
                    <w:widowControl/>
                    <w:suppressLineNumbers w:val="0"/>
                    <w:bidi w:val="0"/>
                    <w:spacing w:before="0" w:beforeAutospacing="0" w:after="0" w:afterAutospacing="0"/>
                    <w:ind w:left="0" w:leftChars="0" w:right="0" w:rightChars="0"/>
                    <w:rPr>
                      <w:rFonts w:hint="eastAsia"/>
                      <w:szCs w:val="22"/>
                    </w:rPr>
                  </w:pPr>
                  <w:r>
                    <w:rPr>
                      <w:rFonts w:hint="eastAsia"/>
                      <w:szCs w:val="22"/>
                    </w:rPr>
                    <w:t>24小时平均</w:t>
                  </w:r>
                </w:p>
              </w:tc>
              <w:tc>
                <w:tcPr>
                  <w:tcW w:w="1338" w:type="dxa"/>
                  <w:noWrap w:val="0"/>
                  <w:vAlign w:val="center"/>
                </w:tcPr>
                <w:p w14:paraId="395864C8">
                  <w:pPr>
                    <w:pStyle w:val="38"/>
                    <w:keepNext w:val="0"/>
                    <w:keepLines w:val="0"/>
                    <w:widowControl/>
                    <w:suppressLineNumbers w:val="0"/>
                    <w:bidi w:val="0"/>
                    <w:spacing w:before="0" w:beforeAutospacing="0" w:after="0" w:afterAutospacing="0"/>
                    <w:ind w:left="0" w:leftChars="0" w:right="0" w:rightChars="0"/>
                    <w:rPr>
                      <w:rFonts w:hint="eastAsia"/>
                      <w:szCs w:val="22"/>
                    </w:rPr>
                  </w:pPr>
                  <w:r>
                    <w:rPr>
                      <w:rFonts w:hint="eastAsia"/>
                      <w:szCs w:val="22"/>
                      <w:lang w:val="en-US" w:eastAsia="zh-CN"/>
                    </w:rPr>
                    <w:t>300</w:t>
                  </w:r>
                  <w:r>
                    <w:rPr>
                      <w:rFonts w:hint="eastAsia"/>
                      <w:szCs w:val="22"/>
                    </w:rPr>
                    <w:t>μg/m</w:t>
                  </w:r>
                  <w:r>
                    <w:rPr>
                      <w:rFonts w:hint="eastAsia"/>
                      <w:szCs w:val="22"/>
                      <w:vertAlign w:val="superscript"/>
                    </w:rPr>
                    <w:t>3</w:t>
                  </w:r>
                </w:p>
              </w:tc>
              <w:tc>
                <w:tcPr>
                  <w:tcW w:w="2137" w:type="pct"/>
                  <w:vMerge w:val="continue"/>
                  <w:noWrap w:val="0"/>
                  <w:vAlign w:val="center"/>
                </w:tcPr>
                <w:p w14:paraId="209E8535">
                  <w:pPr>
                    <w:pStyle w:val="38"/>
                    <w:keepNext w:val="0"/>
                    <w:keepLines w:val="0"/>
                    <w:widowControl/>
                    <w:suppressLineNumbers w:val="0"/>
                    <w:bidi w:val="0"/>
                    <w:spacing w:before="0" w:beforeAutospacing="0" w:after="0" w:afterAutospacing="0"/>
                    <w:ind w:left="0" w:right="0"/>
                    <w:rPr>
                      <w:rFonts w:hint="eastAsia"/>
                      <w:szCs w:val="22"/>
                    </w:rPr>
                  </w:pPr>
                </w:p>
              </w:tc>
            </w:tr>
            <w:tr w14:paraId="0CB1A12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2" w:type="pct"/>
                  <w:noWrap w:val="0"/>
                  <w:vAlign w:val="center"/>
                </w:tcPr>
                <w:p w14:paraId="3E4A1211">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非甲烷总烃</w:t>
                  </w:r>
                </w:p>
              </w:tc>
              <w:tc>
                <w:tcPr>
                  <w:tcW w:w="1170" w:type="pct"/>
                  <w:noWrap w:val="0"/>
                  <w:vAlign w:val="center"/>
                </w:tcPr>
                <w:p w14:paraId="12198960">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1小时均值</w:t>
                  </w:r>
                </w:p>
              </w:tc>
              <w:tc>
                <w:tcPr>
                  <w:tcW w:w="839" w:type="pct"/>
                  <w:noWrap w:val="0"/>
                  <w:vAlign w:val="center"/>
                </w:tcPr>
                <w:p w14:paraId="2B7C46F6">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2.0mg/m</w:t>
                  </w:r>
                  <w:r>
                    <w:rPr>
                      <w:rFonts w:hint="eastAsia"/>
                      <w:szCs w:val="22"/>
                      <w:vertAlign w:val="superscript"/>
                    </w:rPr>
                    <w:t>3</w:t>
                  </w:r>
                </w:p>
              </w:tc>
              <w:tc>
                <w:tcPr>
                  <w:tcW w:w="2137" w:type="pct"/>
                  <w:noWrap w:val="0"/>
                  <w:vAlign w:val="center"/>
                </w:tcPr>
                <w:p w14:paraId="6AE2AAB0">
                  <w:pPr>
                    <w:pStyle w:val="38"/>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rPr>
                    <w:t>《大气污染物综合排放标准详解》</w:t>
                  </w:r>
                  <w:r>
                    <w:rPr>
                      <w:rFonts w:hint="eastAsia"/>
                      <w:szCs w:val="22"/>
                      <w:lang w:eastAsia="zh-CN"/>
                    </w:rPr>
                    <w:t>（</w:t>
                  </w:r>
                  <w:r>
                    <w:rPr>
                      <w:rFonts w:hint="eastAsia"/>
                      <w:szCs w:val="22"/>
                    </w:rPr>
                    <w:t>GB16297-1996</w:t>
                  </w:r>
                  <w:r>
                    <w:rPr>
                      <w:rFonts w:hint="eastAsia"/>
                      <w:szCs w:val="22"/>
                      <w:lang w:eastAsia="zh-CN"/>
                    </w:rPr>
                    <w:t>）</w:t>
                  </w:r>
                </w:p>
              </w:tc>
            </w:tr>
            <w:bookmarkEnd w:id="21"/>
            <w:bookmarkEnd w:id="22"/>
          </w:tbl>
          <w:p w14:paraId="53EE2BFD">
            <w:pPr>
              <w:pStyle w:val="4"/>
              <w:suppressLineNumbers w:val="0"/>
              <w:bidi w:val="0"/>
              <w:spacing w:before="0" w:beforeAutospacing="0" w:after="0" w:afterAutospacing="0"/>
              <w:ind w:left="0" w:right="0"/>
              <w:rPr>
                <w:rFonts w:hint="eastAsia"/>
              </w:rPr>
            </w:pPr>
            <w:r>
              <w:rPr>
                <w:rFonts w:hint="eastAsia"/>
              </w:rPr>
              <w:t>区域大气环境质量现状</w:t>
            </w:r>
          </w:p>
          <w:p w14:paraId="12262FFF">
            <w:pPr>
              <w:keepNext w:val="0"/>
              <w:keepLines w:val="0"/>
              <w:suppressLineNumbers w:val="0"/>
              <w:bidi w:val="0"/>
              <w:spacing w:before="0" w:beforeAutospacing="0" w:after="0" w:afterAutospacing="0"/>
              <w:ind w:left="0" w:right="0"/>
              <w:rPr>
                <w:rFonts w:hint="eastAsia"/>
              </w:rPr>
            </w:pPr>
            <w:r>
              <w:rPr>
                <w:rFonts w:hint="eastAsia"/>
                <w:lang w:eastAsia="zh-CN"/>
              </w:rPr>
              <w:t>（</w:t>
            </w:r>
            <w:r>
              <w:rPr>
                <w:rFonts w:hint="eastAsia"/>
              </w:rPr>
              <w:t>1</w:t>
            </w:r>
            <w:r>
              <w:rPr>
                <w:rFonts w:hint="eastAsia"/>
                <w:lang w:eastAsia="zh-CN"/>
              </w:rPr>
              <w:t>）</w:t>
            </w:r>
            <w:r>
              <w:rPr>
                <w:rFonts w:hint="eastAsia"/>
              </w:rPr>
              <w:t>项目所在区域环境质量现状</w:t>
            </w:r>
          </w:p>
          <w:p w14:paraId="5A1E84CD">
            <w:pPr>
              <w:keepNext w:val="0"/>
              <w:keepLines w:val="0"/>
              <w:suppressLineNumbers w:val="0"/>
              <w:bidi w:val="0"/>
              <w:spacing w:before="0" w:beforeAutospacing="0" w:after="0" w:afterAutospacing="0"/>
              <w:ind w:left="0" w:right="0"/>
              <w:rPr>
                <w:rFonts w:hint="default"/>
                <w:lang w:eastAsia="zh-CN"/>
              </w:rPr>
            </w:pPr>
            <w:r>
              <w:rPr>
                <w:rFonts w:hint="eastAsia"/>
                <w:lang w:val="en-US" w:eastAsia="zh-CN"/>
              </w:rPr>
              <w:t>1）</w:t>
            </w:r>
            <w:r>
              <w:rPr>
                <w:rFonts w:hint="eastAsia"/>
              </w:rPr>
              <w:t>常规污染因子</w:t>
            </w:r>
          </w:p>
          <w:p w14:paraId="0F24E50E">
            <w:pPr>
              <w:keepNext w:val="0"/>
              <w:keepLines w:val="0"/>
              <w:pageBreakBefore w:val="0"/>
              <w:widowControl w:val="0"/>
              <w:suppressLineNumbers w:val="0"/>
              <w:tabs>
                <w:tab w:val="left" w:pos="0"/>
              </w:tabs>
              <w:kinsoku/>
              <w:wordWrap w:val="0"/>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宋体"/>
                <w:color w:val="auto"/>
                <w:kern w:val="0"/>
                <w:sz w:val="24"/>
                <w:szCs w:val="20"/>
                <w:highlight w:val="none"/>
                <w:lang w:val="en-US" w:eastAsia="zh-CN" w:bidi="ar-SA"/>
              </w:rPr>
            </w:pPr>
            <w:r>
              <w:rPr>
                <w:rFonts w:hint="eastAsia" w:ascii="Times New Roman" w:hAnsi="Times New Roman" w:eastAsia="宋体" w:cs="宋体"/>
                <w:color w:val="auto"/>
                <w:kern w:val="0"/>
                <w:sz w:val="24"/>
                <w:szCs w:val="20"/>
                <w:highlight w:val="none"/>
                <w:lang w:val="en-US" w:eastAsia="zh-CN" w:bidi="ar-SA"/>
              </w:rPr>
              <w:t>城市环境空气质量达标情况评价指标为SO</w:t>
            </w:r>
            <w:r>
              <w:rPr>
                <w:rFonts w:hint="eastAsia" w:ascii="Times New Roman" w:hAnsi="Times New Roman" w:eastAsia="宋体" w:cs="宋体"/>
                <w:color w:val="auto"/>
                <w:kern w:val="0"/>
                <w:sz w:val="24"/>
                <w:szCs w:val="20"/>
                <w:highlight w:val="none"/>
                <w:vertAlign w:val="subscript"/>
                <w:lang w:val="en-US" w:eastAsia="zh-CN" w:bidi="ar-SA"/>
              </w:rPr>
              <w:t>2</w:t>
            </w:r>
            <w:r>
              <w:rPr>
                <w:rFonts w:hint="eastAsia" w:ascii="Times New Roman" w:hAnsi="Times New Roman" w:eastAsia="宋体" w:cs="宋体"/>
                <w:color w:val="auto"/>
                <w:kern w:val="0"/>
                <w:sz w:val="24"/>
                <w:szCs w:val="20"/>
                <w:highlight w:val="none"/>
                <w:lang w:val="en-US" w:eastAsia="zh-CN" w:bidi="ar-SA"/>
              </w:rPr>
              <w:t>、NO</w:t>
            </w:r>
            <w:r>
              <w:rPr>
                <w:rFonts w:hint="eastAsia" w:ascii="Times New Roman" w:hAnsi="Times New Roman" w:eastAsia="宋体" w:cs="宋体"/>
                <w:color w:val="auto"/>
                <w:kern w:val="0"/>
                <w:sz w:val="24"/>
                <w:szCs w:val="20"/>
                <w:highlight w:val="none"/>
                <w:vertAlign w:val="subscript"/>
                <w:lang w:val="en-US" w:eastAsia="zh-CN" w:bidi="ar-SA"/>
              </w:rPr>
              <w:t>2</w:t>
            </w:r>
            <w:r>
              <w:rPr>
                <w:rFonts w:hint="eastAsia" w:ascii="Times New Roman" w:hAnsi="Times New Roman" w:eastAsia="宋体" w:cs="宋体"/>
                <w:color w:val="auto"/>
                <w:kern w:val="0"/>
                <w:sz w:val="24"/>
                <w:szCs w:val="20"/>
                <w:highlight w:val="none"/>
                <w:lang w:val="en-US" w:eastAsia="zh-CN" w:bidi="ar-SA"/>
              </w:rPr>
              <w:t>、PM</w:t>
            </w:r>
            <w:r>
              <w:rPr>
                <w:rFonts w:hint="eastAsia" w:ascii="Times New Roman" w:hAnsi="Times New Roman" w:eastAsia="宋体" w:cs="宋体"/>
                <w:color w:val="auto"/>
                <w:kern w:val="0"/>
                <w:sz w:val="24"/>
                <w:szCs w:val="20"/>
                <w:highlight w:val="none"/>
                <w:vertAlign w:val="subscript"/>
                <w:lang w:val="en-US" w:eastAsia="zh-CN" w:bidi="ar-SA"/>
              </w:rPr>
              <w:t>10</w:t>
            </w:r>
            <w:r>
              <w:rPr>
                <w:rFonts w:hint="eastAsia" w:ascii="Times New Roman" w:hAnsi="Times New Roman" w:eastAsia="宋体" w:cs="宋体"/>
                <w:color w:val="auto"/>
                <w:kern w:val="0"/>
                <w:sz w:val="24"/>
                <w:szCs w:val="20"/>
                <w:highlight w:val="none"/>
                <w:lang w:val="en-US" w:eastAsia="zh-CN" w:bidi="ar-SA"/>
              </w:rPr>
              <w:t>、PM</w:t>
            </w:r>
            <w:r>
              <w:rPr>
                <w:rFonts w:hint="eastAsia" w:ascii="Times New Roman" w:hAnsi="Times New Roman" w:eastAsia="宋体" w:cs="宋体"/>
                <w:color w:val="auto"/>
                <w:kern w:val="0"/>
                <w:sz w:val="24"/>
                <w:szCs w:val="20"/>
                <w:highlight w:val="none"/>
                <w:vertAlign w:val="subscript"/>
                <w:lang w:val="en-US" w:eastAsia="zh-CN" w:bidi="ar-SA"/>
              </w:rPr>
              <w:t>2.5</w:t>
            </w:r>
            <w:r>
              <w:rPr>
                <w:rFonts w:hint="eastAsia" w:ascii="Times New Roman" w:hAnsi="Times New Roman" w:eastAsia="宋体" w:cs="宋体"/>
                <w:color w:val="auto"/>
                <w:kern w:val="0"/>
                <w:sz w:val="24"/>
                <w:szCs w:val="20"/>
                <w:highlight w:val="none"/>
                <w:lang w:val="en-US" w:eastAsia="zh-CN" w:bidi="ar-SA"/>
              </w:rPr>
              <w:t>、CO和O</w:t>
            </w:r>
            <w:r>
              <w:rPr>
                <w:rFonts w:hint="eastAsia" w:ascii="Times New Roman" w:hAnsi="Times New Roman" w:eastAsia="宋体" w:cs="宋体"/>
                <w:color w:val="auto"/>
                <w:kern w:val="0"/>
                <w:sz w:val="24"/>
                <w:szCs w:val="20"/>
                <w:highlight w:val="none"/>
                <w:vertAlign w:val="subscript"/>
                <w:lang w:val="en-US" w:eastAsia="zh-CN" w:bidi="ar-SA"/>
              </w:rPr>
              <w:t>3</w:t>
            </w:r>
            <w:r>
              <w:rPr>
                <w:rFonts w:hint="eastAsia" w:ascii="Times New Roman" w:hAnsi="Times New Roman" w:eastAsia="宋体" w:cs="宋体"/>
                <w:color w:val="auto"/>
                <w:kern w:val="0"/>
                <w:sz w:val="24"/>
                <w:szCs w:val="20"/>
                <w:highlight w:val="none"/>
                <w:lang w:val="en-US" w:eastAsia="zh-CN" w:bidi="ar-SA"/>
              </w:rPr>
              <w:t>，六项污染物全部达标即为城市环境空气质量达标。根据福建省生态环境厅发布的</w:t>
            </w:r>
            <w:r>
              <w:rPr>
                <w:rFonts w:hint="eastAsia" w:cs="宋体"/>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20</w:t>
            </w:r>
            <w:r>
              <w:rPr>
                <w:rFonts w:hint="eastAsia" w:cs="宋体"/>
                <w:color w:val="auto"/>
                <w:kern w:val="0"/>
                <w:sz w:val="24"/>
                <w:szCs w:val="20"/>
                <w:highlight w:val="none"/>
                <w:lang w:val="en-US" w:eastAsia="zh-CN" w:bidi="ar-SA"/>
              </w:rPr>
              <w:t>25</w:t>
            </w:r>
            <w:r>
              <w:rPr>
                <w:rFonts w:hint="eastAsia" w:ascii="Times New Roman" w:hAnsi="Times New Roman" w:eastAsia="宋体" w:cs="宋体"/>
                <w:color w:val="auto"/>
                <w:kern w:val="0"/>
                <w:sz w:val="24"/>
                <w:szCs w:val="20"/>
                <w:highlight w:val="none"/>
                <w:lang w:val="en-US" w:eastAsia="zh-CN" w:bidi="ar-SA"/>
              </w:rPr>
              <w:t>年12月福建省城市环境空气质量状况</w:t>
            </w:r>
            <w:r>
              <w:rPr>
                <w:rFonts w:hint="eastAsia" w:cs="宋体"/>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显示（https://sthjt.fujian.gov.cn/ztzl/hjzl/dqzl/hjkqzlyb/202601/t20260126_7085242.htm），</w:t>
            </w:r>
            <w:r>
              <w:rPr>
                <w:rFonts w:hint="eastAsia" w:cs="宋体"/>
                <w:color w:val="auto"/>
                <w:kern w:val="0"/>
                <w:sz w:val="24"/>
                <w:szCs w:val="20"/>
                <w:highlight w:val="none"/>
                <w:lang w:val="en-US" w:eastAsia="zh-CN" w:bidi="ar-SA"/>
              </w:rPr>
              <w:t>2025</w:t>
            </w:r>
            <w:r>
              <w:rPr>
                <w:rFonts w:hint="eastAsia" w:ascii="Times New Roman" w:hAnsi="Times New Roman" w:eastAsia="宋体" w:cs="宋体"/>
                <w:color w:val="auto"/>
                <w:kern w:val="0"/>
                <w:sz w:val="24"/>
                <w:szCs w:val="20"/>
                <w:highlight w:val="none"/>
                <w:lang w:val="en-US" w:eastAsia="zh-CN" w:bidi="ar-SA"/>
              </w:rPr>
              <w:t>年1—12月，福清</w:t>
            </w:r>
            <w:r>
              <w:rPr>
                <w:rFonts w:hint="eastAsia" w:cs="宋体"/>
                <w:color w:val="auto"/>
                <w:kern w:val="0"/>
                <w:sz w:val="24"/>
                <w:szCs w:val="20"/>
                <w:highlight w:val="none"/>
                <w:lang w:val="en-US" w:eastAsia="zh-CN" w:bidi="ar-SA"/>
              </w:rPr>
              <w:t>市</w:t>
            </w:r>
            <w:r>
              <w:rPr>
                <w:rFonts w:hint="eastAsia" w:ascii="Times New Roman" w:hAnsi="Times New Roman" w:eastAsia="宋体" w:cs="宋体"/>
                <w:color w:val="auto"/>
                <w:kern w:val="0"/>
                <w:sz w:val="24"/>
                <w:szCs w:val="20"/>
                <w:highlight w:val="none"/>
                <w:lang w:val="en-US" w:eastAsia="zh-CN" w:bidi="ar-SA"/>
              </w:rPr>
              <w:t>环境空气质量综合指数2.</w:t>
            </w:r>
            <w:r>
              <w:rPr>
                <w:rFonts w:hint="eastAsia" w:cs="宋体"/>
                <w:color w:val="auto"/>
                <w:kern w:val="0"/>
                <w:sz w:val="24"/>
                <w:szCs w:val="20"/>
                <w:highlight w:val="none"/>
                <w:lang w:val="en-US" w:eastAsia="zh-CN" w:bidi="ar-SA"/>
              </w:rPr>
              <w:t>3</w:t>
            </w:r>
            <w:r>
              <w:rPr>
                <w:rFonts w:hint="eastAsia" w:ascii="Times New Roman" w:hAnsi="Times New Roman" w:eastAsia="宋体" w:cs="宋体"/>
                <w:color w:val="auto"/>
                <w:kern w:val="0"/>
                <w:sz w:val="24"/>
                <w:szCs w:val="20"/>
                <w:highlight w:val="none"/>
                <w:lang w:val="en-US" w:eastAsia="zh-CN" w:bidi="ar-SA"/>
              </w:rPr>
              <w:t>7。由此可知，福州市城区环境空气质量总体达到二级标准，福清市属于达标区域；见</w:t>
            </w:r>
            <w:r>
              <w:rPr>
                <w:rFonts w:hint="eastAsia" w:cs="宋体"/>
                <w:color w:val="auto"/>
                <w:kern w:val="0"/>
                <w:sz w:val="24"/>
                <w:szCs w:val="20"/>
                <w:highlight w:val="none"/>
                <w:lang w:val="en-US" w:eastAsia="zh-CN" w:bidi="ar-SA"/>
              </w:rPr>
              <w:t>下图</w:t>
            </w:r>
            <w:r>
              <w:rPr>
                <w:rFonts w:hint="eastAsia" w:ascii="Times New Roman" w:hAnsi="Times New Roman" w:eastAsia="宋体" w:cs="宋体"/>
                <w:color w:val="auto"/>
                <w:kern w:val="0"/>
                <w:sz w:val="24"/>
                <w:szCs w:val="20"/>
                <w:highlight w:val="none"/>
                <w:lang w:val="en-US" w:eastAsia="zh-CN" w:bidi="ar-SA"/>
              </w:rPr>
              <w:t>。</w:t>
            </w:r>
          </w:p>
          <w:p w14:paraId="2DCFDBBF">
            <w:pPr>
              <w:pStyle w:val="39"/>
              <w:keepNext w:val="0"/>
              <w:keepLines w:val="0"/>
              <w:suppressLineNumbers w:val="0"/>
              <w:bidi w:val="0"/>
              <w:spacing w:before="0" w:beforeAutospacing="0" w:after="0" w:afterAutospacing="0"/>
              <w:ind w:left="0" w:right="0"/>
              <w:rPr>
                <w:rFonts w:hint="eastAsia"/>
              </w:rPr>
            </w:pPr>
            <w:r>
              <w:rPr>
                <w:rFonts w:hint="eastAsia"/>
              </w:rPr>
              <w:drawing>
                <wp:inline distT="0" distB="0" distL="114300" distR="114300">
                  <wp:extent cx="5219700" cy="3161030"/>
                  <wp:effectExtent l="0" t="0" r="0" b="127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5"/>
                          <a:stretch>
                            <a:fillRect/>
                          </a:stretch>
                        </pic:blipFill>
                        <pic:spPr>
                          <a:xfrm>
                            <a:off x="0" y="0"/>
                            <a:ext cx="5219700" cy="3161030"/>
                          </a:xfrm>
                          <a:prstGeom prst="rect">
                            <a:avLst/>
                          </a:prstGeom>
                          <a:noFill/>
                          <a:ln>
                            <a:noFill/>
                          </a:ln>
                        </pic:spPr>
                      </pic:pic>
                    </a:graphicData>
                  </a:graphic>
                </wp:inline>
              </w:drawing>
            </w:r>
            <w:r>
              <w:rPr>
                <w:rFonts w:hint="eastAsia"/>
                <w:lang w:val="en-US" w:eastAsia="zh-CN"/>
              </w:rPr>
              <w:t>图3.1-1</w:t>
            </w:r>
            <w:r>
              <w:rPr>
                <w:rFonts w:hint="eastAsia"/>
              </w:rPr>
              <w:t xml:space="preserve"> 福清市202</w:t>
            </w:r>
            <w:r>
              <w:rPr>
                <w:rFonts w:hint="eastAsia"/>
                <w:lang w:val="en-US" w:eastAsia="zh-CN"/>
              </w:rPr>
              <w:t>5</w:t>
            </w:r>
            <w:r>
              <w:rPr>
                <w:rFonts w:hint="eastAsia"/>
              </w:rPr>
              <w:t>年1月份~202</w:t>
            </w:r>
            <w:r>
              <w:rPr>
                <w:rFonts w:hint="eastAsia"/>
                <w:lang w:val="en-US" w:eastAsia="zh-CN"/>
              </w:rPr>
              <w:t>5</w:t>
            </w:r>
            <w:r>
              <w:rPr>
                <w:rFonts w:hint="eastAsia"/>
              </w:rPr>
              <w:t>年12月份环境空气质量统计</w:t>
            </w:r>
          </w:p>
          <w:p w14:paraId="40C1F2F1">
            <w:pPr>
              <w:keepNext w:val="0"/>
              <w:keepLines w:val="0"/>
              <w:suppressLineNumbers w:val="0"/>
              <w:bidi w:val="0"/>
              <w:spacing w:before="0" w:beforeAutospacing="0" w:after="0" w:afterAutospacing="0"/>
              <w:ind w:left="0" w:right="0"/>
              <w:rPr>
                <w:rFonts w:hint="default"/>
              </w:rPr>
            </w:pPr>
            <w:r>
              <w:rPr>
                <w:rFonts w:hint="default"/>
              </w:rPr>
              <w:t>①引用数据的有效性分析</w:t>
            </w:r>
          </w:p>
          <w:p w14:paraId="4C27E73C">
            <w:pPr>
              <w:keepNext w:val="0"/>
              <w:keepLines w:val="0"/>
              <w:suppressLineNumbers w:val="0"/>
              <w:bidi w:val="0"/>
              <w:spacing w:before="0" w:beforeAutospacing="0" w:after="0" w:afterAutospacing="0"/>
              <w:ind w:left="0" w:right="0"/>
              <w:rPr>
                <w:rFonts w:hint="eastAsia"/>
              </w:rPr>
            </w:pPr>
            <w:r>
              <w:rPr>
                <w:rFonts w:hint="default"/>
              </w:rPr>
              <w:t>根据《环境影响评价技术导则 大气环境》</w:t>
            </w:r>
            <w:r>
              <w:rPr>
                <w:rFonts w:hint="eastAsia"/>
                <w:lang w:eastAsia="zh-CN"/>
              </w:rPr>
              <w:t>（</w:t>
            </w:r>
            <w:r>
              <w:rPr>
                <w:rFonts w:hint="default"/>
              </w:rPr>
              <w:t>HJ2.2-2018</w:t>
            </w:r>
            <w:r>
              <w:rPr>
                <w:rFonts w:hint="eastAsia"/>
                <w:lang w:eastAsia="zh-CN"/>
              </w:rPr>
              <w:t>）</w:t>
            </w:r>
            <w:r>
              <w:rPr>
                <w:rFonts w:hint="default"/>
              </w:rPr>
              <w:t>的6.2.1.1要求：</w:t>
            </w:r>
            <w:r>
              <w:rPr>
                <w:rFonts w:hint="eastAsia"/>
                <w:lang w:eastAsia="zh-CN"/>
              </w:rPr>
              <w:t>“</w:t>
            </w:r>
            <w:r>
              <w:rPr>
                <w:rFonts w:hint="default"/>
              </w:rPr>
              <w:t>项目所在区域达标判定，大气环境质量现状调查应优先采用国家或地方生态环境主管部门发布的评价基准年环境质量公告或环境质量报告中的数据或结论</w:t>
            </w:r>
            <w:r>
              <w:rPr>
                <w:rFonts w:hint="eastAsia"/>
                <w:lang w:eastAsia="zh-CN"/>
              </w:rPr>
              <w:t>”</w:t>
            </w:r>
            <w:r>
              <w:rPr>
                <w:rFonts w:hint="default"/>
              </w:rPr>
              <w:t>，</w:t>
            </w:r>
            <w:r>
              <w:rPr>
                <w:rFonts w:hint="eastAsia"/>
                <w:lang w:eastAsia="zh-CN"/>
              </w:rPr>
              <w:t>本次</w:t>
            </w:r>
            <w:r>
              <w:rPr>
                <w:rFonts w:hint="default"/>
              </w:rPr>
              <w:t>评价选取福清市人民政府发布的环境空气质量现状信息，符合《环境影响评价技术导则 大气环境》</w:t>
            </w:r>
            <w:r>
              <w:rPr>
                <w:rFonts w:hint="eastAsia"/>
                <w:lang w:eastAsia="zh-CN"/>
              </w:rPr>
              <w:t>（</w:t>
            </w:r>
            <w:r>
              <w:rPr>
                <w:rFonts w:hint="default"/>
              </w:rPr>
              <w:t>HJ2.2-2018</w:t>
            </w:r>
            <w:r>
              <w:rPr>
                <w:rFonts w:hint="eastAsia"/>
                <w:lang w:eastAsia="zh-CN"/>
              </w:rPr>
              <w:t>）</w:t>
            </w:r>
            <w:r>
              <w:rPr>
                <w:rFonts w:hint="default"/>
              </w:rPr>
              <w:t>的要求，环境现状监测数据可行。</w:t>
            </w:r>
          </w:p>
          <w:p w14:paraId="0EFA3424">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2）</w:t>
            </w:r>
            <w:r>
              <w:rPr>
                <w:rFonts w:hint="eastAsia"/>
              </w:rPr>
              <w:t>特征污染因子</w:t>
            </w:r>
          </w:p>
          <w:p w14:paraId="465794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根据《关于</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建设项目环境影响报告表</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内容、格式及编制技术指南常见问题解答》（生态环境部环境工程评估中心）：</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技术指南中提到‘排放国家、地方环境空气质量标准中有标准限值要求的特征污染物’，其中环境空气质量标准指《环境空气质量标准》</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GB3095</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和地方的环境空气质量标准，不包括《环境影响评价技术导则 大气环境》</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HJ2.2-2018</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附录D、《工业企业设计卫生标准》</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TJ36-97</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、《前苏联居住区标准》</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CH245-71</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、《环境影响评价技术导则 制药建设项目》</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HJ611-2011</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、《大气污染物综合排放标准详解》等导则或参考资料。排放的特征污染物需要在国家、地方环境空气质量标准中有限值要求才涉及现状监测</w:t>
            </w:r>
            <w:r>
              <w:rPr>
                <w:rFonts w:hint="eastAsia" w:cs="Times New Roman"/>
                <w:color w:val="auto"/>
                <w:kern w:val="2"/>
                <w:sz w:val="24"/>
                <w:szCs w:val="24"/>
                <w:highlight w:val="none"/>
                <w:lang w:val="en-US" w:eastAsia="zh-CN" w:bidi="ar-SA"/>
              </w:rPr>
              <w:t>且</w:t>
            </w:r>
            <w:r>
              <w:rPr>
                <w:rFonts w:hint="eastAsia" w:ascii="Times New Roman" w:hAnsi="Times New Roman" w:eastAsia="宋体" w:cs="Times New Roman"/>
                <w:color w:val="auto"/>
                <w:kern w:val="2"/>
                <w:sz w:val="24"/>
                <w:szCs w:val="24"/>
                <w:highlight w:val="none"/>
                <w:lang w:val="en-US" w:eastAsia="zh-CN" w:bidi="ar-SA"/>
              </w:rPr>
              <w:t>优先引用现有监测数据</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w:t>
            </w:r>
          </w:p>
          <w:p w14:paraId="19770261">
            <w:pPr>
              <w:keepNext w:val="0"/>
              <w:keepLines w:val="0"/>
              <w:suppressLineNumbers w:val="0"/>
              <w:adjustRightInd w:val="0"/>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本项目排放的其他污染物为非甲烷总烃</w:t>
            </w:r>
            <w:r>
              <w:rPr>
                <w:rFonts w:hint="eastAsia" w:cs="Times New Roman"/>
                <w:color w:val="auto"/>
                <w:sz w:val="24"/>
                <w:highlight w:val="none"/>
                <w:lang w:eastAsia="zh-CN"/>
              </w:rPr>
              <w:t>、</w:t>
            </w:r>
            <w:r>
              <w:rPr>
                <w:rFonts w:hint="eastAsia" w:cs="Times New Roman"/>
                <w:color w:val="auto"/>
                <w:sz w:val="24"/>
                <w:highlight w:val="none"/>
                <w:lang w:val="en-US" w:eastAsia="zh-CN"/>
              </w:rPr>
              <w:t>颗粒物</w:t>
            </w:r>
            <w:r>
              <w:rPr>
                <w:rFonts w:hint="eastAsia"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其中非甲烷总烃</w:t>
            </w:r>
            <w:r>
              <w:rPr>
                <w:rFonts w:hint="eastAsia" w:ascii="Times New Roman" w:hAnsi="Times New Roman" w:eastAsia="宋体" w:cs="Times New Roman"/>
                <w:color w:val="auto"/>
                <w:sz w:val="24"/>
                <w:highlight w:val="none"/>
              </w:rPr>
              <w:t>不属于</w:t>
            </w:r>
            <w:r>
              <w:rPr>
                <w:rFonts w:hint="eastAsia" w:cs="Times New Roman"/>
                <w:color w:val="auto"/>
                <w:sz w:val="24"/>
                <w:highlight w:val="none"/>
                <w:lang w:eastAsia="zh-CN"/>
              </w:rPr>
              <w:t>《环境空气质量标准》（GB 3095—2026）</w:t>
            </w:r>
            <w:r>
              <w:rPr>
                <w:rFonts w:hint="eastAsia" w:ascii="Times New Roman" w:hAnsi="Times New Roman" w:eastAsia="宋体" w:cs="Times New Roman"/>
                <w:color w:val="auto"/>
                <w:sz w:val="24"/>
                <w:highlight w:val="none"/>
              </w:rPr>
              <w:t>和</w:t>
            </w:r>
            <w:r>
              <w:rPr>
                <w:rFonts w:hint="eastAsia" w:cs="Times New Roman"/>
                <w:color w:val="auto"/>
                <w:sz w:val="24"/>
                <w:highlight w:val="none"/>
                <w:lang w:eastAsia="zh-CN"/>
              </w:rPr>
              <w:t>地方</w:t>
            </w:r>
            <w:r>
              <w:rPr>
                <w:rFonts w:hint="eastAsia" w:ascii="Times New Roman" w:hAnsi="Times New Roman" w:eastAsia="宋体" w:cs="Times New Roman"/>
                <w:color w:val="auto"/>
                <w:sz w:val="24"/>
                <w:highlight w:val="none"/>
              </w:rPr>
              <w:t>环境空气质量中有标准限值要求的污染物，因此</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不</w:t>
            </w:r>
            <w:r>
              <w:rPr>
                <w:rFonts w:hint="eastAsia" w:ascii="Times New Roman" w:hAnsi="Times New Roman" w:eastAsia="宋体" w:cs="Times New Roman"/>
                <w:color w:val="auto"/>
                <w:sz w:val="24"/>
                <w:highlight w:val="none"/>
                <w:lang w:val="en-US" w:eastAsia="zh-CN"/>
              </w:rPr>
              <w:t>对非甲烷总烃</w:t>
            </w:r>
            <w:r>
              <w:rPr>
                <w:rFonts w:hint="eastAsia" w:ascii="Times New Roman" w:hAnsi="Times New Roman" w:eastAsia="宋体" w:cs="Times New Roman"/>
                <w:color w:val="auto"/>
                <w:sz w:val="24"/>
                <w:highlight w:val="none"/>
              </w:rPr>
              <w:t>进行特征污染物现状检测评价。</w:t>
            </w:r>
          </w:p>
          <w:p w14:paraId="57C2520B">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kern w:val="0"/>
                <w:sz w:val="24"/>
                <w:szCs w:val="24"/>
                <w:lang w:val="en-US" w:eastAsia="zh-CN" w:bidi="ar"/>
              </w:rPr>
            </w:pPr>
            <w:r>
              <w:rPr>
                <w:rFonts w:hint="eastAsia"/>
              </w:rPr>
              <w:drawing>
                <wp:anchor distT="0" distB="0" distL="114300" distR="114300" simplePos="0" relativeHeight="251671552" behindDoc="0" locked="0" layoutInCell="1" allowOverlap="1">
                  <wp:simplePos x="0" y="0"/>
                  <wp:positionH relativeFrom="column">
                    <wp:posOffset>4711065</wp:posOffset>
                  </wp:positionH>
                  <wp:positionV relativeFrom="paragraph">
                    <wp:posOffset>1474470</wp:posOffset>
                  </wp:positionV>
                  <wp:extent cx="271145" cy="504825"/>
                  <wp:effectExtent l="0" t="0" r="14605" b="9525"/>
                  <wp:wrapNone/>
                  <wp:docPr id="17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6"/>
                          <pic:cNvPicPr>
                            <a:picLocks noChangeAspect="1"/>
                          </pic:cNvPicPr>
                        </pic:nvPicPr>
                        <pic:blipFill>
                          <a:blip r:embed="rId16"/>
                          <a:stretch>
                            <a:fillRect/>
                          </a:stretch>
                        </pic:blipFill>
                        <pic:spPr>
                          <a:xfrm>
                            <a:off x="0" y="0"/>
                            <a:ext cx="271145" cy="504825"/>
                          </a:xfrm>
                          <a:prstGeom prst="rect">
                            <a:avLst/>
                          </a:prstGeom>
                          <a:noFill/>
                          <a:ln>
                            <a:noFill/>
                          </a:ln>
                        </pic:spPr>
                      </pic:pic>
                    </a:graphicData>
                  </a:graphic>
                </wp:anchor>
              </w:drawing>
            </w:r>
            <w:r>
              <w:rPr>
                <w:rFonts w:hint="eastAsia" w:ascii="Times New Roman" w:hAnsi="Times New Roman" w:eastAsia="宋体" w:cs="Times New Roman"/>
                <w:color w:val="auto"/>
                <w:kern w:val="0"/>
                <w:sz w:val="24"/>
                <w:szCs w:val="24"/>
                <w:lang w:val="en-US" w:eastAsia="zh-CN" w:bidi="ar"/>
              </w:rPr>
              <w:t>为了解项目所在区域环境空气中颗粒物情况</w:t>
            </w:r>
            <w:r>
              <w:rPr>
                <w:rFonts w:hint="eastAsia" w:cs="Times New Roman"/>
                <w:color w:val="auto"/>
                <w:kern w:val="0"/>
                <w:sz w:val="24"/>
                <w:szCs w:val="24"/>
                <w:lang w:val="en-US" w:eastAsia="zh-CN" w:bidi="ar"/>
              </w:rPr>
              <w:t>，</w:t>
            </w:r>
            <w:r>
              <w:rPr>
                <w:rFonts w:hint="eastAsia"/>
                <w:b w:val="0"/>
                <w:bCs w:val="0"/>
                <w:iCs w:val="0"/>
              </w:rPr>
              <w:t>引用《福州市闽侯振兴炜业机械有限公司年加工工业连接器300万件、6KV以下工业线缆200万件</w:t>
            </w:r>
            <w:r>
              <w:rPr>
                <w:rFonts w:hint="eastAsia" w:ascii="Times New Roman" w:hAnsi="Times New Roman" w:eastAsia="宋体" w:cs="Times New Roman"/>
                <w:b w:val="0"/>
                <w:bCs w:val="0"/>
                <w:iCs w:val="0"/>
                <w:color w:val="000000"/>
                <w:szCs w:val="21"/>
                <w:highlight w:val="none"/>
                <w:lang w:val="en-US" w:eastAsia="zh-CN"/>
              </w:rPr>
              <w:t>环境影响评价报告表</w:t>
            </w:r>
            <w:r>
              <w:rPr>
                <w:rFonts w:hint="eastAsia"/>
                <w:b w:val="0"/>
                <w:bCs w:val="0"/>
                <w:iCs w:val="0"/>
              </w:rPr>
              <w:t>》中的颗粒物监测数据</w:t>
            </w:r>
            <w:r>
              <w:rPr>
                <w:rFonts w:hint="eastAsia"/>
                <w:b w:val="0"/>
                <w:bCs w:val="0"/>
                <w:iCs w:val="0"/>
                <w:lang w:eastAsia="zh-CN"/>
              </w:rPr>
              <w:t>，</w:t>
            </w:r>
            <w:r>
              <w:rPr>
                <w:rFonts w:hint="eastAsia"/>
                <w:b w:val="0"/>
                <w:bCs w:val="0"/>
                <w:iCs w:val="0"/>
                <w:lang w:val="en-US" w:eastAsia="zh-CN"/>
              </w:rPr>
              <w:t>检测单位为</w:t>
            </w:r>
            <w:r>
              <w:rPr>
                <w:rFonts w:hint="eastAsia" w:cs="Times New Roman"/>
                <w:color w:val="auto"/>
                <w:kern w:val="0"/>
                <w:sz w:val="24"/>
                <w:szCs w:val="24"/>
                <w:lang w:val="en-US" w:eastAsia="zh-CN" w:bidi="ar"/>
              </w:rPr>
              <w:t>福建华远检测有限公司</w:t>
            </w:r>
            <w:r>
              <w:rPr>
                <w:rFonts w:hint="eastAsia" w:ascii="Times New Roman" w:hAnsi="Times New Roman" w:eastAsia="宋体" w:cs="Times New Roman"/>
                <w:color w:val="auto"/>
                <w:kern w:val="0"/>
                <w:sz w:val="24"/>
                <w:szCs w:val="24"/>
                <w:lang w:val="en-US" w:eastAsia="zh-CN" w:bidi="ar"/>
              </w:rPr>
              <w:t>于2025年10月30日~2025年11月02日对其进行监测，监测结果见表3.1-2，检测报告见</w:t>
            </w:r>
            <w:r>
              <w:rPr>
                <w:rFonts w:hint="eastAsia" w:ascii="Times New Roman" w:hAnsi="Times New Roman" w:eastAsia="宋体" w:cs="Times New Roman"/>
                <w:color w:val="auto"/>
                <w:kern w:val="0"/>
                <w:sz w:val="24"/>
                <w:szCs w:val="24"/>
                <w:lang w:val="en-US" w:eastAsia="zh-CN" w:bidi="ar"/>
              </w:rPr>
              <w:fldChar w:fldCharType="begin"/>
            </w:r>
            <w:r>
              <w:rPr>
                <w:rFonts w:hint="eastAsia" w:ascii="Times New Roman" w:hAnsi="Times New Roman" w:eastAsia="宋体" w:cs="Times New Roman"/>
                <w:color w:val="auto"/>
                <w:kern w:val="0"/>
                <w:sz w:val="24"/>
                <w:szCs w:val="24"/>
                <w:lang w:val="en-US" w:eastAsia="zh-CN" w:bidi="ar"/>
              </w:rPr>
              <w:instrText xml:space="preserve"> REF _Ref22411 \h </w:instrText>
            </w:r>
            <w:r>
              <w:rPr>
                <w:rFonts w:hint="eastAsia" w:ascii="Times New Roman" w:hAnsi="Times New Roman" w:eastAsia="宋体" w:cs="Times New Roman"/>
                <w:color w:val="auto"/>
                <w:kern w:val="0"/>
                <w:sz w:val="24"/>
                <w:szCs w:val="24"/>
                <w:lang w:val="en-US" w:eastAsia="zh-CN" w:bidi="ar"/>
              </w:rPr>
              <w:fldChar w:fldCharType="separate"/>
            </w:r>
            <w:r>
              <w:rPr>
                <w:rFonts w:hint="eastAsia"/>
              </w:rPr>
              <w:t>附件 15</w:t>
            </w:r>
            <w:r>
              <w:rPr>
                <w:rFonts w:hint="eastAsia" w:ascii="Times New Roman" w:hAnsi="Times New Roman" w:eastAsia="宋体" w:cs="Times New Roman"/>
                <w:color w:val="auto"/>
                <w:kern w:val="0"/>
                <w:sz w:val="24"/>
                <w:szCs w:val="24"/>
                <w:lang w:val="en-US" w:eastAsia="zh-CN" w:bidi="ar"/>
              </w:rPr>
              <w:fldChar w:fldCharType="end"/>
            </w:r>
            <w:r>
              <w:rPr>
                <w:rFonts w:hint="eastAsia" w:ascii="Times New Roman" w:hAnsi="Times New Roman" w:eastAsia="宋体" w:cs="Times New Roman"/>
                <w:color w:val="auto"/>
                <w:kern w:val="0"/>
                <w:sz w:val="24"/>
                <w:szCs w:val="24"/>
                <w:lang w:val="en-US" w:eastAsia="zh-CN" w:bidi="ar"/>
              </w:rPr>
              <w:t>。</w:t>
            </w:r>
          </w:p>
          <w:p w14:paraId="2A5D1D74">
            <w:pPr>
              <w:pStyle w:val="15"/>
              <w:keepNext w:val="0"/>
              <w:keepLines w:val="0"/>
              <w:suppressLineNumbers w:val="0"/>
              <w:bidi w:val="0"/>
              <w:spacing w:before="0" w:beforeAutospacing="0" w:after="0" w:afterAutospacing="0"/>
              <w:ind w:left="0" w:right="0"/>
              <w:jc w:val="center"/>
              <w:rPr>
                <w:rFonts w:hint="eastAsia"/>
                <w:lang w:val="en-US" w:eastAsia="zh-CN"/>
              </w:rPr>
            </w:pPr>
            <w:r>
              <w:rPr>
                <w:sz w:val="24"/>
              </w:rPr>
              <mc:AlternateContent>
                <mc:Choice Requires="wps">
                  <w:drawing>
                    <wp:anchor distT="0" distB="0" distL="114300" distR="114300" simplePos="0" relativeHeight="251666432" behindDoc="0" locked="0" layoutInCell="1" allowOverlap="1">
                      <wp:simplePos x="0" y="0"/>
                      <wp:positionH relativeFrom="column">
                        <wp:posOffset>680085</wp:posOffset>
                      </wp:positionH>
                      <wp:positionV relativeFrom="paragraph">
                        <wp:posOffset>1009015</wp:posOffset>
                      </wp:positionV>
                      <wp:extent cx="835660" cy="338455"/>
                      <wp:effectExtent l="200660" t="12700" r="30480" b="1229995"/>
                      <wp:wrapNone/>
                      <wp:docPr id="24" name="矩形标注 24"/>
                      <wp:cNvGraphicFramePr/>
                      <a:graphic xmlns:a="http://schemas.openxmlformats.org/drawingml/2006/main">
                        <a:graphicData uri="http://schemas.microsoft.com/office/word/2010/wordprocessingShape">
                          <wps:wsp>
                            <wps:cNvSpPr/>
                            <wps:spPr>
                              <a:xfrm>
                                <a:off x="1757045" y="4193540"/>
                                <a:ext cx="835660" cy="338455"/>
                              </a:xfrm>
                              <a:prstGeom prst="wedgeRectCallout">
                                <a:avLst>
                                  <a:gd name="adj1" fmla="val -72492"/>
                                  <a:gd name="adj2" fmla="val 408161"/>
                                </a:avLst>
                              </a:prstGeom>
                              <a:solidFill>
                                <a:schemeClr val="bg1"/>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DE28966">
                                  <w:pPr>
                                    <w:pStyle w:val="3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3.55pt;margin-top:79.45pt;height:26.65pt;width:65.8pt;z-index:251666432;v-text-anchor:middle;mso-width-relative:page;mso-height-relative:page;" fillcolor="#FFFFFF [3212]" filled="t" stroked="t" coordsize="21600,21600" o:gfxdata="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ZjoIJdgAAAALAQAADwAAAAAAAAABACAAAAAiAAAAZHJz&#10;L2Rvd25yZXYueG1sUEsBAhQAFAAAAAgAh07iQCFi2ImvAgAAWgUAAA4AAAAAAAAAAQAgAAAAJwEA&#10;AGRycy9lMm9Eb2MueG1sUEsFBgAAAAAGAAYAWQEAAEgGAAAAAA==&#10;" adj="-4858,98963">
                      <v:fill on="t" focussize="0,0"/>
                      <v:stroke weight="2pt" color="#FF0000 [2404]" joinstyle="round"/>
                      <v:imagedata o:title=""/>
                      <o:lock v:ext="edit" aspectratio="f"/>
                      <v:textbox>
                        <w:txbxContent>
                          <w:p w14:paraId="6DE28966">
                            <w:pPr>
                              <w:pStyle w:val="38"/>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w:t>
                            </w:r>
                          </w:p>
                        </w:txbxContent>
                      </v:textbox>
                    </v:shape>
                  </w:pict>
                </mc:Fallback>
              </mc:AlternateContent>
            </w:r>
            <w:r>
              <w:drawing>
                <wp:anchor distT="0" distB="0" distL="114300" distR="114300" simplePos="0" relativeHeight="251672576" behindDoc="0" locked="0" layoutInCell="1" allowOverlap="1">
                  <wp:simplePos x="0" y="0"/>
                  <wp:positionH relativeFrom="column">
                    <wp:posOffset>4455160</wp:posOffset>
                  </wp:positionH>
                  <wp:positionV relativeFrom="paragraph">
                    <wp:posOffset>2414270</wp:posOffset>
                  </wp:positionV>
                  <wp:extent cx="542925" cy="542925"/>
                  <wp:effectExtent l="0" t="0" r="0" b="0"/>
                  <wp:wrapNone/>
                  <wp:docPr id="17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5"/>
                          <pic:cNvPicPr>
                            <a:picLocks noChangeAspect="1"/>
                          </pic:cNvPicPr>
                        </pic:nvPicPr>
                        <pic:blipFill>
                          <a:blip r:embed="rId17"/>
                          <a:srcRect l="34667" t="17724" r="13515" b="12764"/>
                          <a:stretch>
                            <a:fillRect/>
                          </a:stretch>
                        </pic:blipFill>
                        <pic:spPr>
                          <a:xfrm>
                            <a:off x="0" y="0"/>
                            <a:ext cx="542925" cy="542925"/>
                          </a:xfrm>
                          <a:prstGeom prst="rect">
                            <a:avLst/>
                          </a:prstGeom>
                          <a:noFill/>
                          <a:ln>
                            <a:noFill/>
                          </a:ln>
                        </pic:spPr>
                      </pic:pic>
                    </a:graphicData>
                  </a:graphic>
                </wp:anchor>
              </w:drawing>
            </w:r>
            <w:r>
              <w:rPr>
                <w:sz w:val="24"/>
              </w:rPr>
              <mc:AlternateContent>
                <mc:Choice Requires="wps">
                  <w:drawing>
                    <wp:anchor distT="0" distB="0" distL="114300" distR="114300" simplePos="0" relativeHeight="251668480" behindDoc="0" locked="0" layoutInCell="1" allowOverlap="1">
                      <wp:simplePos x="0" y="0"/>
                      <wp:positionH relativeFrom="column">
                        <wp:posOffset>1852295</wp:posOffset>
                      </wp:positionH>
                      <wp:positionV relativeFrom="paragraph">
                        <wp:posOffset>1354455</wp:posOffset>
                      </wp:positionV>
                      <wp:extent cx="767080" cy="247650"/>
                      <wp:effectExtent l="4445" t="4445" r="9525" b="14605"/>
                      <wp:wrapNone/>
                      <wp:docPr id="26" name="文本框 26"/>
                      <wp:cNvGraphicFramePr/>
                      <a:graphic xmlns:a="http://schemas.openxmlformats.org/drawingml/2006/main">
                        <a:graphicData uri="http://schemas.microsoft.com/office/word/2010/wordprocessingShape">
                          <wps:wsp>
                            <wps:cNvSpPr txBox="1"/>
                            <wps:spPr>
                              <a:xfrm>
                                <a:off x="3735705" y="3876040"/>
                                <a:ext cx="767080" cy="2476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8F60A1B">
                                  <w:pPr>
                                    <w:pStyle w:val="38"/>
                                    <w:bidi w:val="0"/>
                                    <w:rPr>
                                      <w:rFonts w:hint="default"/>
                                      <w:lang w:val="en-US" w:eastAsia="zh-CN"/>
                                    </w:rPr>
                                  </w:pPr>
                                  <w:r>
                                    <w:rPr>
                                      <w:rFonts w:hint="eastAsia"/>
                                      <w:lang w:val="en-US" w:eastAsia="zh-CN"/>
                                    </w:rPr>
                                    <w:t>924m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85pt;margin-top:106.65pt;height:19.5pt;width:60.4pt;z-index:251668480;mso-width-relative:page;mso-height-relative:page;" fillcolor="#FFFFFF [3201]" filled="t" stroked="t" coordsize="21600,21600" o:gfxdata="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P8Do9cAAAALAQAADwAAAAAAAAABACAAAAAiAAAAZHJzL2Rvd25yZXYueG1sUEsBAhQA&#10;FAAAAAgAh07iQGJclShlAgAAxAQAAA4AAAAAAAAAAQAgAAAAJgEAAGRycy9lMm9Eb2MueG1sUEsF&#10;BgAAAAAGAAYAWQEAAP0FAAAAAA==&#10;">
                      <v:fill on="t" focussize="0,0"/>
                      <v:stroke weight="0.5pt" color="#000000 [3204]" joinstyle="round"/>
                      <v:imagedata o:title=""/>
                      <o:lock v:ext="edit" aspectratio="f"/>
                      <v:textbox>
                        <w:txbxContent>
                          <w:p w14:paraId="58F60A1B">
                            <w:pPr>
                              <w:pStyle w:val="38"/>
                              <w:bidi w:val="0"/>
                              <w:rPr>
                                <w:rFonts w:hint="default"/>
                                <w:lang w:val="en-US" w:eastAsia="zh-CN"/>
                              </w:rPr>
                            </w:pPr>
                            <w:r>
                              <w:rPr>
                                <w:rFonts w:hint="eastAsia"/>
                                <w:lang w:val="en-US" w:eastAsia="zh-CN"/>
                              </w:rPr>
                              <w:t>924m</w:t>
                            </w:r>
                          </w:p>
                        </w:txbxContent>
                      </v:textbox>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514985</wp:posOffset>
                      </wp:positionH>
                      <wp:positionV relativeFrom="paragraph">
                        <wp:posOffset>751840</wp:posOffset>
                      </wp:positionV>
                      <wp:extent cx="4270375" cy="1837055"/>
                      <wp:effectExtent l="0" t="13335" r="15875" b="16510"/>
                      <wp:wrapNone/>
                      <wp:docPr id="25" name="直接箭头连接符 25"/>
                      <wp:cNvGraphicFramePr/>
                      <a:graphic xmlns:a="http://schemas.openxmlformats.org/drawingml/2006/main">
                        <a:graphicData uri="http://schemas.microsoft.com/office/word/2010/wordprocessingShape">
                          <wps:wsp>
                            <wps:cNvCnPr/>
                            <wps:spPr>
                              <a:xfrm flipH="1">
                                <a:off x="1727835" y="2468245"/>
                                <a:ext cx="4270375" cy="1837055"/>
                              </a:xfrm>
                              <a:prstGeom prst="straightConnector1">
                                <a:avLst/>
                              </a:prstGeom>
                              <a:ln>
                                <a:solidFill>
                                  <a:srgbClr val="FF0000"/>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40.55pt;margin-top:59.2pt;height:144.65pt;width:336.25pt;z-index:251667456;mso-width-relative:page;mso-height-relative:page;" filled="f" stroked="t" coordsize="21600,21600" o:gfxdata="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PryQ3WAAAACgEA&#10;AA8AAAAAAAAAAQAgAAAAIgAAAGRycy9kb3ducmV2LnhtbFBLAQIUABQAAAAIAIdO4kCG+ueVHAIA&#10;AP8DAAAOAAAAAAAAAAEAIAAAACUBAABkcnMvZTJvRG9jLnhtbFBLBQYAAAAABgAGAFkBAACzBQAA&#10;AAA=&#10;">
                      <v:fill on="f" focussize="0,0"/>
                      <v:stroke weight="2pt" color="#FF0000 [3204]" joinstyle="round" startarrow="open" endarrow="open"/>
                      <v:imagedata o:title=""/>
                      <o:lock v:ext="edit" aspectratio="f"/>
                    </v:shape>
                  </w:pict>
                </mc:Fallback>
              </mc:AlternateContent>
            </w:r>
            <w:r>
              <w:drawing>
                <wp:inline distT="0" distB="0" distL="114300" distR="114300">
                  <wp:extent cx="4923155" cy="2983230"/>
                  <wp:effectExtent l="0" t="0" r="10795" b="7620"/>
                  <wp:docPr id="1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4"/>
                          <pic:cNvPicPr>
                            <a:picLocks noChangeAspect="1"/>
                          </pic:cNvPicPr>
                        </pic:nvPicPr>
                        <pic:blipFill>
                          <a:blip r:embed="rId18"/>
                          <a:stretch>
                            <a:fillRect/>
                          </a:stretch>
                        </pic:blipFill>
                        <pic:spPr>
                          <a:xfrm>
                            <a:off x="0" y="0"/>
                            <a:ext cx="4923155" cy="2983230"/>
                          </a:xfrm>
                          <a:prstGeom prst="rect">
                            <a:avLst/>
                          </a:prstGeom>
                          <a:noFill/>
                          <a:ln>
                            <a:noFill/>
                          </a:ln>
                        </pic:spPr>
                      </pic:pic>
                    </a:graphicData>
                  </a:graphic>
                </wp:inline>
              </w:drawing>
            </w:r>
          </w:p>
          <w:p w14:paraId="2FEE64A2">
            <w:pPr>
              <w:pStyle w:val="39"/>
              <w:keepNext w:val="0"/>
              <w:keepLines w:val="0"/>
              <w:suppressLineNumbers w:val="0"/>
              <w:bidi w:val="0"/>
              <w:spacing w:before="0" w:beforeAutospacing="0" w:after="0" w:afterAutospacing="0"/>
              <w:ind w:left="0" w:right="0"/>
              <w:rPr>
                <w:rFonts w:hint="eastAsia"/>
              </w:rPr>
            </w:pPr>
            <w:r>
              <w:rPr>
                <w:rFonts w:hint="eastAsia"/>
              </w:rPr>
              <w:t>图3.1-</w:t>
            </w:r>
            <w:r>
              <w:rPr>
                <w:rFonts w:hint="eastAsia"/>
                <w:lang w:val="en-US" w:eastAsia="zh-CN"/>
              </w:rPr>
              <w:t>2</w:t>
            </w:r>
            <w:r>
              <w:rPr>
                <w:rFonts w:hint="eastAsia"/>
              </w:rPr>
              <w:t xml:space="preserve">  </w:t>
            </w:r>
            <w:r>
              <w:rPr>
                <w:rFonts w:hint="eastAsia"/>
                <w:lang w:val="zh-CN"/>
              </w:rPr>
              <w:t>监测</w:t>
            </w:r>
            <w:r>
              <w:rPr>
                <w:rFonts w:hint="eastAsia"/>
              </w:rPr>
              <w:t>点</w:t>
            </w:r>
            <w:r>
              <w:rPr>
                <w:rFonts w:hint="eastAsia"/>
                <w:lang w:val="zh-CN"/>
              </w:rPr>
              <w:t>位布置图</w:t>
            </w:r>
          </w:p>
          <w:p w14:paraId="57499137">
            <w:pPr>
              <w:pStyle w:val="39"/>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表3.1-2  颗粒物现状情况一览表</w:t>
            </w:r>
          </w:p>
          <w:tbl>
            <w:tblPr>
              <w:tblStyle w:val="29"/>
              <w:tblW w:w="498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99"/>
              <w:gridCol w:w="1573"/>
              <w:gridCol w:w="2547"/>
              <w:gridCol w:w="1575"/>
              <w:gridCol w:w="1131"/>
            </w:tblGrid>
            <w:tr w14:paraId="7F5C28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9" w:hRule="atLeast"/>
                <w:tblHeader/>
                <w:jc w:val="center"/>
              </w:trPr>
              <w:tc>
                <w:tcPr>
                  <w:tcW w:w="693" w:type="pct"/>
                  <w:tcBorders>
                    <w:top w:val="single" w:color="000000" w:sz="12" w:space="0"/>
                    <w:left w:val="nil"/>
                    <w:tl2br w:val="nil"/>
                  </w:tcBorders>
                  <w:shd w:val="clear" w:color="auto" w:fill="auto"/>
                  <w:noWrap w:val="0"/>
                  <w:vAlign w:val="center"/>
                </w:tcPr>
                <w:p w14:paraId="4DC5E154">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rPr>
                    <w:t>检测点位</w:t>
                  </w:r>
                </w:p>
              </w:tc>
              <w:tc>
                <w:tcPr>
                  <w:tcW w:w="992" w:type="pct"/>
                  <w:tcBorders>
                    <w:top w:val="single" w:color="000000" w:sz="12" w:space="0"/>
                  </w:tcBorders>
                  <w:shd w:val="clear" w:color="auto" w:fill="auto"/>
                  <w:noWrap w:val="0"/>
                  <w:vAlign w:val="center"/>
                </w:tcPr>
                <w:p w14:paraId="0291FF72">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rPr>
                    <w:t>检测项目</w:t>
                  </w:r>
                </w:p>
              </w:tc>
              <w:tc>
                <w:tcPr>
                  <w:tcW w:w="1606" w:type="pct"/>
                  <w:tcBorders>
                    <w:top w:val="single" w:color="000000" w:sz="12" w:space="0"/>
                  </w:tcBorders>
                  <w:shd w:val="clear" w:color="auto" w:fill="auto"/>
                  <w:noWrap w:val="0"/>
                  <w:vAlign w:val="center"/>
                </w:tcPr>
                <w:p w14:paraId="645ED3FC">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rPr>
                    <w:t>采样日期</w:t>
                  </w:r>
                </w:p>
              </w:tc>
              <w:tc>
                <w:tcPr>
                  <w:tcW w:w="993" w:type="pct"/>
                  <w:tcBorders>
                    <w:top w:val="single" w:color="000000" w:sz="12" w:space="0"/>
                  </w:tcBorders>
                  <w:shd w:val="clear" w:color="auto" w:fill="auto"/>
                  <w:noWrap w:val="0"/>
                  <w:vAlign w:val="center"/>
                </w:tcPr>
                <w:p w14:paraId="5F4FB8B9">
                  <w:pPr>
                    <w:pStyle w:val="38"/>
                    <w:keepNext w:val="0"/>
                    <w:keepLines w:val="0"/>
                    <w:widowControl/>
                    <w:suppressLineNumbers w:val="0"/>
                    <w:bidi w:val="0"/>
                    <w:spacing w:before="0" w:beforeAutospacing="0" w:after="0" w:afterAutospacing="0"/>
                    <w:ind w:left="0" w:right="0"/>
                    <w:rPr>
                      <w:rFonts w:hint="default"/>
                      <w:b w:val="0"/>
                      <w:color w:val="000000"/>
                      <w:szCs w:val="22"/>
                      <w:lang w:val="en-US" w:eastAsia="zh-CN"/>
                    </w:rPr>
                  </w:pPr>
                  <w:r>
                    <w:rPr>
                      <w:rFonts w:hint="eastAsia"/>
                      <w:b w:val="0"/>
                      <w:color w:val="000000"/>
                      <w:szCs w:val="22"/>
                    </w:rPr>
                    <w:t>检测结果</w:t>
                  </w:r>
                </w:p>
              </w:tc>
              <w:tc>
                <w:tcPr>
                  <w:tcW w:w="713" w:type="pct"/>
                  <w:tcBorders>
                    <w:top w:val="single" w:color="000000" w:sz="12" w:space="0"/>
                    <w:right w:val="nil"/>
                  </w:tcBorders>
                  <w:shd w:val="clear" w:color="auto" w:fill="auto"/>
                  <w:noWrap w:val="0"/>
                  <w:vAlign w:val="center"/>
                </w:tcPr>
                <w:p w14:paraId="36A9C3A9">
                  <w:pPr>
                    <w:pStyle w:val="38"/>
                    <w:keepNext w:val="0"/>
                    <w:keepLines w:val="0"/>
                    <w:widowControl/>
                    <w:suppressLineNumbers w:val="0"/>
                    <w:bidi w:val="0"/>
                    <w:spacing w:before="0" w:beforeAutospacing="0" w:after="0" w:afterAutospacing="0"/>
                    <w:ind w:left="0" w:right="0"/>
                    <w:rPr>
                      <w:rFonts w:hint="eastAsia"/>
                      <w:b w:val="0"/>
                      <w:color w:val="000000"/>
                      <w:szCs w:val="22"/>
                      <w:lang w:eastAsia="zh-CN"/>
                    </w:rPr>
                  </w:pPr>
                  <w:r>
                    <w:rPr>
                      <w:rFonts w:hint="eastAsia"/>
                      <w:b w:val="0"/>
                      <w:color w:val="000000"/>
                      <w:szCs w:val="22"/>
                      <w:lang w:eastAsia="zh-CN"/>
                    </w:rPr>
                    <w:t>单位</w:t>
                  </w:r>
                </w:p>
              </w:tc>
            </w:tr>
            <w:tr w14:paraId="4F959D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693" w:type="pct"/>
                  <w:vMerge w:val="restart"/>
                  <w:tcBorders>
                    <w:left w:val="nil"/>
                  </w:tcBorders>
                  <w:shd w:val="clear" w:color="auto" w:fill="auto"/>
                  <w:noWrap w:val="0"/>
                  <w:vAlign w:val="center"/>
                </w:tcPr>
                <w:p w14:paraId="2A774671">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rPr>
                    <w:t>厂区下风向居民点点位Q1</w:t>
                  </w:r>
                </w:p>
              </w:tc>
              <w:tc>
                <w:tcPr>
                  <w:tcW w:w="992" w:type="pct"/>
                  <w:vMerge w:val="restart"/>
                  <w:shd w:val="clear" w:color="auto" w:fill="auto"/>
                  <w:noWrap w:val="0"/>
                  <w:vAlign w:val="center"/>
                </w:tcPr>
                <w:p w14:paraId="587A4761">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rPr>
                    <w:t>总悬浮颗粒物（TSP）</w:t>
                  </w:r>
                </w:p>
              </w:tc>
              <w:tc>
                <w:tcPr>
                  <w:tcW w:w="1606" w:type="pct"/>
                  <w:shd w:val="clear" w:color="auto" w:fill="auto"/>
                  <w:noWrap w:val="0"/>
                  <w:vAlign w:val="center"/>
                </w:tcPr>
                <w:p w14:paraId="09467D4E">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eastAsia="zh-CN"/>
                    </w:rPr>
                    <w:t>2025年</w:t>
                  </w:r>
                  <w:r>
                    <w:rPr>
                      <w:rFonts w:hint="eastAsia"/>
                      <w:b w:val="0"/>
                      <w:color w:val="000000"/>
                      <w:szCs w:val="22"/>
                      <w:lang w:val="en-US" w:eastAsia="zh-CN"/>
                    </w:rPr>
                    <w:t>10月30</w:t>
                  </w:r>
                  <w:r>
                    <w:rPr>
                      <w:rFonts w:hint="eastAsia"/>
                      <w:b w:val="0"/>
                      <w:color w:val="000000"/>
                      <w:szCs w:val="22"/>
                    </w:rPr>
                    <w:t>日~</w:t>
                  </w:r>
                  <w:r>
                    <w:rPr>
                      <w:rFonts w:hint="eastAsia"/>
                      <w:b w:val="0"/>
                      <w:color w:val="000000"/>
                      <w:szCs w:val="22"/>
                      <w:lang w:val="en-US" w:eastAsia="zh-CN"/>
                    </w:rPr>
                    <w:t>31</w:t>
                  </w:r>
                  <w:r>
                    <w:rPr>
                      <w:rFonts w:hint="eastAsia"/>
                      <w:b w:val="0"/>
                      <w:color w:val="000000"/>
                      <w:szCs w:val="22"/>
                    </w:rPr>
                    <w:t>日</w:t>
                  </w:r>
                </w:p>
              </w:tc>
              <w:tc>
                <w:tcPr>
                  <w:tcW w:w="993" w:type="pct"/>
                  <w:shd w:val="clear" w:color="auto" w:fill="auto"/>
                  <w:noWrap w:val="0"/>
                  <w:vAlign w:val="center"/>
                </w:tcPr>
                <w:p w14:paraId="7CE5D738">
                  <w:pPr>
                    <w:pStyle w:val="38"/>
                    <w:keepNext w:val="0"/>
                    <w:keepLines w:val="0"/>
                    <w:widowControl/>
                    <w:suppressLineNumbers w:val="0"/>
                    <w:bidi w:val="0"/>
                    <w:spacing w:before="0" w:beforeAutospacing="0" w:after="0" w:afterAutospacing="0"/>
                    <w:ind w:left="0" w:right="0"/>
                    <w:rPr>
                      <w:rFonts w:hint="default"/>
                      <w:b w:val="0"/>
                      <w:color w:val="000000"/>
                      <w:szCs w:val="22"/>
                      <w:lang w:val="en-US" w:eastAsia="zh-CN"/>
                    </w:rPr>
                  </w:pPr>
                  <w:r>
                    <w:rPr>
                      <w:rFonts w:hint="eastAsia"/>
                      <w:b w:val="0"/>
                      <w:color w:val="000000"/>
                      <w:szCs w:val="22"/>
                      <w:lang w:val="en-US" w:eastAsia="zh-CN"/>
                    </w:rPr>
                    <w:t>0.105</w:t>
                  </w:r>
                </w:p>
              </w:tc>
              <w:tc>
                <w:tcPr>
                  <w:tcW w:w="713" w:type="pct"/>
                  <w:tcBorders>
                    <w:right w:val="nil"/>
                  </w:tcBorders>
                  <w:shd w:val="clear" w:color="auto" w:fill="auto"/>
                  <w:noWrap w:val="0"/>
                  <w:vAlign w:val="center"/>
                </w:tcPr>
                <w:p w14:paraId="24E8222B">
                  <w:pPr>
                    <w:pStyle w:val="38"/>
                    <w:keepNext w:val="0"/>
                    <w:keepLines w:val="0"/>
                    <w:widowControl/>
                    <w:suppressLineNumbers w:val="0"/>
                    <w:bidi w:val="0"/>
                    <w:spacing w:before="0" w:beforeAutospacing="0" w:after="0" w:afterAutospacing="0"/>
                    <w:ind w:left="0" w:right="0"/>
                    <w:rPr>
                      <w:rFonts w:hint="default"/>
                      <w:b w:val="0"/>
                      <w:color w:val="000000"/>
                      <w:szCs w:val="22"/>
                      <w:lang w:val="en-US" w:eastAsia="zh-CN"/>
                    </w:rPr>
                  </w:pPr>
                  <w:r>
                    <w:rPr>
                      <w:rFonts w:hint="eastAsia"/>
                      <w:b w:val="0"/>
                      <w:color w:val="000000"/>
                      <w:szCs w:val="22"/>
                    </w:rPr>
                    <w:t>mg/m</w:t>
                  </w:r>
                  <w:r>
                    <w:rPr>
                      <w:rFonts w:hint="eastAsia"/>
                      <w:b w:val="0"/>
                      <w:color w:val="000000"/>
                      <w:szCs w:val="22"/>
                      <w:vertAlign w:val="superscript"/>
                    </w:rPr>
                    <w:t>3</w:t>
                  </w:r>
                </w:p>
              </w:tc>
            </w:tr>
            <w:tr w14:paraId="263AC4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693" w:type="pct"/>
                  <w:vMerge w:val="continue"/>
                  <w:tcBorders>
                    <w:left w:val="nil"/>
                  </w:tcBorders>
                  <w:shd w:val="clear" w:color="auto" w:fill="auto"/>
                  <w:noWrap w:val="0"/>
                  <w:vAlign w:val="center"/>
                </w:tcPr>
                <w:p w14:paraId="1E234E97">
                  <w:pPr>
                    <w:pStyle w:val="38"/>
                    <w:keepNext w:val="0"/>
                    <w:keepLines w:val="0"/>
                    <w:widowControl/>
                    <w:suppressLineNumbers w:val="0"/>
                    <w:bidi w:val="0"/>
                    <w:spacing w:before="0" w:beforeAutospacing="0" w:after="0" w:afterAutospacing="0"/>
                    <w:ind w:left="0" w:right="0"/>
                    <w:rPr>
                      <w:rFonts w:hint="eastAsia"/>
                      <w:b w:val="0"/>
                      <w:color w:val="000000"/>
                      <w:szCs w:val="22"/>
                    </w:rPr>
                  </w:pPr>
                </w:p>
              </w:tc>
              <w:tc>
                <w:tcPr>
                  <w:tcW w:w="992" w:type="pct"/>
                  <w:vMerge w:val="continue"/>
                  <w:shd w:val="clear" w:color="auto" w:fill="auto"/>
                  <w:noWrap w:val="0"/>
                  <w:vAlign w:val="center"/>
                </w:tcPr>
                <w:p w14:paraId="5A19A444">
                  <w:pPr>
                    <w:pStyle w:val="38"/>
                    <w:keepNext w:val="0"/>
                    <w:keepLines w:val="0"/>
                    <w:widowControl/>
                    <w:suppressLineNumbers w:val="0"/>
                    <w:bidi w:val="0"/>
                    <w:spacing w:before="0" w:beforeAutospacing="0" w:after="0" w:afterAutospacing="0"/>
                    <w:ind w:left="0" w:right="0"/>
                    <w:rPr>
                      <w:rFonts w:hint="eastAsia"/>
                      <w:b w:val="0"/>
                      <w:color w:val="000000"/>
                      <w:szCs w:val="22"/>
                    </w:rPr>
                  </w:pPr>
                </w:p>
              </w:tc>
              <w:tc>
                <w:tcPr>
                  <w:tcW w:w="1606" w:type="pct"/>
                  <w:shd w:val="clear" w:color="auto" w:fill="auto"/>
                  <w:noWrap w:val="0"/>
                  <w:vAlign w:val="center"/>
                </w:tcPr>
                <w:p w14:paraId="3CF1DD2C">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eastAsia="zh-CN"/>
                    </w:rPr>
                    <w:t>2025年</w:t>
                  </w:r>
                  <w:r>
                    <w:rPr>
                      <w:rFonts w:hint="eastAsia"/>
                      <w:b w:val="0"/>
                      <w:color w:val="000000"/>
                      <w:szCs w:val="22"/>
                      <w:lang w:val="en-US" w:eastAsia="zh-CN"/>
                    </w:rPr>
                    <w:t>10月31</w:t>
                  </w:r>
                  <w:r>
                    <w:rPr>
                      <w:rFonts w:hint="eastAsia"/>
                      <w:b w:val="0"/>
                      <w:color w:val="000000"/>
                      <w:szCs w:val="22"/>
                    </w:rPr>
                    <w:t>日~</w:t>
                  </w:r>
                  <w:r>
                    <w:rPr>
                      <w:rFonts w:hint="eastAsia"/>
                      <w:b w:val="0"/>
                      <w:color w:val="000000"/>
                      <w:szCs w:val="22"/>
                      <w:lang w:val="en-US" w:eastAsia="zh-CN"/>
                    </w:rPr>
                    <w:t>11月01</w:t>
                  </w:r>
                  <w:r>
                    <w:rPr>
                      <w:rFonts w:hint="eastAsia"/>
                      <w:b w:val="0"/>
                      <w:color w:val="000000"/>
                      <w:szCs w:val="22"/>
                    </w:rPr>
                    <w:t>日</w:t>
                  </w:r>
                </w:p>
              </w:tc>
              <w:tc>
                <w:tcPr>
                  <w:tcW w:w="993" w:type="pct"/>
                  <w:shd w:val="clear" w:color="auto" w:fill="auto"/>
                  <w:noWrap w:val="0"/>
                  <w:vAlign w:val="center"/>
                </w:tcPr>
                <w:p w14:paraId="232AE02A">
                  <w:pPr>
                    <w:pStyle w:val="38"/>
                    <w:keepNext w:val="0"/>
                    <w:keepLines w:val="0"/>
                    <w:widowControl/>
                    <w:suppressLineNumbers w:val="0"/>
                    <w:bidi w:val="0"/>
                    <w:spacing w:before="0" w:beforeAutospacing="0" w:after="0" w:afterAutospacing="0"/>
                    <w:ind w:left="0" w:right="0"/>
                    <w:rPr>
                      <w:rFonts w:hint="default"/>
                      <w:b w:val="0"/>
                      <w:color w:val="000000"/>
                      <w:szCs w:val="22"/>
                      <w:lang w:val="en-US" w:eastAsia="zh-CN"/>
                    </w:rPr>
                  </w:pPr>
                  <w:r>
                    <w:rPr>
                      <w:rFonts w:hint="eastAsia"/>
                      <w:b w:val="0"/>
                      <w:color w:val="000000"/>
                      <w:szCs w:val="22"/>
                      <w:lang w:val="en-US" w:eastAsia="zh-CN"/>
                    </w:rPr>
                    <w:t>0.095</w:t>
                  </w:r>
                </w:p>
              </w:tc>
              <w:tc>
                <w:tcPr>
                  <w:tcW w:w="713" w:type="pct"/>
                  <w:tcBorders>
                    <w:right w:val="nil"/>
                  </w:tcBorders>
                  <w:shd w:val="clear" w:color="auto" w:fill="auto"/>
                  <w:noWrap w:val="0"/>
                  <w:vAlign w:val="center"/>
                </w:tcPr>
                <w:p w14:paraId="359886EE">
                  <w:pPr>
                    <w:pStyle w:val="38"/>
                    <w:keepNext w:val="0"/>
                    <w:keepLines w:val="0"/>
                    <w:widowControl/>
                    <w:suppressLineNumbers w:val="0"/>
                    <w:bidi w:val="0"/>
                    <w:spacing w:before="0" w:beforeAutospacing="0" w:after="0" w:afterAutospacing="0"/>
                    <w:ind w:left="0" w:right="0"/>
                    <w:rPr>
                      <w:rFonts w:hint="default"/>
                      <w:b w:val="0"/>
                      <w:color w:val="000000"/>
                      <w:szCs w:val="22"/>
                      <w:lang w:val="en-US" w:eastAsia="zh-CN"/>
                    </w:rPr>
                  </w:pPr>
                  <w:r>
                    <w:rPr>
                      <w:rFonts w:hint="eastAsia"/>
                      <w:b w:val="0"/>
                      <w:color w:val="000000"/>
                      <w:szCs w:val="22"/>
                    </w:rPr>
                    <w:t>mg/m</w:t>
                  </w:r>
                  <w:r>
                    <w:rPr>
                      <w:rFonts w:hint="eastAsia"/>
                      <w:b w:val="0"/>
                      <w:color w:val="000000"/>
                      <w:szCs w:val="22"/>
                      <w:vertAlign w:val="superscript"/>
                    </w:rPr>
                    <w:t>3</w:t>
                  </w:r>
                </w:p>
              </w:tc>
            </w:tr>
            <w:tr w14:paraId="5CE955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693" w:type="pct"/>
                  <w:vMerge w:val="continue"/>
                  <w:tcBorders>
                    <w:left w:val="nil"/>
                    <w:bottom w:val="single" w:color="000000" w:sz="12" w:space="0"/>
                  </w:tcBorders>
                  <w:shd w:val="clear" w:color="auto" w:fill="auto"/>
                  <w:noWrap w:val="0"/>
                  <w:vAlign w:val="center"/>
                </w:tcPr>
                <w:p w14:paraId="410D90AB">
                  <w:pPr>
                    <w:pStyle w:val="38"/>
                    <w:keepNext w:val="0"/>
                    <w:keepLines w:val="0"/>
                    <w:widowControl/>
                    <w:suppressLineNumbers w:val="0"/>
                    <w:bidi w:val="0"/>
                    <w:spacing w:before="0" w:beforeAutospacing="0" w:after="0" w:afterAutospacing="0"/>
                    <w:ind w:left="0" w:right="0"/>
                    <w:rPr>
                      <w:rFonts w:hint="eastAsia"/>
                      <w:b w:val="0"/>
                      <w:color w:val="000000"/>
                      <w:szCs w:val="22"/>
                    </w:rPr>
                  </w:pPr>
                </w:p>
              </w:tc>
              <w:tc>
                <w:tcPr>
                  <w:tcW w:w="992" w:type="pct"/>
                  <w:vMerge w:val="continue"/>
                  <w:tcBorders>
                    <w:bottom w:val="single" w:color="000000" w:sz="12" w:space="0"/>
                  </w:tcBorders>
                  <w:shd w:val="clear" w:color="auto" w:fill="auto"/>
                  <w:noWrap w:val="0"/>
                  <w:vAlign w:val="center"/>
                </w:tcPr>
                <w:p w14:paraId="3900CD5E">
                  <w:pPr>
                    <w:pStyle w:val="38"/>
                    <w:keepNext w:val="0"/>
                    <w:keepLines w:val="0"/>
                    <w:widowControl/>
                    <w:suppressLineNumbers w:val="0"/>
                    <w:bidi w:val="0"/>
                    <w:spacing w:before="0" w:beforeAutospacing="0" w:after="0" w:afterAutospacing="0"/>
                    <w:ind w:left="0" w:right="0"/>
                    <w:rPr>
                      <w:rFonts w:hint="eastAsia"/>
                      <w:b w:val="0"/>
                      <w:color w:val="000000"/>
                      <w:szCs w:val="22"/>
                    </w:rPr>
                  </w:pPr>
                </w:p>
              </w:tc>
              <w:tc>
                <w:tcPr>
                  <w:tcW w:w="1606" w:type="pct"/>
                  <w:tcBorders>
                    <w:bottom w:val="single" w:color="000000" w:sz="12" w:space="0"/>
                  </w:tcBorders>
                  <w:shd w:val="clear" w:color="auto" w:fill="auto"/>
                  <w:noWrap w:val="0"/>
                  <w:vAlign w:val="center"/>
                </w:tcPr>
                <w:p w14:paraId="679ABBC1">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eastAsia="zh-CN"/>
                    </w:rPr>
                    <w:t>2025年</w:t>
                  </w:r>
                  <w:r>
                    <w:rPr>
                      <w:rFonts w:hint="eastAsia"/>
                      <w:b w:val="0"/>
                      <w:color w:val="000000"/>
                      <w:szCs w:val="22"/>
                      <w:lang w:val="en-US" w:eastAsia="zh-CN"/>
                    </w:rPr>
                    <w:t>11月01</w:t>
                  </w:r>
                  <w:r>
                    <w:rPr>
                      <w:rFonts w:hint="eastAsia"/>
                      <w:b w:val="0"/>
                      <w:color w:val="000000"/>
                      <w:szCs w:val="22"/>
                    </w:rPr>
                    <w:t>日~</w:t>
                  </w:r>
                  <w:r>
                    <w:rPr>
                      <w:rFonts w:hint="eastAsia"/>
                      <w:b w:val="0"/>
                      <w:color w:val="000000"/>
                      <w:szCs w:val="22"/>
                      <w:lang w:val="en-US" w:eastAsia="zh-CN"/>
                    </w:rPr>
                    <w:t>02</w:t>
                  </w:r>
                  <w:r>
                    <w:rPr>
                      <w:rFonts w:hint="eastAsia"/>
                      <w:b w:val="0"/>
                      <w:color w:val="000000"/>
                      <w:szCs w:val="22"/>
                    </w:rPr>
                    <w:t>日</w:t>
                  </w:r>
                </w:p>
              </w:tc>
              <w:tc>
                <w:tcPr>
                  <w:tcW w:w="993" w:type="pct"/>
                  <w:tcBorders>
                    <w:bottom w:val="single" w:color="000000" w:sz="12" w:space="0"/>
                  </w:tcBorders>
                  <w:shd w:val="clear" w:color="auto" w:fill="auto"/>
                  <w:noWrap w:val="0"/>
                  <w:vAlign w:val="center"/>
                </w:tcPr>
                <w:p w14:paraId="5E32EA87">
                  <w:pPr>
                    <w:pStyle w:val="38"/>
                    <w:keepNext w:val="0"/>
                    <w:keepLines w:val="0"/>
                    <w:widowControl/>
                    <w:suppressLineNumbers w:val="0"/>
                    <w:bidi w:val="0"/>
                    <w:spacing w:before="0" w:beforeAutospacing="0" w:after="0" w:afterAutospacing="0"/>
                    <w:ind w:left="0" w:right="0"/>
                    <w:rPr>
                      <w:rFonts w:hint="default"/>
                      <w:b w:val="0"/>
                      <w:color w:val="000000"/>
                      <w:szCs w:val="22"/>
                      <w:lang w:val="en-US" w:eastAsia="zh-CN"/>
                    </w:rPr>
                  </w:pPr>
                  <w:r>
                    <w:rPr>
                      <w:rFonts w:hint="eastAsia"/>
                      <w:b w:val="0"/>
                      <w:color w:val="000000"/>
                      <w:szCs w:val="22"/>
                      <w:lang w:val="en-US" w:eastAsia="zh-CN"/>
                    </w:rPr>
                    <w:t>0.114</w:t>
                  </w:r>
                </w:p>
              </w:tc>
              <w:tc>
                <w:tcPr>
                  <w:tcW w:w="713" w:type="pct"/>
                  <w:tcBorders>
                    <w:bottom w:val="single" w:color="000000" w:sz="12" w:space="0"/>
                    <w:right w:val="nil"/>
                  </w:tcBorders>
                  <w:shd w:val="clear" w:color="auto" w:fill="auto"/>
                  <w:noWrap w:val="0"/>
                  <w:vAlign w:val="center"/>
                </w:tcPr>
                <w:p w14:paraId="27CD7E3E">
                  <w:pPr>
                    <w:pStyle w:val="38"/>
                    <w:keepNext w:val="0"/>
                    <w:keepLines w:val="0"/>
                    <w:widowControl/>
                    <w:suppressLineNumbers w:val="0"/>
                    <w:bidi w:val="0"/>
                    <w:spacing w:before="0" w:beforeAutospacing="0" w:after="0" w:afterAutospacing="0"/>
                    <w:ind w:left="0" w:right="0"/>
                    <w:rPr>
                      <w:rFonts w:hint="default"/>
                      <w:b w:val="0"/>
                      <w:color w:val="000000"/>
                      <w:szCs w:val="22"/>
                      <w:lang w:val="en-US" w:eastAsia="zh-CN"/>
                    </w:rPr>
                  </w:pPr>
                  <w:r>
                    <w:rPr>
                      <w:rFonts w:hint="eastAsia"/>
                      <w:b w:val="0"/>
                      <w:color w:val="000000"/>
                      <w:szCs w:val="22"/>
                    </w:rPr>
                    <w:t>mg/m</w:t>
                  </w:r>
                  <w:r>
                    <w:rPr>
                      <w:rFonts w:hint="eastAsia"/>
                      <w:b w:val="0"/>
                      <w:color w:val="000000"/>
                      <w:szCs w:val="22"/>
                      <w:vertAlign w:val="superscript"/>
                    </w:rPr>
                    <w:t>3</w:t>
                  </w:r>
                </w:p>
              </w:tc>
            </w:tr>
          </w:tbl>
          <w:p w14:paraId="4E72DDC1">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根据表3.1-2可知，项目所在区域内特征污染因子颗粒物现状监测点的浓度值可符合</w:t>
            </w:r>
            <w:r>
              <w:rPr>
                <w:rFonts w:hint="eastAsia"/>
                <w:lang w:eastAsia="zh-CN"/>
              </w:rPr>
              <w:t>《环境空气质量标准》（GB 3095—2026）</w:t>
            </w:r>
            <w:r>
              <w:rPr>
                <w:rFonts w:hint="default"/>
              </w:rPr>
              <w:t>中的二级标准</w:t>
            </w:r>
            <w:r>
              <w:rPr>
                <w:rFonts w:hint="eastAsia"/>
                <w:lang w:val="en-US" w:eastAsia="zh-CN"/>
              </w:rPr>
              <w:t>要求。</w:t>
            </w:r>
          </w:p>
          <w:p w14:paraId="0BB11871">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（3）</w:t>
            </w:r>
            <w:r>
              <w:rPr>
                <w:rFonts w:hint="default"/>
                <w:lang w:val="en-US" w:eastAsia="zh-CN"/>
              </w:rPr>
              <w:t>引用数据的有效性分析</w:t>
            </w:r>
          </w:p>
          <w:p w14:paraId="3083B639">
            <w:pPr>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根据《环境影响评价技术导则 大气环境》</w:t>
            </w:r>
            <w:r>
              <w:rPr>
                <w:rFonts w:hint="eastAsia"/>
                <w:lang w:val="en-US" w:eastAsia="zh-CN"/>
              </w:rPr>
              <w:t>（</w:t>
            </w:r>
            <w:r>
              <w:rPr>
                <w:rFonts w:hint="default"/>
                <w:lang w:val="en-US" w:eastAsia="zh-CN"/>
              </w:rPr>
              <w:t>HJ2.2-2018</w:t>
            </w:r>
            <w:r>
              <w:rPr>
                <w:rFonts w:hint="eastAsia"/>
                <w:lang w:val="en-US" w:eastAsia="zh-CN"/>
              </w:rPr>
              <w:t>）</w:t>
            </w:r>
            <w:r>
              <w:rPr>
                <w:rFonts w:hint="default"/>
                <w:lang w:val="en-US" w:eastAsia="zh-CN"/>
              </w:rPr>
              <w:t>的6.2.1.1要求：</w:t>
            </w:r>
            <w:r>
              <w:rPr>
                <w:rFonts w:hint="eastAsia"/>
                <w:lang w:val="en-US" w:eastAsia="zh-CN"/>
              </w:rPr>
              <w:t>“</w:t>
            </w:r>
            <w:r>
              <w:rPr>
                <w:rFonts w:hint="default"/>
                <w:lang w:val="en-US" w:eastAsia="zh-CN"/>
              </w:rPr>
              <w:t>项目所在区域达标判定，优先采用国家或地方生态环境主管部门发布的评价基准年环境质量公告或环境质量报告中的数据或结论</w:t>
            </w:r>
            <w:r>
              <w:rPr>
                <w:rFonts w:hint="eastAsia"/>
                <w:lang w:val="en-US" w:eastAsia="zh-CN"/>
              </w:rPr>
              <w:t>”</w:t>
            </w:r>
            <w:r>
              <w:rPr>
                <w:rFonts w:hint="default"/>
                <w:lang w:val="en-US" w:eastAsia="zh-CN"/>
              </w:rPr>
              <w:t>，根据</w:t>
            </w:r>
            <w:r>
              <w:rPr>
                <w:rFonts w:hint="eastAsia"/>
                <w:lang w:val="en-US" w:eastAsia="zh-CN"/>
              </w:rPr>
              <w:t>《建设项目环境影响报告表编制技术指南（污染影响类）（试行）》（环办环评〔2020〕33号）的要求：“大气环境区域环境质量现状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w:t>
            </w:r>
          </w:p>
          <w:p w14:paraId="1997F015">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本次评价选取福建省生态环境厅</w:t>
            </w:r>
            <w:r>
              <w:rPr>
                <w:rFonts w:hint="eastAsia"/>
                <w:lang w:val="en-US" w:eastAsia="zh-CN"/>
              </w:rPr>
              <w:t>发</w:t>
            </w:r>
            <w:r>
              <w:rPr>
                <w:rFonts w:hint="default"/>
                <w:lang w:val="en-US" w:eastAsia="zh-CN"/>
              </w:rPr>
              <w:t>布的环境空气质量</w:t>
            </w:r>
            <w:r>
              <w:rPr>
                <w:rFonts w:hint="eastAsia"/>
                <w:lang w:val="en-US" w:eastAsia="zh-CN"/>
              </w:rPr>
              <w:t>数据</w:t>
            </w:r>
            <w:r>
              <w:rPr>
                <w:rFonts w:hint="default"/>
                <w:lang w:val="en-US" w:eastAsia="zh-CN"/>
              </w:rPr>
              <w:t>，符合《环境影响评价技术导则 大气环境》</w:t>
            </w:r>
            <w:r>
              <w:rPr>
                <w:rFonts w:hint="eastAsia"/>
                <w:lang w:val="en-US" w:eastAsia="zh-CN"/>
              </w:rPr>
              <w:t>（</w:t>
            </w:r>
            <w:r>
              <w:rPr>
                <w:rFonts w:hint="default"/>
                <w:lang w:val="en-US" w:eastAsia="zh-CN"/>
              </w:rPr>
              <w:t>HJ2.2-2018</w:t>
            </w:r>
            <w:r>
              <w:rPr>
                <w:rFonts w:hint="eastAsia"/>
                <w:lang w:val="en-US" w:eastAsia="zh-CN"/>
              </w:rPr>
              <w:t>）</w:t>
            </w:r>
            <w:r>
              <w:rPr>
                <w:rFonts w:hint="default"/>
                <w:lang w:val="en-US" w:eastAsia="zh-CN"/>
              </w:rPr>
              <w:t>、《建设项目环境影响报告表编制技术指南（污染影响类）（试行）》的要求，环境现状监测数据可行。</w:t>
            </w:r>
          </w:p>
          <w:p w14:paraId="3B2C5814">
            <w:pPr>
              <w:pStyle w:val="3"/>
              <w:keepNext w:val="0"/>
              <w:keepLines w:val="0"/>
              <w:suppressLineNumbers w:val="0"/>
              <w:bidi w:val="0"/>
              <w:spacing w:before="0" w:beforeAutospacing="0" w:after="0" w:afterAutospacing="0"/>
              <w:ind w:left="0" w:right="0"/>
              <w:rPr>
                <w:rFonts w:hint="default"/>
              </w:rPr>
            </w:pPr>
            <w:r>
              <w:rPr>
                <w:rFonts w:hint="eastAsia"/>
                <w:lang w:val="en-US" w:eastAsia="zh-CN"/>
              </w:rPr>
              <w:t>地表水环境质量现状</w:t>
            </w:r>
          </w:p>
          <w:p w14:paraId="6A68C543">
            <w:pPr>
              <w:pStyle w:val="4"/>
              <w:suppressLineNumbers w:val="0"/>
              <w:bidi w:val="0"/>
              <w:spacing w:before="0" w:beforeAutospacing="0" w:after="0" w:afterAutospacing="0"/>
              <w:ind w:left="0" w:right="0"/>
              <w:rPr>
                <w:rFonts w:hint="eastAsia"/>
                <w:lang w:val="en-US" w:eastAsia="zh-CN"/>
              </w:rPr>
            </w:pPr>
            <w:r>
              <w:rPr>
                <w:rFonts w:hint="default"/>
                <w:lang w:val="en-US" w:eastAsia="zh-CN"/>
              </w:rPr>
              <w:t>地表水功能区划</w:t>
            </w:r>
          </w:p>
          <w:p w14:paraId="3663251E">
            <w:pPr>
              <w:keepNext w:val="0"/>
              <w:keepLines w:val="0"/>
              <w:suppressLineNumbers w:val="0"/>
              <w:bidi w:val="0"/>
              <w:spacing w:before="0" w:beforeAutospacing="0" w:after="0" w:afterAutospacing="0"/>
              <w:ind w:left="0" w:right="0"/>
              <w:rPr>
                <w:rFonts w:hint="default"/>
                <w:lang w:val="en-US" w:eastAsia="zh-CN"/>
              </w:rPr>
            </w:pPr>
            <w:r>
              <w:rPr>
                <w:rFonts w:hint="eastAsia"/>
                <w:lang w:eastAsia="zh-CN"/>
              </w:rPr>
              <w:t>（</w:t>
            </w:r>
            <w:r>
              <w:rPr>
                <w:rFonts w:hint="eastAsia"/>
                <w:lang w:val="en-US" w:eastAsia="zh-CN"/>
              </w:rPr>
              <w:t>1</w:t>
            </w:r>
            <w:r>
              <w:rPr>
                <w:rFonts w:hint="eastAsia"/>
                <w:lang w:eastAsia="zh-CN"/>
              </w:rPr>
              <w:t>）</w:t>
            </w:r>
            <w:r>
              <w:rPr>
                <w:rFonts w:hint="eastAsia"/>
                <w:lang w:val="en-US" w:eastAsia="zh-CN"/>
              </w:rPr>
              <w:t>水环境</w:t>
            </w:r>
          </w:p>
          <w:p w14:paraId="2B4554A1">
            <w:pPr>
              <w:keepNext w:val="0"/>
              <w:keepLines w:val="0"/>
              <w:suppressLineNumbers w:val="0"/>
              <w:bidi w:val="0"/>
              <w:spacing w:before="0" w:beforeAutospacing="0" w:after="0" w:afterAutospacing="0"/>
              <w:ind w:left="0" w:right="0"/>
              <w:rPr>
                <w:rFonts w:hint="eastAsia"/>
              </w:rPr>
            </w:pPr>
            <w:r>
              <w:rPr>
                <w:rFonts w:hint="eastAsia"/>
              </w:rPr>
              <w:t>本项目生活污水预处理后排入市政污水管网，送往福清市融元污水处理厂进行处理，</w:t>
            </w:r>
            <w:r>
              <w:rPr>
                <w:rFonts w:hint="eastAsia"/>
                <w:lang w:eastAsia="zh-CN"/>
              </w:rPr>
              <w:t>污水处理厂</w:t>
            </w:r>
            <w:r>
              <w:rPr>
                <w:rFonts w:hint="eastAsia"/>
              </w:rPr>
              <w:t>尾水排入龙江，所处龙江</w:t>
            </w:r>
            <w:r>
              <w:rPr>
                <w:rFonts w:hint="eastAsia"/>
                <w:lang w:eastAsia="zh-CN"/>
              </w:rPr>
              <w:t>“</w:t>
            </w:r>
            <w:r>
              <w:rPr>
                <w:rFonts w:hint="eastAsia"/>
              </w:rPr>
              <w:t>南门桥水闸至龙江入海口</w:t>
            </w:r>
            <w:r>
              <w:rPr>
                <w:rFonts w:hint="eastAsia"/>
                <w:lang w:eastAsia="zh-CN"/>
              </w:rPr>
              <w:t>”</w:t>
            </w:r>
            <w:r>
              <w:rPr>
                <w:rFonts w:hint="eastAsia"/>
              </w:rPr>
              <w:t>断面；根据福州市水功能区划批复（榕政综</w:t>
            </w:r>
            <w:r>
              <w:rPr>
                <w:rFonts w:hint="eastAsia"/>
                <w:lang w:eastAsia="zh-CN"/>
              </w:rPr>
              <w:t>〔2019〕316号</w:t>
            </w:r>
            <w:r>
              <w:rPr>
                <w:rFonts w:hint="eastAsia"/>
              </w:rPr>
              <w:t>）批准的《福州市水功能区划》，该断面水体主要功能为该断面水体主要功能为</w:t>
            </w:r>
            <w:r>
              <w:rPr>
                <w:rFonts w:hint="eastAsia"/>
                <w:highlight w:val="none"/>
              </w:rPr>
              <w:t>农业、工业、景观用水，环境功能类别为Ⅴ类，水质执行《地表水环境质量标准》</w:t>
            </w:r>
            <w:r>
              <w:rPr>
                <w:rFonts w:hint="eastAsia"/>
                <w:highlight w:val="none"/>
                <w:lang w:eastAsia="zh-CN"/>
              </w:rPr>
              <w:t>（</w:t>
            </w:r>
            <w:r>
              <w:rPr>
                <w:rFonts w:hint="eastAsia"/>
                <w:highlight w:val="none"/>
              </w:rPr>
              <w:t>GB3838-2002</w:t>
            </w:r>
            <w:r>
              <w:rPr>
                <w:rFonts w:hint="eastAsia"/>
                <w:highlight w:val="none"/>
                <w:lang w:eastAsia="zh-CN"/>
              </w:rPr>
              <w:t>）</w:t>
            </w:r>
            <w:r>
              <w:rPr>
                <w:rFonts w:hint="eastAsia"/>
                <w:highlight w:val="none"/>
              </w:rPr>
              <w:t>中Ⅴ类水质标准；项目周边水域大北溪所在</w:t>
            </w:r>
            <w:r>
              <w:rPr>
                <w:rFonts w:hint="eastAsia"/>
                <w:highlight w:val="none"/>
                <w:lang w:eastAsia="zh-CN"/>
              </w:rPr>
              <w:t>“</w:t>
            </w:r>
            <w:r>
              <w:rPr>
                <w:rFonts w:hint="eastAsia"/>
                <w:highlight w:val="none"/>
              </w:rPr>
              <w:t>铁路桥至大北溪口</w:t>
            </w:r>
            <w:r>
              <w:rPr>
                <w:rFonts w:hint="eastAsia"/>
                <w:highlight w:val="none"/>
                <w:lang w:eastAsia="zh-CN"/>
              </w:rPr>
              <w:t>”</w:t>
            </w:r>
            <w:r>
              <w:rPr>
                <w:rFonts w:hint="eastAsia"/>
                <w:highlight w:val="none"/>
              </w:rPr>
              <w:t>断面水体主要功能为景观、工业用水，环境功能类别为Ⅳ类，水质执行《地表水环境</w:t>
            </w:r>
            <w:r>
              <w:rPr>
                <w:rFonts w:hint="eastAsia"/>
              </w:rPr>
              <w:t>质量标准》</w:t>
            </w:r>
            <w:r>
              <w:rPr>
                <w:rFonts w:hint="eastAsia"/>
                <w:lang w:eastAsia="zh-CN"/>
              </w:rPr>
              <w:t>（</w:t>
            </w:r>
            <w:r>
              <w:rPr>
                <w:rFonts w:hint="eastAsia"/>
              </w:rPr>
              <w:t>GB3838-2002</w:t>
            </w:r>
            <w:r>
              <w:rPr>
                <w:rFonts w:hint="eastAsia"/>
                <w:lang w:eastAsia="zh-CN"/>
              </w:rPr>
              <w:t>）</w:t>
            </w:r>
            <w:r>
              <w:rPr>
                <w:rFonts w:hint="eastAsia"/>
              </w:rPr>
              <w:t>中Ⅳ类水质标准Ⅳ，具体详见表3.2-1。</w:t>
            </w:r>
          </w:p>
          <w:p w14:paraId="4B359E61">
            <w:pPr>
              <w:pStyle w:val="39"/>
              <w:keepNext w:val="0"/>
              <w:keepLines w:val="0"/>
              <w:suppressLineNumbers w:val="0"/>
              <w:bidi w:val="0"/>
              <w:spacing w:before="0" w:beforeAutospacing="0" w:after="0" w:afterAutospacing="0"/>
              <w:ind w:left="0" w:right="0"/>
              <w:rPr>
                <w:rFonts w:hint="default"/>
              </w:rPr>
            </w:pPr>
            <w:r>
              <w:rPr>
                <w:rFonts w:hint="default"/>
              </w:rPr>
              <w:t>表</w:t>
            </w:r>
            <w:r>
              <w:rPr>
                <w:rFonts w:hint="eastAsia" w:cs="宋体"/>
                <w:b/>
                <w:bCs/>
                <w:color w:val="auto"/>
                <w:kern w:val="2"/>
                <w:sz w:val="24"/>
                <w:szCs w:val="21"/>
                <w:lang w:val="en-US" w:eastAsia="zh-CN" w:bidi="ar-SA"/>
              </w:rPr>
              <w:t>3.2-1</w:t>
            </w:r>
            <w:r>
              <w:rPr>
                <w:rFonts w:hint="default"/>
              </w:rPr>
              <w:t xml:space="preserve">  地表水环境质量标准</w:t>
            </w:r>
            <w:r>
              <w:rPr>
                <w:rFonts w:hint="eastAsia"/>
                <w:lang w:eastAsia="zh-CN"/>
              </w:rPr>
              <w:t>（</w:t>
            </w:r>
            <w:r>
              <w:rPr>
                <w:rFonts w:hint="default"/>
              </w:rPr>
              <w:t>GB3838-2002</w:t>
            </w:r>
            <w:r>
              <w:rPr>
                <w:rFonts w:hint="eastAsia"/>
                <w:lang w:eastAsia="zh-CN"/>
              </w:rPr>
              <w:t>）（</w:t>
            </w:r>
            <w:r>
              <w:rPr>
                <w:rFonts w:hint="default"/>
              </w:rPr>
              <w:t>摘录</w:t>
            </w:r>
            <w:r>
              <w:rPr>
                <w:rFonts w:hint="eastAsia"/>
                <w:lang w:eastAsia="zh-CN"/>
              </w:rPr>
              <w:t>）</w:t>
            </w:r>
            <w:r>
              <w:rPr>
                <w:rFonts w:hint="default"/>
              </w:rPr>
              <w:t xml:space="preserve">   单位：mg/L</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929"/>
              <w:gridCol w:w="3060"/>
              <w:gridCol w:w="1177"/>
              <w:gridCol w:w="936"/>
              <w:gridCol w:w="933"/>
              <w:gridCol w:w="939"/>
            </w:tblGrid>
            <w:tr w14:paraId="53F47D4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exact"/>
                <w:jc w:val="center"/>
              </w:trPr>
              <w:tc>
                <w:tcPr>
                  <w:tcW w:w="582" w:type="pct"/>
                  <w:shd w:val="clear" w:color="auto" w:fill="auto"/>
                  <w:noWrap w:val="0"/>
                  <w:vAlign w:val="center"/>
                </w:tcPr>
                <w:p w14:paraId="46494A79">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序号</w:t>
                  </w:r>
                </w:p>
              </w:tc>
              <w:tc>
                <w:tcPr>
                  <w:tcW w:w="1918" w:type="pct"/>
                  <w:shd w:val="clear" w:color="auto" w:fill="auto"/>
                  <w:noWrap w:val="0"/>
                  <w:vAlign w:val="center"/>
                </w:tcPr>
                <w:p w14:paraId="45A2EA83">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项目</w:t>
                  </w:r>
                </w:p>
              </w:tc>
              <w:tc>
                <w:tcPr>
                  <w:tcW w:w="738" w:type="pct"/>
                  <w:shd w:val="clear" w:color="auto" w:fill="auto"/>
                  <w:noWrap w:val="0"/>
                  <w:vAlign w:val="center"/>
                </w:tcPr>
                <w:p w14:paraId="1795E2A2">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Ⅱ类</w:t>
                  </w:r>
                </w:p>
              </w:tc>
              <w:tc>
                <w:tcPr>
                  <w:tcW w:w="587" w:type="pct"/>
                  <w:shd w:val="clear" w:color="auto" w:fill="auto"/>
                  <w:noWrap w:val="0"/>
                  <w:vAlign w:val="center"/>
                </w:tcPr>
                <w:p w14:paraId="4F65B250">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Ⅲ类</w:t>
                  </w:r>
                </w:p>
              </w:tc>
              <w:tc>
                <w:tcPr>
                  <w:tcW w:w="585" w:type="pct"/>
                  <w:shd w:val="clear" w:color="auto" w:fill="EEECE1"/>
                  <w:noWrap w:val="0"/>
                  <w:vAlign w:val="center"/>
                </w:tcPr>
                <w:p w14:paraId="03F1C08C">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Ⅳ类</w:t>
                  </w:r>
                </w:p>
              </w:tc>
              <w:tc>
                <w:tcPr>
                  <w:tcW w:w="587" w:type="pct"/>
                  <w:shd w:val="clear" w:color="auto" w:fill="EEECE1"/>
                  <w:noWrap w:val="0"/>
                  <w:vAlign w:val="center"/>
                </w:tcPr>
                <w:p w14:paraId="60ED1477">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Ⅴ类</w:t>
                  </w:r>
                </w:p>
              </w:tc>
            </w:tr>
            <w:tr w14:paraId="757293C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exact"/>
                <w:jc w:val="center"/>
              </w:trPr>
              <w:tc>
                <w:tcPr>
                  <w:tcW w:w="582" w:type="pct"/>
                  <w:shd w:val="clear" w:color="auto" w:fill="auto"/>
                  <w:noWrap w:val="0"/>
                  <w:vAlign w:val="center"/>
                </w:tcPr>
                <w:p w14:paraId="7DF8557F">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1</w:t>
                  </w:r>
                </w:p>
              </w:tc>
              <w:tc>
                <w:tcPr>
                  <w:tcW w:w="1918" w:type="pct"/>
                  <w:shd w:val="clear" w:color="auto" w:fill="auto"/>
                  <w:noWrap w:val="0"/>
                  <w:vAlign w:val="center"/>
                </w:tcPr>
                <w:p w14:paraId="4BC3FC22">
                  <w:pPr>
                    <w:pStyle w:val="38"/>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rPr>
                    <w:t>pH</w:t>
                  </w:r>
                  <w:r>
                    <w:rPr>
                      <w:rFonts w:hint="eastAsia"/>
                      <w:szCs w:val="22"/>
                      <w:lang w:eastAsia="zh-CN"/>
                    </w:rPr>
                    <w:t>（</w:t>
                  </w:r>
                  <w:r>
                    <w:rPr>
                      <w:rFonts w:hint="eastAsia"/>
                      <w:szCs w:val="22"/>
                    </w:rPr>
                    <w:t>无量纲</w:t>
                  </w:r>
                  <w:r>
                    <w:rPr>
                      <w:rFonts w:hint="eastAsia"/>
                      <w:szCs w:val="22"/>
                      <w:lang w:eastAsia="zh-CN"/>
                    </w:rPr>
                    <w:t>）</w:t>
                  </w:r>
                </w:p>
              </w:tc>
              <w:tc>
                <w:tcPr>
                  <w:tcW w:w="2498" w:type="pct"/>
                  <w:gridSpan w:val="4"/>
                  <w:shd w:val="clear" w:color="auto" w:fill="EEECE1"/>
                  <w:noWrap w:val="0"/>
                  <w:vAlign w:val="center"/>
                </w:tcPr>
                <w:p w14:paraId="5DEA3120">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6～9</w:t>
                  </w:r>
                </w:p>
              </w:tc>
            </w:tr>
            <w:tr w14:paraId="03F935A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exact"/>
                <w:jc w:val="center"/>
              </w:trPr>
              <w:tc>
                <w:tcPr>
                  <w:tcW w:w="582" w:type="pct"/>
                  <w:shd w:val="clear" w:color="auto" w:fill="auto"/>
                  <w:noWrap w:val="0"/>
                  <w:vAlign w:val="center"/>
                </w:tcPr>
                <w:p w14:paraId="1C29A404">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2</w:t>
                  </w:r>
                </w:p>
              </w:tc>
              <w:tc>
                <w:tcPr>
                  <w:tcW w:w="1918" w:type="pct"/>
                  <w:shd w:val="clear" w:color="auto" w:fill="auto"/>
                  <w:noWrap w:val="0"/>
                  <w:vAlign w:val="center"/>
                </w:tcPr>
                <w:p w14:paraId="688097AD">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溶解氧≥</w:t>
                  </w:r>
                </w:p>
              </w:tc>
              <w:tc>
                <w:tcPr>
                  <w:tcW w:w="738" w:type="pct"/>
                  <w:shd w:val="clear" w:color="auto" w:fill="auto"/>
                  <w:noWrap w:val="0"/>
                  <w:vAlign w:val="center"/>
                </w:tcPr>
                <w:p w14:paraId="6C0DBF81">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6</w:t>
                  </w:r>
                </w:p>
              </w:tc>
              <w:tc>
                <w:tcPr>
                  <w:tcW w:w="587" w:type="pct"/>
                  <w:shd w:val="clear" w:color="auto" w:fill="auto"/>
                  <w:noWrap w:val="0"/>
                  <w:vAlign w:val="center"/>
                </w:tcPr>
                <w:p w14:paraId="481BF481">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5</w:t>
                  </w:r>
                </w:p>
              </w:tc>
              <w:tc>
                <w:tcPr>
                  <w:tcW w:w="585" w:type="pct"/>
                  <w:shd w:val="clear" w:color="auto" w:fill="EEECE1"/>
                  <w:noWrap w:val="0"/>
                  <w:vAlign w:val="center"/>
                </w:tcPr>
                <w:p w14:paraId="1878783A">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3</w:t>
                  </w:r>
                </w:p>
              </w:tc>
              <w:tc>
                <w:tcPr>
                  <w:tcW w:w="587" w:type="pct"/>
                  <w:shd w:val="clear" w:color="auto" w:fill="EEECE1"/>
                  <w:noWrap w:val="0"/>
                  <w:vAlign w:val="center"/>
                </w:tcPr>
                <w:p w14:paraId="6F2B80F0">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2</w:t>
                  </w:r>
                </w:p>
              </w:tc>
            </w:tr>
            <w:tr w14:paraId="5E29940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exact"/>
                <w:jc w:val="center"/>
              </w:trPr>
              <w:tc>
                <w:tcPr>
                  <w:tcW w:w="582" w:type="pct"/>
                  <w:shd w:val="clear" w:color="auto" w:fill="auto"/>
                  <w:noWrap w:val="0"/>
                  <w:vAlign w:val="center"/>
                </w:tcPr>
                <w:p w14:paraId="7F6E7488">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3</w:t>
                  </w:r>
                </w:p>
              </w:tc>
              <w:tc>
                <w:tcPr>
                  <w:tcW w:w="1918" w:type="pct"/>
                  <w:shd w:val="clear" w:color="auto" w:fill="auto"/>
                  <w:noWrap w:val="0"/>
                  <w:vAlign w:val="center"/>
                </w:tcPr>
                <w:p w14:paraId="0AED8EFE">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高锰酸盐指数≤</w:t>
                  </w:r>
                </w:p>
              </w:tc>
              <w:tc>
                <w:tcPr>
                  <w:tcW w:w="738" w:type="pct"/>
                  <w:shd w:val="clear" w:color="auto" w:fill="auto"/>
                  <w:noWrap w:val="0"/>
                  <w:vAlign w:val="center"/>
                </w:tcPr>
                <w:p w14:paraId="0D2A599D">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4</w:t>
                  </w:r>
                </w:p>
              </w:tc>
              <w:tc>
                <w:tcPr>
                  <w:tcW w:w="587" w:type="pct"/>
                  <w:shd w:val="clear" w:color="auto" w:fill="auto"/>
                  <w:noWrap w:val="0"/>
                  <w:vAlign w:val="center"/>
                </w:tcPr>
                <w:p w14:paraId="14F7D558">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6</w:t>
                  </w:r>
                </w:p>
              </w:tc>
              <w:tc>
                <w:tcPr>
                  <w:tcW w:w="585" w:type="pct"/>
                  <w:shd w:val="clear" w:color="auto" w:fill="EEECE1"/>
                  <w:noWrap w:val="0"/>
                  <w:vAlign w:val="center"/>
                </w:tcPr>
                <w:p w14:paraId="0C1AF215">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10</w:t>
                  </w:r>
                </w:p>
              </w:tc>
              <w:tc>
                <w:tcPr>
                  <w:tcW w:w="587" w:type="pct"/>
                  <w:shd w:val="clear" w:color="auto" w:fill="EEECE1"/>
                  <w:noWrap w:val="0"/>
                  <w:vAlign w:val="center"/>
                </w:tcPr>
                <w:p w14:paraId="340F409B">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15</w:t>
                  </w:r>
                </w:p>
              </w:tc>
            </w:tr>
            <w:tr w14:paraId="5AA904B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exact"/>
                <w:jc w:val="center"/>
              </w:trPr>
              <w:tc>
                <w:tcPr>
                  <w:tcW w:w="582" w:type="pct"/>
                  <w:shd w:val="clear" w:color="auto" w:fill="auto"/>
                  <w:noWrap w:val="0"/>
                  <w:vAlign w:val="center"/>
                </w:tcPr>
                <w:p w14:paraId="6E3F72E0">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4</w:t>
                  </w:r>
                </w:p>
              </w:tc>
              <w:tc>
                <w:tcPr>
                  <w:tcW w:w="1918" w:type="pct"/>
                  <w:shd w:val="clear" w:color="auto" w:fill="auto"/>
                  <w:noWrap w:val="0"/>
                  <w:vAlign w:val="center"/>
                </w:tcPr>
                <w:p w14:paraId="3DB848E4">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化学需氧量</w:t>
                  </w:r>
                  <w:r>
                    <w:rPr>
                      <w:rFonts w:hint="eastAsia"/>
                      <w:szCs w:val="22"/>
                      <w:lang w:eastAsia="zh-CN"/>
                    </w:rPr>
                    <w:t>（</w:t>
                  </w:r>
                  <w:r>
                    <w:rPr>
                      <w:rFonts w:hint="eastAsia"/>
                      <w:szCs w:val="22"/>
                    </w:rPr>
                    <w:t>COD</w:t>
                  </w:r>
                  <w:r>
                    <w:rPr>
                      <w:rFonts w:hint="eastAsia"/>
                      <w:szCs w:val="22"/>
                      <w:lang w:eastAsia="zh-CN"/>
                    </w:rPr>
                    <w:t>）</w:t>
                  </w:r>
                  <w:r>
                    <w:rPr>
                      <w:rFonts w:hint="eastAsia"/>
                      <w:szCs w:val="22"/>
                    </w:rPr>
                    <w:t>≤</w:t>
                  </w:r>
                </w:p>
              </w:tc>
              <w:tc>
                <w:tcPr>
                  <w:tcW w:w="738" w:type="pct"/>
                  <w:shd w:val="clear" w:color="auto" w:fill="auto"/>
                  <w:noWrap w:val="0"/>
                  <w:vAlign w:val="center"/>
                </w:tcPr>
                <w:p w14:paraId="7D8023B2">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15</w:t>
                  </w:r>
                </w:p>
              </w:tc>
              <w:tc>
                <w:tcPr>
                  <w:tcW w:w="587" w:type="pct"/>
                  <w:shd w:val="clear" w:color="auto" w:fill="auto"/>
                  <w:noWrap w:val="0"/>
                  <w:vAlign w:val="center"/>
                </w:tcPr>
                <w:p w14:paraId="0D2ED2C4">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20</w:t>
                  </w:r>
                </w:p>
              </w:tc>
              <w:tc>
                <w:tcPr>
                  <w:tcW w:w="585" w:type="pct"/>
                  <w:shd w:val="clear" w:color="auto" w:fill="EEECE1"/>
                  <w:noWrap w:val="0"/>
                  <w:vAlign w:val="center"/>
                </w:tcPr>
                <w:p w14:paraId="32A23B62">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30</w:t>
                  </w:r>
                </w:p>
              </w:tc>
              <w:tc>
                <w:tcPr>
                  <w:tcW w:w="587" w:type="pct"/>
                  <w:shd w:val="clear" w:color="auto" w:fill="EEECE1"/>
                  <w:noWrap w:val="0"/>
                  <w:vAlign w:val="center"/>
                </w:tcPr>
                <w:p w14:paraId="6CB87CFA">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40</w:t>
                  </w:r>
                </w:p>
              </w:tc>
            </w:tr>
            <w:tr w14:paraId="6CC3F2D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exact"/>
                <w:jc w:val="center"/>
              </w:trPr>
              <w:tc>
                <w:tcPr>
                  <w:tcW w:w="582" w:type="pct"/>
                  <w:shd w:val="clear" w:color="auto" w:fill="auto"/>
                  <w:noWrap w:val="0"/>
                  <w:vAlign w:val="center"/>
                </w:tcPr>
                <w:p w14:paraId="501601FD">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5</w:t>
                  </w:r>
                </w:p>
              </w:tc>
              <w:tc>
                <w:tcPr>
                  <w:tcW w:w="1918" w:type="pct"/>
                  <w:shd w:val="clear" w:color="auto" w:fill="auto"/>
                  <w:noWrap w:val="0"/>
                  <w:vAlign w:val="center"/>
                </w:tcPr>
                <w:p w14:paraId="2AF31FB5">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氨氮</w:t>
                  </w:r>
                  <w:r>
                    <w:rPr>
                      <w:rFonts w:hint="eastAsia"/>
                      <w:szCs w:val="22"/>
                      <w:lang w:eastAsia="zh-CN"/>
                    </w:rPr>
                    <w:t>（</w:t>
                  </w:r>
                  <w:r>
                    <w:rPr>
                      <w:rFonts w:hint="eastAsia"/>
                      <w:szCs w:val="22"/>
                    </w:rPr>
                    <w:t>NH</w:t>
                  </w:r>
                  <w:r>
                    <w:rPr>
                      <w:rFonts w:hint="eastAsia"/>
                      <w:szCs w:val="22"/>
                      <w:vertAlign w:val="subscript"/>
                    </w:rPr>
                    <w:t>3</w:t>
                  </w:r>
                  <w:r>
                    <w:rPr>
                      <w:rFonts w:hint="eastAsia"/>
                      <w:szCs w:val="22"/>
                    </w:rPr>
                    <w:t>-N</w:t>
                  </w:r>
                  <w:r>
                    <w:rPr>
                      <w:rFonts w:hint="eastAsia"/>
                      <w:szCs w:val="22"/>
                      <w:lang w:eastAsia="zh-CN"/>
                    </w:rPr>
                    <w:t>）</w:t>
                  </w:r>
                  <w:r>
                    <w:rPr>
                      <w:rFonts w:hint="eastAsia"/>
                      <w:szCs w:val="22"/>
                    </w:rPr>
                    <w:t>≤</w:t>
                  </w:r>
                </w:p>
              </w:tc>
              <w:tc>
                <w:tcPr>
                  <w:tcW w:w="738" w:type="pct"/>
                  <w:shd w:val="clear" w:color="auto" w:fill="auto"/>
                  <w:noWrap w:val="0"/>
                  <w:vAlign w:val="center"/>
                </w:tcPr>
                <w:p w14:paraId="60BCDCB7">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0.5</w:t>
                  </w:r>
                </w:p>
              </w:tc>
              <w:tc>
                <w:tcPr>
                  <w:tcW w:w="587" w:type="pct"/>
                  <w:shd w:val="clear" w:color="auto" w:fill="auto"/>
                  <w:noWrap w:val="0"/>
                  <w:vAlign w:val="center"/>
                </w:tcPr>
                <w:p w14:paraId="67F517E1">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1.0</w:t>
                  </w:r>
                </w:p>
              </w:tc>
              <w:tc>
                <w:tcPr>
                  <w:tcW w:w="585" w:type="pct"/>
                  <w:shd w:val="clear" w:color="auto" w:fill="EEECE1"/>
                  <w:noWrap w:val="0"/>
                  <w:vAlign w:val="center"/>
                </w:tcPr>
                <w:p w14:paraId="132AA12D">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1.5</w:t>
                  </w:r>
                </w:p>
              </w:tc>
              <w:tc>
                <w:tcPr>
                  <w:tcW w:w="587" w:type="pct"/>
                  <w:shd w:val="clear" w:color="auto" w:fill="EEECE1"/>
                  <w:noWrap w:val="0"/>
                  <w:vAlign w:val="center"/>
                </w:tcPr>
                <w:p w14:paraId="3613B9C9">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2.0</w:t>
                  </w:r>
                </w:p>
              </w:tc>
            </w:tr>
            <w:tr w14:paraId="437AE35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exact"/>
                <w:jc w:val="center"/>
              </w:trPr>
              <w:tc>
                <w:tcPr>
                  <w:tcW w:w="582" w:type="pct"/>
                  <w:shd w:val="clear" w:color="auto" w:fill="auto"/>
                  <w:noWrap w:val="0"/>
                  <w:vAlign w:val="center"/>
                </w:tcPr>
                <w:p w14:paraId="6BD46394">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6</w:t>
                  </w:r>
                </w:p>
              </w:tc>
              <w:tc>
                <w:tcPr>
                  <w:tcW w:w="1918" w:type="pct"/>
                  <w:shd w:val="clear" w:color="auto" w:fill="auto"/>
                  <w:noWrap w:val="0"/>
                  <w:vAlign w:val="center"/>
                </w:tcPr>
                <w:p w14:paraId="5C7C8A26">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五日生化需氧量</w:t>
                  </w:r>
                  <w:r>
                    <w:rPr>
                      <w:rFonts w:hint="eastAsia"/>
                      <w:szCs w:val="22"/>
                      <w:lang w:eastAsia="zh-CN"/>
                    </w:rPr>
                    <w:t>（</w:t>
                  </w:r>
                  <w:r>
                    <w:rPr>
                      <w:rFonts w:hint="eastAsia"/>
                      <w:szCs w:val="22"/>
                    </w:rPr>
                    <w:t>BOD</w:t>
                  </w:r>
                  <w:r>
                    <w:rPr>
                      <w:rFonts w:hint="eastAsia"/>
                      <w:szCs w:val="22"/>
                      <w:vertAlign w:val="subscript"/>
                    </w:rPr>
                    <w:t>5</w:t>
                  </w:r>
                  <w:r>
                    <w:rPr>
                      <w:rFonts w:hint="eastAsia"/>
                      <w:szCs w:val="22"/>
                      <w:lang w:eastAsia="zh-CN"/>
                    </w:rPr>
                    <w:t>）</w:t>
                  </w:r>
                  <w:r>
                    <w:rPr>
                      <w:rFonts w:hint="eastAsia"/>
                      <w:szCs w:val="22"/>
                    </w:rPr>
                    <w:t>≤</w:t>
                  </w:r>
                </w:p>
              </w:tc>
              <w:tc>
                <w:tcPr>
                  <w:tcW w:w="738" w:type="pct"/>
                  <w:shd w:val="clear" w:color="auto" w:fill="auto"/>
                  <w:noWrap w:val="0"/>
                  <w:vAlign w:val="center"/>
                </w:tcPr>
                <w:p w14:paraId="2DEC2526">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3</w:t>
                  </w:r>
                </w:p>
              </w:tc>
              <w:tc>
                <w:tcPr>
                  <w:tcW w:w="587" w:type="pct"/>
                  <w:shd w:val="clear" w:color="auto" w:fill="auto"/>
                  <w:noWrap w:val="0"/>
                  <w:vAlign w:val="center"/>
                </w:tcPr>
                <w:p w14:paraId="28BD3644">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4</w:t>
                  </w:r>
                </w:p>
              </w:tc>
              <w:tc>
                <w:tcPr>
                  <w:tcW w:w="585" w:type="pct"/>
                  <w:shd w:val="clear" w:color="auto" w:fill="EEECE1"/>
                  <w:noWrap w:val="0"/>
                  <w:vAlign w:val="center"/>
                </w:tcPr>
                <w:p w14:paraId="54163EC2">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6</w:t>
                  </w:r>
                </w:p>
              </w:tc>
              <w:tc>
                <w:tcPr>
                  <w:tcW w:w="587" w:type="pct"/>
                  <w:shd w:val="clear" w:color="auto" w:fill="EEECE1"/>
                  <w:noWrap w:val="0"/>
                  <w:vAlign w:val="center"/>
                </w:tcPr>
                <w:p w14:paraId="6E4EF129">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10</w:t>
                  </w:r>
                </w:p>
              </w:tc>
            </w:tr>
          </w:tbl>
          <w:p w14:paraId="458B2C37">
            <w:pPr>
              <w:pStyle w:val="4"/>
              <w:suppressLineNumbers w:val="0"/>
              <w:bidi w:val="0"/>
              <w:spacing w:before="0" w:beforeAutospacing="0" w:after="0" w:afterAutospacing="0"/>
              <w:ind w:left="0" w:right="0"/>
              <w:rPr>
                <w:rFonts w:hint="eastAsia"/>
              </w:rPr>
            </w:pPr>
            <w:r>
              <w:rPr>
                <w:rFonts w:hint="eastAsia"/>
              </w:rPr>
              <w:t>地表水环境质量现状</w:t>
            </w:r>
          </w:p>
          <w:p w14:paraId="53DFD67E">
            <w:pPr>
              <w:keepNext w:val="0"/>
              <w:keepLines w:val="0"/>
              <w:suppressLineNumbers w:val="0"/>
              <w:bidi w:val="0"/>
              <w:spacing w:before="0" w:beforeAutospacing="0" w:after="0" w:afterAutospacing="0"/>
              <w:ind w:left="0" w:right="0"/>
              <w:rPr>
                <w:rFonts w:hint="eastAsia"/>
              </w:rPr>
            </w:pPr>
            <w:r>
              <w:rPr>
                <w:rFonts w:hint="eastAsia"/>
                <w:lang w:eastAsia="zh-CN"/>
              </w:rPr>
              <w:t>（</w:t>
            </w:r>
            <w:r>
              <w:rPr>
                <w:rFonts w:hint="eastAsia"/>
                <w:lang w:val="en-US" w:eastAsia="zh-CN"/>
              </w:rPr>
              <w:t>1</w:t>
            </w:r>
            <w:r>
              <w:rPr>
                <w:rFonts w:hint="eastAsia"/>
                <w:lang w:eastAsia="zh-CN"/>
              </w:rPr>
              <w:t>）</w:t>
            </w:r>
            <w:r>
              <w:rPr>
                <w:rFonts w:hint="eastAsia"/>
              </w:rPr>
              <w:t>地表水水质现状调查</w:t>
            </w:r>
          </w:p>
          <w:p w14:paraId="5F7CC2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为了解项目地表水水质环境质量现状，根据福建省生态环境厅网站发布的福建省主要流域水环境质量状况</w:t>
            </w:r>
            <w:r>
              <w:rPr>
                <w:rFonts w:hint="eastAsia" w:cs="Times New Roman"/>
                <w:color w:val="auto"/>
                <w:kern w:val="2"/>
                <w:sz w:val="24"/>
                <w:szCs w:val="20"/>
                <w:highlight w:val="none"/>
                <w:lang w:val="en-US" w:eastAsia="zh-CN" w:bidi="ar-SA"/>
              </w:rPr>
              <w:t>（2025</w:t>
            </w:r>
            <w:r>
              <w:rPr>
                <w:rFonts w:hint="eastAsia" w:ascii="Times New Roman" w:hAnsi="Times New Roman" w:eastAsia="宋体" w:cs="Times New Roman"/>
                <w:color w:val="auto"/>
                <w:kern w:val="2"/>
                <w:sz w:val="24"/>
                <w:szCs w:val="20"/>
                <w:highlight w:val="none"/>
                <w:lang w:val="en-US" w:eastAsia="zh-CN" w:bidi="ar-SA"/>
              </w:rPr>
              <w:t>年</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2025年1-12月，全省主要流域总体水质为优，国控断面Ⅰ～Ⅲ类水质比例100％,Ⅰ～Ⅱ类水质比例84.8％；国控及省控断面Ⅰ～Ⅲ类水质比例100％，其中Ⅰ～Ⅱ类水质比例83.5％，各类水质比例如下：Ⅰ类占4.5％，Ⅱ类占78.9％，Ⅲ类占16.5％，无Ⅳ类、Ⅴ类和劣Ⅴ类水。</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详见图3.</w:t>
            </w:r>
            <w:r>
              <w:rPr>
                <w:rFonts w:hint="eastAsia" w:cs="Times New Roman"/>
                <w:color w:val="auto"/>
                <w:kern w:val="2"/>
                <w:sz w:val="24"/>
                <w:szCs w:val="20"/>
                <w:highlight w:val="none"/>
                <w:lang w:val="en-US" w:eastAsia="zh-CN" w:bidi="ar-SA"/>
              </w:rPr>
              <w:t>2-1</w:t>
            </w:r>
            <w:r>
              <w:rPr>
                <w:rFonts w:hint="eastAsia" w:ascii="Times New Roman" w:hAnsi="Times New Roman" w:eastAsia="宋体" w:cs="Times New Roman"/>
                <w:color w:val="auto"/>
                <w:kern w:val="2"/>
                <w:sz w:val="24"/>
                <w:szCs w:val="20"/>
                <w:highlight w:val="none"/>
                <w:lang w:val="en-US" w:eastAsia="zh-CN" w:bidi="ar-SA"/>
              </w:rPr>
              <w:t>）。</w:t>
            </w:r>
          </w:p>
          <w:p w14:paraId="64C30FCE">
            <w:pPr>
              <w:pStyle w:val="15"/>
              <w:keepNext w:val="0"/>
              <w:keepLines w:val="0"/>
              <w:suppressLineNumbers w:val="0"/>
              <w:bidi w:val="0"/>
              <w:spacing w:before="0" w:beforeAutospacing="0" w:after="0" w:afterAutospacing="0"/>
              <w:ind w:left="0" w:right="0"/>
              <w:jc w:val="center"/>
              <w:rPr>
                <w:rFonts w:hint="eastAsia"/>
                <w:lang w:val="en-US" w:eastAsia="zh-CN"/>
              </w:rPr>
            </w:pPr>
            <w:r>
              <w:drawing>
                <wp:inline distT="0" distB="0" distL="114300" distR="114300">
                  <wp:extent cx="4556125" cy="3500120"/>
                  <wp:effectExtent l="0" t="0" r="15875" b="508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19"/>
                          <a:stretch>
                            <a:fillRect/>
                          </a:stretch>
                        </pic:blipFill>
                        <pic:spPr>
                          <a:xfrm>
                            <a:off x="0" y="0"/>
                            <a:ext cx="4556125" cy="3500120"/>
                          </a:xfrm>
                          <a:prstGeom prst="rect">
                            <a:avLst/>
                          </a:prstGeom>
                          <a:noFill/>
                          <a:ln>
                            <a:noFill/>
                          </a:ln>
                        </pic:spPr>
                      </pic:pic>
                    </a:graphicData>
                  </a:graphic>
                </wp:inline>
              </w:drawing>
            </w:r>
          </w:p>
          <w:p w14:paraId="363F610B">
            <w:pPr>
              <w:pStyle w:val="39"/>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图3.2-1 福建省流域水环境质量状况（2025年1-12月）</w:t>
            </w:r>
          </w:p>
          <w:p w14:paraId="2B036793">
            <w:pPr>
              <w:keepNext w:val="0"/>
              <w:keepLines w:val="0"/>
              <w:suppressLineNumbers w:val="0"/>
              <w:bidi w:val="0"/>
              <w:spacing w:before="0" w:beforeAutospacing="0" w:after="0" w:afterAutospacing="0"/>
              <w:ind w:left="0" w:right="0"/>
              <w:rPr>
                <w:rFonts w:hint="eastAsia"/>
              </w:rPr>
            </w:pPr>
            <w:r>
              <w:rPr>
                <w:rFonts w:hint="eastAsia"/>
                <w:lang w:val="en-US" w:eastAsia="zh-CN"/>
              </w:rPr>
              <w:t>（2</w:t>
            </w:r>
            <w:r>
              <w:rPr>
                <w:rFonts w:hint="eastAsia"/>
                <w:lang w:eastAsia="zh-CN"/>
              </w:rPr>
              <w:t>）</w:t>
            </w:r>
            <w:r>
              <w:rPr>
                <w:rFonts w:hint="eastAsia"/>
              </w:rPr>
              <w:t>引用资料的有效性分析</w:t>
            </w:r>
          </w:p>
          <w:p w14:paraId="7BAC76A9">
            <w:pPr>
              <w:keepNext w:val="0"/>
              <w:keepLines w:val="0"/>
              <w:suppressLineNumbers w:val="0"/>
              <w:bidi w:val="0"/>
              <w:spacing w:before="0" w:beforeAutospacing="0" w:after="0" w:afterAutospacing="0"/>
              <w:ind w:left="0" w:right="0"/>
              <w:rPr>
                <w:rFonts w:hint="eastAsia"/>
              </w:rPr>
            </w:pPr>
            <w:r>
              <w:rPr>
                <w:rFonts w:hint="eastAsia"/>
              </w:rPr>
              <w:t>根据《建设项目环境影响报告表编制技术指南</w:t>
            </w:r>
            <w:r>
              <w:rPr>
                <w:rFonts w:hint="eastAsia"/>
                <w:lang w:eastAsia="zh-CN"/>
              </w:rPr>
              <w:t>（</w:t>
            </w:r>
            <w:r>
              <w:rPr>
                <w:rFonts w:hint="eastAsia"/>
              </w:rPr>
              <w:t>污染影响类</w:t>
            </w:r>
            <w:r>
              <w:rPr>
                <w:rFonts w:hint="eastAsia"/>
                <w:lang w:eastAsia="zh-CN"/>
              </w:rPr>
              <w:t>）（</w:t>
            </w:r>
            <w:r>
              <w:rPr>
                <w:rFonts w:hint="eastAsia"/>
              </w:rPr>
              <w:t>试行</w:t>
            </w:r>
            <w:r>
              <w:rPr>
                <w:rFonts w:hint="eastAsia"/>
                <w:lang w:eastAsia="zh-CN"/>
              </w:rPr>
              <w:t>）</w:t>
            </w:r>
            <w:r>
              <w:rPr>
                <w:rFonts w:hint="eastAsia"/>
              </w:rPr>
              <w:t>》</w:t>
            </w:r>
            <w:r>
              <w:rPr>
                <w:rFonts w:hint="eastAsia"/>
                <w:lang w:eastAsia="zh-CN"/>
              </w:rPr>
              <w:t>（</w:t>
            </w:r>
            <w:r>
              <w:rPr>
                <w:rFonts w:hint="eastAsia"/>
              </w:rPr>
              <w:t>环办环评〔2020〕33号</w:t>
            </w:r>
            <w:r>
              <w:rPr>
                <w:rFonts w:hint="eastAsia"/>
                <w:lang w:eastAsia="zh-CN"/>
              </w:rPr>
              <w:t>）</w:t>
            </w:r>
            <w:r>
              <w:rPr>
                <w:rFonts w:hint="eastAsia"/>
              </w:rPr>
              <w:t>的要求：</w:t>
            </w:r>
            <w:r>
              <w:rPr>
                <w:rFonts w:hint="eastAsia"/>
                <w:lang w:eastAsia="zh-CN"/>
              </w:rPr>
              <w:t>“</w:t>
            </w:r>
            <w:r>
              <w:rPr>
                <w:rFonts w:hint="eastAsia"/>
              </w:rPr>
              <w:t>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lang w:eastAsia="zh-CN"/>
              </w:rPr>
              <w:t>”，</w:t>
            </w:r>
            <w:r>
              <w:rPr>
                <w:rFonts w:hint="eastAsia"/>
              </w:rPr>
              <w:t>本</w:t>
            </w:r>
            <w:r>
              <w:rPr>
                <w:rFonts w:hint="eastAsia"/>
                <w:lang w:val="en-US" w:eastAsia="zh-CN"/>
              </w:rPr>
              <w:t>次</w:t>
            </w:r>
            <w:r>
              <w:rPr>
                <w:rFonts w:hint="eastAsia"/>
              </w:rPr>
              <w:t>评价选取福建省生态环境厅网站发布水环境状况信息，符合《建设项目环境影响报告表编制技术指南</w:t>
            </w:r>
            <w:r>
              <w:rPr>
                <w:rFonts w:hint="eastAsia"/>
                <w:lang w:eastAsia="zh-CN"/>
              </w:rPr>
              <w:t>（</w:t>
            </w:r>
            <w:r>
              <w:rPr>
                <w:rFonts w:hint="eastAsia"/>
              </w:rPr>
              <w:t>污染影响类</w:t>
            </w:r>
            <w:r>
              <w:rPr>
                <w:rFonts w:hint="eastAsia"/>
                <w:lang w:eastAsia="zh-CN"/>
              </w:rPr>
              <w:t>）（</w:t>
            </w:r>
            <w:r>
              <w:rPr>
                <w:rFonts w:hint="eastAsia"/>
              </w:rPr>
              <w:t>试行</w:t>
            </w:r>
            <w:r>
              <w:rPr>
                <w:rFonts w:hint="eastAsia"/>
                <w:lang w:eastAsia="zh-CN"/>
              </w:rPr>
              <w:t>）</w:t>
            </w:r>
            <w:r>
              <w:rPr>
                <w:rFonts w:hint="eastAsia"/>
              </w:rPr>
              <w:t>》</w:t>
            </w:r>
            <w:r>
              <w:rPr>
                <w:rFonts w:hint="eastAsia"/>
                <w:lang w:eastAsia="zh-CN"/>
              </w:rPr>
              <w:t>（</w:t>
            </w:r>
            <w:r>
              <w:rPr>
                <w:rFonts w:hint="eastAsia"/>
              </w:rPr>
              <w:t>环办环评〔2020〕33号</w:t>
            </w:r>
            <w:r>
              <w:rPr>
                <w:rFonts w:hint="eastAsia"/>
                <w:lang w:eastAsia="zh-CN"/>
              </w:rPr>
              <w:t>）</w:t>
            </w:r>
            <w:r>
              <w:rPr>
                <w:rFonts w:hint="eastAsia"/>
              </w:rPr>
              <w:t>的要求。</w:t>
            </w:r>
          </w:p>
          <w:p w14:paraId="7D0CD9E0">
            <w:pPr>
              <w:pStyle w:val="3"/>
              <w:keepNext w:val="0"/>
              <w:keepLines w:val="0"/>
              <w:suppressLineNumbers w:val="0"/>
              <w:bidi w:val="0"/>
              <w:spacing w:before="0" w:beforeAutospacing="0" w:after="0" w:afterAutospacing="0"/>
              <w:ind w:left="0" w:right="0"/>
              <w:rPr>
                <w:rFonts w:hint="default"/>
              </w:rPr>
            </w:pPr>
            <w:r>
              <w:rPr>
                <w:rFonts w:hint="default"/>
              </w:rPr>
              <w:t>声环境质量现状</w:t>
            </w:r>
          </w:p>
          <w:p w14:paraId="70BC2C05">
            <w:pPr>
              <w:pStyle w:val="4"/>
              <w:suppressLineNumbers w:val="0"/>
              <w:bidi w:val="0"/>
              <w:spacing w:before="0" w:beforeAutospacing="0" w:after="0" w:afterAutospacing="0"/>
              <w:ind w:left="0" w:right="0"/>
              <w:rPr>
                <w:rFonts w:hint="default"/>
              </w:rPr>
            </w:pPr>
            <w:r>
              <w:rPr>
                <w:rFonts w:hint="default"/>
              </w:rPr>
              <w:t>声环境功能区</w:t>
            </w:r>
          </w:p>
          <w:p w14:paraId="226FAA72">
            <w:pPr>
              <w:keepNext w:val="0"/>
              <w:keepLines w:val="0"/>
              <w:suppressLineNumbers w:val="0"/>
              <w:bidi w:val="0"/>
              <w:spacing w:before="0" w:beforeAutospacing="0" w:after="0" w:afterAutospacing="0"/>
              <w:ind w:left="0" w:right="0"/>
              <w:rPr>
                <w:rFonts w:hint="eastAsia"/>
              </w:rPr>
            </w:pPr>
            <w:r>
              <w:rPr>
                <w:rFonts w:hint="eastAsia"/>
              </w:rPr>
              <w:t>本项目位于福清融侨经济技术开发区（租赁福清洪添科技有限公司车间2第3层），项目周边以工业生产、仓储物流为主要功能的区域，</w:t>
            </w:r>
            <w:r>
              <w:rPr>
                <w:rFonts w:hint="eastAsia"/>
                <w:lang w:val="en-US" w:eastAsia="zh-CN"/>
              </w:rPr>
              <w:t>根据《</w:t>
            </w:r>
            <w:r>
              <w:rPr>
                <w:rFonts w:hint="eastAsia"/>
              </w:rPr>
              <w:t>福清市人民政府办公室关于印发福清市城市建成区声环境功能区划的通知</w:t>
            </w:r>
            <w:r>
              <w:rPr>
                <w:rFonts w:hint="eastAsia"/>
                <w:lang w:eastAsia="zh-CN"/>
              </w:rPr>
              <w:t>》（</w:t>
            </w:r>
            <w:r>
              <w:rPr>
                <w:rFonts w:hint="eastAsia"/>
              </w:rPr>
              <w:t>融政办〔2022〕48号</w:t>
            </w:r>
            <w:r>
              <w:rPr>
                <w:rFonts w:hint="eastAsia"/>
                <w:lang w:eastAsia="zh-CN"/>
              </w:rPr>
              <w:t>）</w:t>
            </w:r>
            <w:r>
              <w:rPr>
                <w:rFonts w:hint="eastAsia"/>
                <w:lang w:val="en-US" w:eastAsia="zh-CN"/>
              </w:rPr>
              <w:t>中的声环境功能区划（详见</w:t>
            </w:r>
            <w:r>
              <w:rPr>
                <w:rFonts w:hint="eastAsia"/>
                <w:lang w:val="en-US" w:eastAsia="zh-CN"/>
              </w:rPr>
              <w:fldChar w:fldCharType="begin"/>
            </w:r>
            <w:r>
              <w:rPr>
                <w:rFonts w:hint="eastAsia"/>
                <w:lang w:val="en-US" w:eastAsia="zh-CN"/>
              </w:rPr>
              <w:instrText xml:space="preserve"> REF _Ref22894 \h </w:instrText>
            </w:r>
            <w:r>
              <w:rPr>
                <w:rFonts w:hint="eastAsia"/>
                <w:lang w:val="en-US" w:eastAsia="zh-CN"/>
              </w:rPr>
              <w:fldChar w:fldCharType="separate"/>
            </w:r>
            <w:r>
              <w:rPr>
                <w:rStyle w:val="45"/>
                <w:rFonts w:hint="eastAsia"/>
                <w:b/>
              </w:rPr>
              <w:t>附图 7</w:t>
            </w:r>
            <w:r>
              <w:rPr>
                <w:rFonts w:hint="eastAsia"/>
                <w:lang w:val="en-US" w:eastAsia="zh-CN"/>
              </w:rPr>
              <w:fldChar w:fldCharType="end"/>
            </w:r>
            <w:r>
              <w:rPr>
                <w:rFonts w:hint="eastAsia"/>
                <w:lang w:val="en-US" w:eastAsia="zh-CN"/>
              </w:rPr>
              <w:t>），洪宽工业村片区属于</w:t>
            </w:r>
            <w:r>
              <w:rPr>
                <w:rFonts w:hint="eastAsia"/>
              </w:rPr>
              <w:t>3类功能区</w:t>
            </w:r>
            <w:r>
              <w:rPr>
                <w:rFonts w:hint="eastAsia"/>
                <w:lang w:eastAsia="zh-CN"/>
              </w:rPr>
              <w:t>，</w:t>
            </w:r>
            <w:r>
              <w:rPr>
                <w:rFonts w:hint="eastAsia"/>
                <w:lang w:val="en-US" w:eastAsia="zh-CN"/>
              </w:rPr>
              <w:t>本项目位于洪宽工业村片区内，故本项目</w:t>
            </w:r>
            <w:r>
              <w:rPr>
                <w:rFonts w:hint="eastAsia"/>
              </w:rPr>
              <w:t>声环境功能执行《声环境质量标准》</w:t>
            </w:r>
            <w:r>
              <w:rPr>
                <w:rFonts w:hint="eastAsia"/>
                <w:lang w:eastAsia="zh-CN"/>
              </w:rPr>
              <w:t>（</w:t>
            </w:r>
            <w:r>
              <w:rPr>
                <w:rFonts w:hint="eastAsia"/>
              </w:rPr>
              <w:t>GB3096-2008</w:t>
            </w:r>
            <w:r>
              <w:rPr>
                <w:rFonts w:hint="eastAsia"/>
                <w:lang w:eastAsia="zh-CN"/>
              </w:rPr>
              <w:t>）</w:t>
            </w:r>
            <w:r>
              <w:rPr>
                <w:rFonts w:hint="eastAsia"/>
              </w:rPr>
              <w:t>表1中3类标准。</w:t>
            </w:r>
          </w:p>
          <w:p w14:paraId="7CB1E6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imes New Roman" w:hAnsi="Times New Roman" w:eastAsia="宋体" w:cs="Times New Roman"/>
                <w:b/>
                <w:bCs/>
                <w:color w:val="auto"/>
                <w:sz w:val="24"/>
                <w:lang w:eastAsia="zh-CN"/>
              </w:rPr>
            </w:pPr>
            <w:r>
              <w:rPr>
                <w:rStyle w:val="43"/>
                <w:rFonts w:hint="default"/>
              </w:rPr>
              <w:t>表</w:t>
            </w:r>
            <w:r>
              <w:rPr>
                <w:rStyle w:val="43"/>
                <w:rFonts w:hint="eastAsia"/>
                <w:lang w:val="en-US" w:eastAsia="zh-CN"/>
              </w:rPr>
              <w:t>3.3-1</w:t>
            </w:r>
            <w:r>
              <w:rPr>
                <w:rStyle w:val="43"/>
                <w:rFonts w:hint="default"/>
              </w:rPr>
              <w:t xml:space="preserve">  《声环境质量标准》</w:t>
            </w:r>
            <w:r>
              <w:rPr>
                <w:rStyle w:val="43"/>
                <w:rFonts w:hint="eastAsia"/>
                <w:lang w:eastAsia="zh-CN"/>
              </w:rPr>
              <w:t>（</w:t>
            </w:r>
            <w:r>
              <w:rPr>
                <w:rStyle w:val="43"/>
                <w:rFonts w:hint="default"/>
              </w:rPr>
              <w:t>GB3096-2008</w:t>
            </w:r>
            <w:r>
              <w:rPr>
                <w:rStyle w:val="43"/>
                <w:rFonts w:hint="eastAsia"/>
                <w:lang w:eastAsia="zh-CN"/>
              </w:rPr>
              <w:t>）（</w:t>
            </w:r>
            <w:r>
              <w:rPr>
                <w:rStyle w:val="43"/>
                <w:rFonts w:hint="default"/>
              </w:rPr>
              <w:t>摘录</w:t>
            </w:r>
            <w:r>
              <w:rPr>
                <w:rFonts w:hint="eastAsia" w:cs="Times New Roman"/>
                <w:b/>
                <w:bCs/>
                <w:color w:val="auto"/>
                <w:sz w:val="24"/>
                <w:lang w:eastAsia="zh-CN"/>
              </w:rPr>
              <w:t>）</w:t>
            </w:r>
          </w:p>
          <w:tbl>
            <w:tblPr>
              <w:tblStyle w:val="29"/>
              <w:tblW w:w="5000" w:type="pct"/>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625"/>
              <w:gridCol w:w="3794"/>
              <w:gridCol w:w="1776"/>
              <w:gridCol w:w="1779"/>
            </w:tblGrid>
            <w:tr w14:paraId="369F2B25">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92" w:type="pct"/>
                  <w:vMerge w:val="restart"/>
                  <w:tcBorders>
                    <w:top w:val="single" w:color="000000" w:sz="12" w:space="0"/>
                    <w:left w:val="nil"/>
                    <w:bottom w:val="single" w:color="000000" w:sz="6" w:space="0"/>
                    <w:right w:val="single" w:color="000000" w:sz="4" w:space="0"/>
                  </w:tcBorders>
                  <w:noWrap w:val="0"/>
                  <w:vAlign w:val="center"/>
                </w:tcPr>
                <w:p w14:paraId="4A48CB18">
                  <w:pPr>
                    <w:pStyle w:val="38"/>
                    <w:keepNext w:val="0"/>
                    <w:keepLines w:val="0"/>
                    <w:widowControl/>
                    <w:suppressLineNumbers w:val="0"/>
                    <w:bidi w:val="0"/>
                    <w:spacing w:before="0" w:beforeAutospacing="0" w:after="0" w:afterAutospacing="0"/>
                    <w:ind w:left="0" w:right="0"/>
                    <w:rPr>
                      <w:rFonts w:hint="eastAsia"/>
                      <w:snapToGrid w:val="0"/>
                      <w:color w:val="auto"/>
                      <w:kern w:val="18"/>
                      <w:szCs w:val="22"/>
                    </w:rPr>
                  </w:pPr>
                  <w:r>
                    <w:rPr>
                      <w:rFonts w:hint="eastAsia"/>
                      <w:szCs w:val="22"/>
                    </w:rPr>
                    <w:t>标准类别</w:t>
                  </w:r>
                </w:p>
              </w:tc>
              <w:tc>
                <w:tcPr>
                  <w:tcW w:w="2378" w:type="pct"/>
                  <w:vMerge w:val="restart"/>
                  <w:tcBorders>
                    <w:top w:val="single" w:color="000000" w:sz="12" w:space="0"/>
                    <w:left w:val="single" w:color="000000" w:sz="4" w:space="0"/>
                    <w:bottom w:val="single" w:color="000000" w:sz="6" w:space="0"/>
                    <w:right w:val="single" w:color="000000" w:sz="4" w:space="0"/>
                  </w:tcBorders>
                  <w:noWrap w:val="0"/>
                  <w:vAlign w:val="center"/>
                </w:tcPr>
                <w:p w14:paraId="7764FB0C">
                  <w:pPr>
                    <w:pStyle w:val="38"/>
                    <w:keepNext w:val="0"/>
                    <w:keepLines w:val="0"/>
                    <w:widowControl/>
                    <w:suppressLineNumbers w:val="0"/>
                    <w:bidi w:val="0"/>
                    <w:spacing w:before="0" w:beforeAutospacing="0" w:after="0" w:afterAutospacing="0"/>
                    <w:ind w:left="0" w:right="0"/>
                    <w:rPr>
                      <w:rFonts w:hint="eastAsia"/>
                      <w:snapToGrid w:val="0"/>
                      <w:color w:val="auto"/>
                      <w:kern w:val="18"/>
                      <w:szCs w:val="22"/>
                    </w:rPr>
                  </w:pPr>
                  <w:r>
                    <w:rPr>
                      <w:rFonts w:hint="eastAsia"/>
                      <w:szCs w:val="22"/>
                    </w:rPr>
                    <w:t>适用区域</w:t>
                  </w:r>
                </w:p>
              </w:tc>
              <w:tc>
                <w:tcPr>
                  <w:tcW w:w="2228" w:type="pct"/>
                  <w:gridSpan w:val="2"/>
                  <w:tcBorders>
                    <w:top w:val="single" w:color="000000" w:sz="12" w:space="0"/>
                    <w:left w:val="single" w:color="000000" w:sz="4" w:space="0"/>
                    <w:bottom w:val="single" w:color="000000" w:sz="6" w:space="0"/>
                    <w:right w:val="nil"/>
                  </w:tcBorders>
                  <w:noWrap w:val="0"/>
                  <w:vAlign w:val="center"/>
                </w:tcPr>
                <w:p w14:paraId="6758818D">
                  <w:pPr>
                    <w:pStyle w:val="38"/>
                    <w:keepNext w:val="0"/>
                    <w:keepLines w:val="0"/>
                    <w:widowControl/>
                    <w:suppressLineNumbers w:val="0"/>
                    <w:bidi w:val="0"/>
                    <w:spacing w:before="0" w:beforeAutospacing="0" w:after="0" w:afterAutospacing="0"/>
                    <w:ind w:left="0" w:right="0"/>
                    <w:rPr>
                      <w:rFonts w:hint="eastAsia" w:eastAsia="宋体"/>
                      <w:snapToGrid w:val="0"/>
                      <w:color w:val="auto"/>
                      <w:kern w:val="18"/>
                      <w:szCs w:val="22"/>
                      <w:lang w:eastAsia="zh-CN"/>
                    </w:rPr>
                  </w:pPr>
                  <w:r>
                    <w:rPr>
                      <w:rFonts w:hint="eastAsia"/>
                      <w:szCs w:val="22"/>
                    </w:rPr>
                    <w:t>等效声级Leq</w:t>
                  </w:r>
                  <w:r>
                    <w:rPr>
                      <w:rFonts w:hint="eastAsia"/>
                      <w:szCs w:val="22"/>
                      <w:lang w:eastAsia="zh-CN"/>
                    </w:rPr>
                    <w:t>（</w:t>
                  </w:r>
                  <w:r>
                    <w:rPr>
                      <w:rFonts w:hint="eastAsia"/>
                      <w:szCs w:val="22"/>
                    </w:rPr>
                    <w:t>dB</w:t>
                  </w:r>
                  <w:r>
                    <w:rPr>
                      <w:rFonts w:hint="eastAsia"/>
                      <w:szCs w:val="22"/>
                      <w:lang w:eastAsia="zh-CN"/>
                    </w:rPr>
                    <w:t>（</w:t>
                  </w:r>
                  <w:r>
                    <w:rPr>
                      <w:rFonts w:hint="eastAsia"/>
                      <w:szCs w:val="22"/>
                    </w:rPr>
                    <w:t>A</w:t>
                  </w:r>
                  <w:r>
                    <w:rPr>
                      <w:rFonts w:hint="eastAsia"/>
                      <w:szCs w:val="22"/>
                      <w:lang w:eastAsia="zh-CN"/>
                    </w:rPr>
                    <w:t>））</w:t>
                  </w:r>
                </w:p>
              </w:tc>
            </w:tr>
            <w:tr w14:paraId="6CE04AE7">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92" w:type="pct"/>
                  <w:vMerge w:val="continue"/>
                  <w:tcBorders>
                    <w:top w:val="single" w:color="000000" w:sz="6" w:space="0"/>
                    <w:left w:val="nil"/>
                    <w:bottom w:val="single" w:color="000000" w:sz="6" w:space="0"/>
                    <w:right w:val="single" w:color="000000" w:sz="4" w:space="0"/>
                  </w:tcBorders>
                  <w:noWrap w:val="0"/>
                  <w:vAlign w:val="center"/>
                </w:tcPr>
                <w:p w14:paraId="27B1A80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snapToGrid w:val="0"/>
                      <w:color w:val="auto"/>
                      <w:kern w:val="18"/>
                    </w:rPr>
                  </w:pPr>
                </w:p>
              </w:tc>
              <w:tc>
                <w:tcPr>
                  <w:tcW w:w="2378" w:type="pct"/>
                  <w:vMerge w:val="continue"/>
                  <w:tcBorders>
                    <w:top w:val="single" w:color="000000" w:sz="6" w:space="0"/>
                    <w:left w:val="single" w:color="000000" w:sz="4" w:space="0"/>
                    <w:bottom w:val="single" w:color="000000" w:sz="6" w:space="0"/>
                    <w:right w:val="single" w:color="000000" w:sz="4" w:space="0"/>
                  </w:tcBorders>
                  <w:noWrap w:val="0"/>
                  <w:vAlign w:val="center"/>
                </w:tcPr>
                <w:p w14:paraId="0E23429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snapToGrid w:val="0"/>
                      <w:color w:val="auto"/>
                      <w:kern w:val="18"/>
                    </w:rPr>
                  </w:pPr>
                </w:p>
              </w:tc>
              <w:tc>
                <w:tcPr>
                  <w:tcW w:w="1113" w:type="pct"/>
                  <w:tcBorders>
                    <w:top w:val="single" w:color="000000" w:sz="6" w:space="0"/>
                    <w:left w:val="single" w:color="000000" w:sz="4" w:space="0"/>
                    <w:bottom w:val="single" w:color="000000" w:sz="6" w:space="0"/>
                    <w:right w:val="nil"/>
                  </w:tcBorders>
                  <w:noWrap w:val="0"/>
                  <w:vAlign w:val="center"/>
                </w:tcPr>
                <w:p w14:paraId="6DBD83B2">
                  <w:pPr>
                    <w:pStyle w:val="38"/>
                    <w:keepNext w:val="0"/>
                    <w:keepLines w:val="0"/>
                    <w:widowControl/>
                    <w:suppressLineNumbers w:val="0"/>
                    <w:bidi w:val="0"/>
                    <w:spacing w:before="0" w:beforeAutospacing="0" w:after="0" w:afterAutospacing="0"/>
                    <w:ind w:left="0" w:right="0"/>
                    <w:rPr>
                      <w:rFonts w:hint="eastAsia"/>
                      <w:snapToGrid w:val="0"/>
                      <w:color w:val="auto"/>
                      <w:kern w:val="18"/>
                      <w:szCs w:val="22"/>
                    </w:rPr>
                  </w:pPr>
                  <w:r>
                    <w:rPr>
                      <w:rFonts w:hint="eastAsia"/>
                      <w:szCs w:val="22"/>
                    </w:rPr>
                    <w:t>昼间</w:t>
                  </w:r>
                </w:p>
              </w:tc>
              <w:tc>
                <w:tcPr>
                  <w:tcW w:w="1115" w:type="pct"/>
                  <w:tcBorders>
                    <w:top w:val="single" w:color="000000" w:sz="6" w:space="0"/>
                    <w:left w:val="single" w:color="000000" w:sz="4" w:space="0"/>
                    <w:bottom w:val="single" w:color="000000" w:sz="6" w:space="0"/>
                    <w:right w:val="nil"/>
                  </w:tcBorders>
                  <w:noWrap w:val="0"/>
                  <w:vAlign w:val="center"/>
                </w:tcPr>
                <w:p w14:paraId="2F3CF5B4">
                  <w:pPr>
                    <w:pStyle w:val="38"/>
                    <w:keepNext w:val="0"/>
                    <w:keepLines w:val="0"/>
                    <w:widowControl/>
                    <w:suppressLineNumbers w:val="0"/>
                    <w:bidi w:val="0"/>
                    <w:spacing w:before="0" w:beforeAutospacing="0" w:after="0" w:afterAutospacing="0"/>
                    <w:ind w:left="0" w:right="0"/>
                    <w:rPr>
                      <w:rFonts w:hint="eastAsia" w:eastAsia="宋体"/>
                      <w:snapToGrid w:val="0"/>
                      <w:color w:val="auto"/>
                      <w:kern w:val="18"/>
                      <w:szCs w:val="22"/>
                      <w:lang w:eastAsia="zh-CN"/>
                    </w:rPr>
                  </w:pPr>
                  <w:r>
                    <w:rPr>
                      <w:rFonts w:hint="eastAsia"/>
                      <w:szCs w:val="22"/>
                      <w:lang w:eastAsia="zh-CN"/>
                    </w:rPr>
                    <w:t>夜间</w:t>
                  </w:r>
                </w:p>
              </w:tc>
            </w:tr>
            <w:tr w14:paraId="0D4BF052">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92" w:type="pct"/>
                  <w:tcBorders>
                    <w:top w:val="single" w:color="000000" w:sz="6" w:space="0"/>
                    <w:left w:val="nil"/>
                    <w:bottom w:val="single" w:color="000000" w:sz="12" w:space="0"/>
                    <w:right w:val="single" w:color="000000" w:sz="4" w:space="0"/>
                  </w:tcBorders>
                  <w:noWrap w:val="0"/>
                  <w:vAlign w:val="center"/>
                </w:tcPr>
                <w:p w14:paraId="1CBB002A">
                  <w:pPr>
                    <w:pStyle w:val="38"/>
                    <w:keepNext w:val="0"/>
                    <w:keepLines w:val="0"/>
                    <w:widowControl/>
                    <w:suppressLineNumbers w:val="0"/>
                    <w:bidi w:val="0"/>
                    <w:spacing w:before="0" w:beforeAutospacing="0" w:after="0" w:afterAutospacing="0"/>
                    <w:ind w:left="0" w:right="0"/>
                    <w:rPr>
                      <w:rFonts w:hint="eastAsia"/>
                      <w:snapToGrid w:val="0"/>
                      <w:color w:val="auto"/>
                      <w:kern w:val="18"/>
                      <w:szCs w:val="22"/>
                    </w:rPr>
                  </w:pPr>
                  <w:r>
                    <w:rPr>
                      <w:rFonts w:hint="eastAsia"/>
                      <w:szCs w:val="22"/>
                    </w:rPr>
                    <w:t>3</w:t>
                  </w:r>
                </w:p>
              </w:tc>
              <w:tc>
                <w:tcPr>
                  <w:tcW w:w="2378" w:type="pct"/>
                  <w:tcBorders>
                    <w:top w:val="single" w:color="000000" w:sz="6" w:space="0"/>
                    <w:left w:val="single" w:color="000000" w:sz="4" w:space="0"/>
                    <w:bottom w:val="single" w:color="000000" w:sz="12" w:space="0"/>
                    <w:right w:val="single" w:color="000000" w:sz="4" w:space="0"/>
                  </w:tcBorders>
                  <w:noWrap w:val="0"/>
                  <w:vAlign w:val="center"/>
                </w:tcPr>
                <w:p w14:paraId="63952821">
                  <w:pPr>
                    <w:pStyle w:val="38"/>
                    <w:keepNext w:val="0"/>
                    <w:keepLines w:val="0"/>
                    <w:widowControl/>
                    <w:suppressLineNumbers w:val="0"/>
                    <w:bidi w:val="0"/>
                    <w:spacing w:before="0" w:beforeAutospacing="0" w:after="0" w:afterAutospacing="0"/>
                    <w:ind w:left="0" w:right="0"/>
                    <w:rPr>
                      <w:rFonts w:hint="eastAsia"/>
                      <w:snapToGrid w:val="0"/>
                      <w:color w:val="auto"/>
                      <w:kern w:val="18"/>
                      <w:szCs w:val="21"/>
                    </w:rPr>
                  </w:pPr>
                  <w:r>
                    <w:rPr>
                      <w:rFonts w:hint="eastAsia"/>
                      <w:szCs w:val="22"/>
                    </w:rPr>
                    <w:t>指以工业生产、仓储物流为主要功能，需要防止工业噪声对周围环境产生严重影响的区域。</w:t>
                  </w:r>
                </w:p>
              </w:tc>
              <w:tc>
                <w:tcPr>
                  <w:tcW w:w="1113" w:type="pct"/>
                  <w:tcBorders>
                    <w:top w:val="single" w:color="000000" w:sz="6" w:space="0"/>
                    <w:left w:val="single" w:color="000000" w:sz="4" w:space="0"/>
                    <w:bottom w:val="single" w:color="000000" w:sz="12" w:space="0"/>
                    <w:right w:val="nil"/>
                  </w:tcBorders>
                  <w:noWrap w:val="0"/>
                  <w:vAlign w:val="center"/>
                </w:tcPr>
                <w:p w14:paraId="409C57DF">
                  <w:pPr>
                    <w:pStyle w:val="38"/>
                    <w:keepNext w:val="0"/>
                    <w:keepLines w:val="0"/>
                    <w:widowControl/>
                    <w:suppressLineNumbers w:val="0"/>
                    <w:bidi w:val="0"/>
                    <w:spacing w:before="0" w:beforeAutospacing="0" w:after="0" w:afterAutospacing="0"/>
                    <w:ind w:left="0" w:right="0"/>
                    <w:rPr>
                      <w:rFonts w:hint="eastAsia"/>
                      <w:snapToGrid w:val="0"/>
                      <w:color w:val="auto"/>
                      <w:kern w:val="18"/>
                      <w:szCs w:val="21"/>
                    </w:rPr>
                  </w:pPr>
                  <w:r>
                    <w:rPr>
                      <w:rFonts w:hint="eastAsia"/>
                      <w:szCs w:val="22"/>
                    </w:rPr>
                    <w:t>≤65</w:t>
                  </w:r>
                </w:p>
              </w:tc>
              <w:tc>
                <w:tcPr>
                  <w:tcW w:w="1115" w:type="pct"/>
                  <w:tcBorders>
                    <w:top w:val="single" w:color="000000" w:sz="6" w:space="0"/>
                    <w:left w:val="single" w:color="000000" w:sz="4" w:space="0"/>
                    <w:bottom w:val="single" w:color="000000" w:sz="12" w:space="0"/>
                    <w:right w:val="nil"/>
                  </w:tcBorders>
                  <w:noWrap w:val="0"/>
                  <w:vAlign w:val="center"/>
                </w:tcPr>
                <w:p w14:paraId="7ED538A0">
                  <w:pPr>
                    <w:pStyle w:val="38"/>
                    <w:keepNext w:val="0"/>
                    <w:keepLines w:val="0"/>
                    <w:widowControl/>
                    <w:suppressLineNumbers w:val="0"/>
                    <w:bidi w:val="0"/>
                    <w:spacing w:before="0" w:beforeAutospacing="0" w:after="0" w:afterAutospacing="0"/>
                    <w:ind w:left="0" w:right="0"/>
                    <w:rPr>
                      <w:rFonts w:hint="default" w:eastAsia="宋体"/>
                      <w:snapToGrid w:val="0"/>
                      <w:color w:val="auto"/>
                      <w:kern w:val="18"/>
                      <w:szCs w:val="21"/>
                      <w:lang w:val="en-US" w:eastAsia="zh-CN"/>
                    </w:rPr>
                  </w:pPr>
                  <w:r>
                    <w:rPr>
                      <w:rFonts w:hint="eastAsia"/>
                      <w:szCs w:val="22"/>
                    </w:rPr>
                    <w:t>≤</w:t>
                  </w:r>
                  <w:r>
                    <w:rPr>
                      <w:rFonts w:hint="eastAsia"/>
                      <w:szCs w:val="22"/>
                      <w:lang w:val="en-US" w:eastAsia="zh-CN"/>
                    </w:rPr>
                    <w:t>55</w:t>
                  </w:r>
                </w:p>
              </w:tc>
            </w:tr>
          </w:tbl>
          <w:p w14:paraId="459F90E8">
            <w:pPr>
              <w:pStyle w:val="4"/>
              <w:suppressLineNumbers w:val="0"/>
              <w:bidi w:val="0"/>
              <w:spacing w:before="0" w:beforeAutospacing="0" w:after="0" w:afterAutospacing="0"/>
              <w:ind w:left="0" w:right="0"/>
              <w:rPr>
                <w:rFonts w:hint="eastAsia"/>
              </w:rPr>
            </w:pPr>
            <w:r>
              <w:rPr>
                <w:rFonts w:hint="eastAsia"/>
              </w:rPr>
              <w:t>声环境质量现状</w:t>
            </w:r>
          </w:p>
          <w:p w14:paraId="5605E5E7">
            <w:pPr>
              <w:keepNext w:val="0"/>
              <w:keepLines w:val="0"/>
              <w:suppressLineNumbers w:val="0"/>
              <w:bidi w:val="0"/>
              <w:spacing w:before="0" w:beforeAutospacing="0" w:after="0" w:afterAutospacing="0"/>
              <w:ind w:left="0" w:right="0"/>
              <w:rPr>
                <w:rFonts w:hint="eastAsia"/>
              </w:rPr>
            </w:pPr>
            <w:r>
              <w:rPr>
                <w:rFonts w:hint="default"/>
                <w:lang w:val="en-US" w:eastAsia="zh-CN"/>
              </w:rPr>
              <w:t>根据生态环境部办公</w:t>
            </w:r>
            <w:r>
              <w:rPr>
                <w:rFonts w:hint="eastAsia"/>
                <w:lang w:val="en-US" w:eastAsia="zh-CN"/>
              </w:rPr>
              <w:t>厅</w:t>
            </w:r>
            <w:r>
              <w:rPr>
                <w:rFonts w:hint="default"/>
                <w:lang w:val="en-US" w:eastAsia="zh-CN"/>
              </w:rPr>
              <w:t>2020年12月24日印发</w:t>
            </w:r>
            <w:r>
              <w:rPr>
                <w:rFonts w:hint="eastAsia"/>
                <w:lang w:val="en-US" w:eastAsia="zh-CN"/>
              </w:rPr>
              <w:t>《</w:t>
            </w:r>
            <w:r>
              <w:rPr>
                <w:rFonts w:hint="default"/>
                <w:lang w:val="en-US" w:eastAsia="zh-CN"/>
              </w:rPr>
              <w:t>建设项目环境影响报告表编制技术指南</w:t>
            </w:r>
            <w:r>
              <w:rPr>
                <w:rFonts w:hint="eastAsia"/>
                <w:lang w:val="en-US" w:eastAsia="zh-CN"/>
              </w:rPr>
              <w:t>（</w:t>
            </w:r>
            <w:r>
              <w:rPr>
                <w:rFonts w:hint="default"/>
                <w:lang w:val="en-US" w:eastAsia="zh-CN"/>
              </w:rPr>
              <w:t>污染影响类</w:t>
            </w:r>
            <w:r>
              <w:rPr>
                <w:rFonts w:hint="eastAsia"/>
                <w:lang w:val="en-US" w:eastAsia="zh-CN"/>
              </w:rPr>
              <w:t>）（</w:t>
            </w:r>
            <w:r>
              <w:rPr>
                <w:rFonts w:hint="default"/>
                <w:lang w:val="en-US" w:eastAsia="zh-CN"/>
              </w:rPr>
              <w:t>试行</w:t>
            </w:r>
            <w:r>
              <w:rPr>
                <w:rFonts w:hint="eastAsia"/>
                <w:lang w:val="en-US" w:eastAsia="zh-CN"/>
              </w:rPr>
              <w:t>）</w:t>
            </w:r>
            <w:r>
              <w:rPr>
                <w:rFonts w:hint="default"/>
                <w:lang w:val="en-US" w:eastAsia="zh-CN"/>
              </w:rPr>
              <w:t>》，当厂界外周边50米范围内存在声环境保护目标的建设项目，应监测保护目标声环境质量现状并评价达标情况。</w:t>
            </w:r>
          </w:p>
          <w:p w14:paraId="3067C60C">
            <w:pPr>
              <w:keepNext w:val="0"/>
              <w:keepLines w:val="0"/>
              <w:suppressLineNumbers w:val="0"/>
              <w:bidi w:val="0"/>
              <w:spacing w:before="0" w:beforeAutospacing="0" w:after="0" w:afterAutospacing="0"/>
              <w:ind w:left="0" w:right="0"/>
              <w:rPr>
                <w:rFonts w:hint="eastAsia"/>
              </w:rPr>
            </w:pPr>
            <w:r>
              <w:rPr>
                <w:rFonts w:hint="eastAsia"/>
              </w:rPr>
              <w:t>根据现场踏勘可知，项目周边50米范围内无声环境保护目标，可不进行声环境质量现状的监测。</w:t>
            </w:r>
          </w:p>
          <w:p w14:paraId="3523C168">
            <w:pPr>
              <w:pStyle w:val="3"/>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生态环境现状调查</w:t>
            </w:r>
          </w:p>
          <w:p w14:paraId="1C4C3C6F">
            <w:pPr>
              <w:keepNext w:val="0"/>
              <w:keepLines w:val="0"/>
              <w:suppressLineNumbers w:val="0"/>
              <w:spacing w:before="0" w:beforeAutospacing="0" w:after="0" w:afterAutospacing="0"/>
              <w:ind w:left="0" w:leftChars="0" w:right="0" w:firstLine="480" w:firstLineChars="200"/>
              <w:rPr>
                <w:rFonts w:hint="eastAsia"/>
                <w:color w:val="auto"/>
                <w:lang w:val="zh-CN"/>
              </w:rPr>
            </w:pPr>
            <w:r>
              <w:rPr>
                <w:rFonts w:hint="eastAsia"/>
                <w:color w:val="auto"/>
                <w:sz w:val="24"/>
              </w:rPr>
              <w:t>根据现场勘查，</w:t>
            </w:r>
            <w:r>
              <w:rPr>
                <w:rFonts w:hint="eastAsia"/>
                <w:color w:val="auto"/>
                <w:kern w:val="0"/>
                <w:sz w:val="24"/>
              </w:rPr>
              <w:t>目前厂房已经建设完成，</w:t>
            </w:r>
            <w:r>
              <w:rPr>
                <w:rFonts w:hint="eastAsia"/>
                <w:color w:val="auto"/>
                <w:sz w:val="24"/>
                <w:lang w:val="zh-CN"/>
              </w:rPr>
              <w:t>项目用地</w:t>
            </w:r>
            <w:r>
              <w:rPr>
                <w:rFonts w:hint="eastAsia"/>
                <w:color w:val="auto"/>
                <w:sz w:val="24"/>
                <w:szCs w:val="22"/>
                <w:lang w:val="zh-CN"/>
              </w:rPr>
              <w:t>周边为城市道路、其他企业及居住用地等，项目评价区域主要植被为草坪、行道树等景观树种，主要动物为常见的蛙类、鸟类和昆虫类等，评价区域内无珍稀濒危物种、自然保护区、风景名胜区等生态敏感目标。调查区域也未发现国家重点保护的野生动植物等，因此，本环评不对生态环境现状进行评价</w:t>
            </w:r>
            <w:r>
              <w:rPr>
                <w:rFonts w:hint="eastAsia"/>
                <w:color w:val="auto"/>
                <w:lang w:val="zh-CN"/>
              </w:rPr>
              <w:t>。</w:t>
            </w:r>
          </w:p>
          <w:p w14:paraId="1125A60D">
            <w:pPr>
              <w:pStyle w:val="3"/>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地下水、土壤环境质量现状</w:t>
            </w:r>
          </w:p>
          <w:p w14:paraId="03312CAC">
            <w:pPr>
              <w:keepNext w:val="0"/>
              <w:keepLines w:val="0"/>
              <w:suppressLineNumbers w:val="0"/>
              <w:spacing w:before="0" w:beforeAutospacing="0" w:after="0" w:afterAutospacing="0"/>
              <w:ind w:left="0" w:leftChars="0" w:right="0" w:firstLine="480" w:firstLineChars="200"/>
              <w:rPr>
                <w:rFonts w:hint="eastAsia" w:eastAsia="宋体"/>
                <w:color w:val="auto"/>
                <w:lang w:eastAsia="zh-CN"/>
              </w:rPr>
            </w:pPr>
            <w:r>
              <w:rPr>
                <w:rFonts w:hint="eastAsia"/>
                <w:color w:val="auto"/>
              </w:rPr>
              <w:t>根据《建设项目环境影响报告表编制技术指南</w:t>
            </w:r>
            <w:r>
              <w:rPr>
                <w:rFonts w:hint="eastAsia"/>
                <w:color w:val="auto"/>
                <w:lang w:eastAsia="zh-CN"/>
              </w:rPr>
              <w:t>（</w:t>
            </w:r>
            <w:r>
              <w:rPr>
                <w:rFonts w:hint="eastAsia"/>
                <w:color w:val="auto"/>
              </w:rPr>
              <w:t>污染影响类</w:t>
            </w:r>
            <w:r>
              <w:rPr>
                <w:rFonts w:hint="eastAsia"/>
                <w:color w:val="auto"/>
                <w:lang w:eastAsia="zh-CN"/>
              </w:rPr>
              <w:t>）</w:t>
            </w:r>
            <w:r>
              <w:rPr>
                <w:rFonts w:hint="eastAsia"/>
                <w:color w:val="auto"/>
              </w:rPr>
              <w:t>（试行</w:t>
            </w:r>
            <w:r>
              <w:rPr>
                <w:rFonts w:hint="eastAsia"/>
                <w:color w:val="auto"/>
                <w:lang w:eastAsia="zh-CN"/>
              </w:rPr>
              <w:t>）</w:t>
            </w:r>
            <w:r>
              <w:rPr>
                <w:rFonts w:hint="eastAsia"/>
                <w:color w:val="auto"/>
              </w:rPr>
              <w:t>》</w:t>
            </w:r>
            <w:r>
              <w:rPr>
                <w:rFonts w:hint="eastAsia"/>
                <w:color w:val="auto"/>
                <w:lang w:eastAsia="zh-CN"/>
              </w:rPr>
              <w:t>（</w:t>
            </w:r>
            <w:r>
              <w:rPr>
                <w:rFonts w:hint="eastAsia"/>
                <w:color w:val="auto"/>
              </w:rPr>
              <w:t>环办环评〔2020〕33号</w:t>
            </w:r>
            <w:r>
              <w:rPr>
                <w:rFonts w:hint="eastAsia"/>
                <w:color w:val="auto"/>
                <w:lang w:eastAsia="zh-CN"/>
              </w:rPr>
              <w:t>）</w:t>
            </w:r>
            <w:r>
              <w:rPr>
                <w:rFonts w:hint="eastAsia"/>
                <w:color w:val="auto"/>
              </w:rPr>
              <w:t>规定，</w:t>
            </w:r>
            <w:r>
              <w:rPr>
                <w:rFonts w:hint="eastAsia"/>
                <w:color w:val="auto"/>
                <w:lang w:eastAsia="zh-CN"/>
              </w:rPr>
              <w:t>“</w:t>
            </w:r>
            <w:r>
              <w:rPr>
                <w:rFonts w:hint="eastAsia"/>
                <w:color w:val="auto"/>
              </w:rPr>
              <w:t>原则上不开展环境质量现状调查。建设项目存在土壤、地下水环境污染途径的，应结合污染源、保护目标分布情况开展现状调查以留作背景值</w:t>
            </w:r>
            <w:r>
              <w:rPr>
                <w:rFonts w:hint="eastAsia"/>
                <w:color w:val="auto"/>
                <w:lang w:eastAsia="zh-CN"/>
              </w:rPr>
              <w:t>”</w:t>
            </w:r>
            <w:r>
              <w:rPr>
                <w:rFonts w:hint="eastAsia"/>
                <w:color w:val="auto"/>
              </w:rPr>
              <w:t>。</w:t>
            </w:r>
          </w:p>
          <w:p w14:paraId="41A8D559">
            <w:pPr>
              <w:keepNext w:val="0"/>
              <w:keepLines w:val="0"/>
              <w:suppressLineNumbers w:val="0"/>
              <w:spacing w:before="0" w:beforeAutospacing="0" w:after="0" w:afterAutospacing="0"/>
              <w:ind w:left="0" w:leftChars="0" w:right="0" w:firstLine="480" w:firstLineChars="200"/>
              <w:rPr>
                <w:rFonts w:hint="eastAsia"/>
                <w:color w:val="auto"/>
              </w:rPr>
            </w:pPr>
            <w:r>
              <w:rPr>
                <w:rFonts w:hint="eastAsia"/>
                <w:color w:val="auto"/>
              </w:rPr>
              <w:t>项目位于</w:t>
            </w:r>
            <w:r>
              <w:rPr>
                <w:rFonts w:hint="eastAsia"/>
                <w:lang w:val="en-US" w:eastAsia="zh-CN"/>
              </w:rPr>
              <w:t>福清融侨经济技术开发区（租赁福清洪添科技有限公司车间2第3层）</w:t>
            </w:r>
            <w:r>
              <w:rPr>
                <w:rFonts w:hint="eastAsia"/>
                <w:color w:val="auto"/>
              </w:rPr>
              <w:t>，根据现场勘查，周边以工业企业为主；项目周边地下水、土壤环境相对不敏感，采取有效的防渗措施后，项目对地下水、土壤环境影响很小，基本不存在土壤、地下水环境污染途径，因此，本评价不对项目地下水、土壤环境质量进行补充监测。</w:t>
            </w:r>
          </w:p>
        </w:tc>
      </w:tr>
      <w:tr w14:paraId="58C680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800" w:type="dxa"/>
            <w:noWrap w:val="0"/>
            <w:vAlign w:val="center"/>
          </w:tcPr>
          <w:p w14:paraId="6C6CFB26">
            <w:pPr>
              <w:pStyle w:val="40"/>
              <w:keepNext w:val="0"/>
              <w:keepLines w:val="0"/>
              <w:suppressLineNumbers w:val="0"/>
              <w:bidi w:val="0"/>
              <w:spacing w:before="0" w:beforeAutospacing="0" w:after="0" w:afterAutospacing="0"/>
              <w:ind w:left="0" w:right="0"/>
              <w:rPr>
                <w:rFonts w:hint="eastAsia"/>
              </w:rPr>
            </w:pPr>
            <w:r>
              <w:rPr>
                <w:rFonts w:hint="eastAsia"/>
              </w:rPr>
              <w:t>环境</w:t>
            </w:r>
          </w:p>
          <w:p w14:paraId="3878E3E2">
            <w:pPr>
              <w:pStyle w:val="40"/>
              <w:keepNext w:val="0"/>
              <w:keepLines w:val="0"/>
              <w:suppressLineNumbers w:val="0"/>
              <w:bidi w:val="0"/>
              <w:spacing w:before="0" w:beforeAutospacing="0" w:after="0" w:afterAutospacing="0"/>
              <w:ind w:left="0" w:right="0"/>
              <w:rPr>
                <w:rFonts w:hint="eastAsia"/>
              </w:rPr>
            </w:pPr>
            <w:r>
              <w:rPr>
                <w:rFonts w:hint="eastAsia"/>
              </w:rPr>
              <w:t>保护</w:t>
            </w:r>
          </w:p>
          <w:p w14:paraId="3D90871D">
            <w:pPr>
              <w:pStyle w:val="40"/>
              <w:keepNext w:val="0"/>
              <w:keepLines w:val="0"/>
              <w:suppressLineNumbers w:val="0"/>
              <w:bidi w:val="0"/>
              <w:spacing w:before="0" w:beforeAutospacing="0" w:after="0" w:afterAutospacing="0"/>
              <w:ind w:left="0" w:right="0"/>
              <w:rPr>
                <w:rFonts w:hint="eastAsia"/>
              </w:rPr>
            </w:pPr>
            <w:r>
              <w:rPr>
                <w:rFonts w:hint="eastAsia"/>
              </w:rPr>
              <w:t>目标</w:t>
            </w:r>
          </w:p>
        </w:tc>
        <w:tc>
          <w:tcPr>
            <w:tcW w:w="8190" w:type="dxa"/>
            <w:noWrap w:val="0"/>
            <w:vAlign w:val="center"/>
          </w:tcPr>
          <w:p w14:paraId="454A2F72">
            <w:pPr>
              <w:pStyle w:val="3"/>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环境保护目标</w:t>
            </w:r>
          </w:p>
          <w:p w14:paraId="63F47C2A">
            <w:pPr>
              <w:pStyle w:val="4"/>
              <w:suppressLineNumbers w:val="0"/>
              <w:bidi w:val="0"/>
              <w:spacing w:before="0" w:beforeAutospacing="0" w:after="0" w:afterAutospacing="0"/>
              <w:ind w:left="0" w:right="0"/>
              <w:rPr>
                <w:rFonts w:hint="eastAsia"/>
              </w:rPr>
            </w:pPr>
            <w:r>
              <w:rPr>
                <w:rFonts w:hint="eastAsia"/>
              </w:rPr>
              <w:t>大气环境、地表水环境、声环境</w:t>
            </w:r>
          </w:p>
          <w:p w14:paraId="6280A2E3">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kern w:val="0"/>
                <w:sz w:val="24"/>
              </w:rPr>
            </w:pPr>
            <w:r>
              <w:rPr>
                <w:rFonts w:hint="eastAsia"/>
                <w:color w:val="auto"/>
                <w:kern w:val="0"/>
                <w:sz w:val="24"/>
              </w:rPr>
              <w:t>根据《建设项目环境影响报告表编制技术指南</w:t>
            </w:r>
            <w:r>
              <w:rPr>
                <w:rFonts w:hint="eastAsia"/>
                <w:color w:val="auto"/>
                <w:kern w:val="0"/>
                <w:sz w:val="24"/>
                <w:lang w:eastAsia="zh-CN"/>
              </w:rPr>
              <w:t>（</w:t>
            </w:r>
            <w:r>
              <w:rPr>
                <w:rFonts w:hint="eastAsia"/>
                <w:color w:val="auto"/>
                <w:kern w:val="0"/>
                <w:sz w:val="24"/>
              </w:rPr>
              <w:t>污染影响类</w:t>
            </w:r>
            <w:r>
              <w:rPr>
                <w:rFonts w:hint="eastAsia"/>
                <w:color w:val="auto"/>
                <w:kern w:val="0"/>
                <w:sz w:val="24"/>
                <w:lang w:eastAsia="zh-CN"/>
              </w:rPr>
              <w:t>）（</w:t>
            </w:r>
            <w:r>
              <w:rPr>
                <w:rFonts w:hint="eastAsia"/>
                <w:color w:val="auto"/>
                <w:kern w:val="0"/>
                <w:sz w:val="24"/>
              </w:rPr>
              <w:t>试行</w:t>
            </w:r>
            <w:r>
              <w:rPr>
                <w:rFonts w:hint="eastAsia"/>
                <w:color w:val="auto"/>
                <w:kern w:val="0"/>
                <w:sz w:val="24"/>
                <w:lang w:eastAsia="zh-CN"/>
              </w:rPr>
              <w:t>）</w:t>
            </w:r>
            <w:r>
              <w:rPr>
                <w:rFonts w:hint="eastAsia"/>
                <w:color w:val="auto"/>
                <w:kern w:val="0"/>
                <w:sz w:val="24"/>
              </w:rPr>
              <w:t>》</w:t>
            </w:r>
            <w:r>
              <w:rPr>
                <w:rFonts w:hint="eastAsia"/>
                <w:color w:val="auto"/>
                <w:kern w:val="0"/>
                <w:sz w:val="24"/>
                <w:lang w:eastAsia="zh-CN"/>
              </w:rPr>
              <w:t>（</w:t>
            </w:r>
            <w:r>
              <w:rPr>
                <w:rFonts w:hint="eastAsia"/>
                <w:color w:val="auto"/>
                <w:kern w:val="0"/>
                <w:sz w:val="24"/>
              </w:rPr>
              <w:t>环办环评〔2020〕33号</w:t>
            </w:r>
            <w:r>
              <w:rPr>
                <w:rFonts w:hint="eastAsia"/>
                <w:color w:val="auto"/>
                <w:kern w:val="0"/>
                <w:sz w:val="24"/>
                <w:lang w:eastAsia="zh-CN"/>
              </w:rPr>
              <w:t>）</w:t>
            </w:r>
            <w:r>
              <w:rPr>
                <w:rFonts w:hint="eastAsia"/>
                <w:color w:val="auto"/>
                <w:kern w:val="0"/>
                <w:sz w:val="24"/>
              </w:rPr>
              <w:t>要求以及对项目周边环境的调查，本项目大气环境</w:t>
            </w:r>
            <w:r>
              <w:rPr>
                <w:rFonts w:hint="eastAsia"/>
                <w:color w:val="auto"/>
                <w:kern w:val="0"/>
                <w:sz w:val="24"/>
                <w:lang w:eastAsia="zh-CN"/>
              </w:rPr>
              <w:t>（</w:t>
            </w:r>
            <w:r>
              <w:rPr>
                <w:rFonts w:hint="eastAsia"/>
                <w:color w:val="auto"/>
                <w:kern w:val="0"/>
                <w:sz w:val="24"/>
              </w:rPr>
              <w:t>厂界外500m</w:t>
            </w:r>
            <w:r>
              <w:rPr>
                <w:rFonts w:hint="eastAsia"/>
                <w:color w:val="auto"/>
                <w:kern w:val="0"/>
                <w:sz w:val="24"/>
                <w:highlight w:val="none"/>
              </w:rPr>
              <w:t>范围内</w:t>
            </w:r>
            <w:r>
              <w:rPr>
                <w:rFonts w:hint="eastAsia"/>
                <w:color w:val="auto"/>
                <w:kern w:val="0"/>
                <w:sz w:val="24"/>
                <w:highlight w:val="none"/>
                <w:lang w:eastAsia="zh-CN"/>
              </w:rPr>
              <w:t>）</w:t>
            </w:r>
            <w:r>
              <w:rPr>
                <w:rFonts w:hint="eastAsia"/>
                <w:color w:val="auto"/>
                <w:kern w:val="0"/>
                <w:sz w:val="24"/>
                <w:highlight w:val="none"/>
              </w:rPr>
              <w:t>、地表水环境、声环境</w:t>
            </w:r>
            <w:r>
              <w:rPr>
                <w:rFonts w:hint="eastAsia"/>
                <w:color w:val="auto"/>
                <w:kern w:val="0"/>
                <w:sz w:val="24"/>
                <w:highlight w:val="none"/>
                <w:lang w:eastAsia="zh-CN"/>
              </w:rPr>
              <w:t>（</w:t>
            </w:r>
            <w:r>
              <w:rPr>
                <w:rFonts w:hint="eastAsia"/>
                <w:color w:val="auto"/>
                <w:kern w:val="0"/>
                <w:sz w:val="24"/>
                <w:highlight w:val="none"/>
              </w:rPr>
              <w:t>厂界外50m范围内</w:t>
            </w:r>
            <w:r>
              <w:rPr>
                <w:rFonts w:hint="eastAsia"/>
                <w:color w:val="auto"/>
                <w:kern w:val="0"/>
                <w:sz w:val="24"/>
                <w:highlight w:val="none"/>
                <w:lang w:eastAsia="zh-CN"/>
              </w:rPr>
              <w:t>）</w:t>
            </w:r>
            <w:r>
              <w:rPr>
                <w:rFonts w:hint="eastAsia"/>
                <w:color w:val="auto"/>
                <w:kern w:val="0"/>
                <w:sz w:val="24"/>
                <w:highlight w:val="none"/>
              </w:rPr>
              <w:t>保护目标见表</w:t>
            </w:r>
            <w:r>
              <w:rPr>
                <w:rFonts w:hint="eastAsia"/>
                <w:lang w:val="en-US" w:eastAsia="zh-CN"/>
              </w:rPr>
              <w:t>3.6-1</w:t>
            </w:r>
            <w:r>
              <w:rPr>
                <w:rFonts w:hint="eastAsia"/>
                <w:color w:val="auto"/>
                <w:kern w:val="0"/>
                <w:sz w:val="24"/>
                <w:highlight w:val="none"/>
              </w:rPr>
              <w:t>和</w:t>
            </w:r>
            <w:r>
              <w:rPr>
                <w:rFonts w:hint="eastAsia"/>
                <w:color w:val="auto"/>
                <w:kern w:val="0"/>
                <w:sz w:val="24"/>
                <w:highlight w:val="none"/>
                <w:lang w:eastAsia="zh-CN"/>
              </w:rPr>
              <w:fldChar w:fldCharType="begin"/>
            </w:r>
            <w:r>
              <w:rPr>
                <w:rFonts w:hint="eastAsia"/>
                <w:color w:val="auto"/>
                <w:kern w:val="0"/>
                <w:sz w:val="24"/>
                <w:highlight w:val="none"/>
                <w:lang w:eastAsia="zh-CN"/>
              </w:rPr>
              <w:instrText xml:space="preserve"> REF _Ref22753 \h </w:instrText>
            </w:r>
            <w:r>
              <w:rPr>
                <w:rFonts w:hint="eastAsia"/>
                <w:color w:val="auto"/>
                <w:kern w:val="0"/>
                <w:sz w:val="24"/>
                <w:highlight w:val="none"/>
                <w:lang w:eastAsia="zh-CN"/>
              </w:rPr>
              <w:fldChar w:fldCharType="separate"/>
            </w:r>
            <w:r>
              <w:rPr>
                <w:rFonts w:hint="eastAsia"/>
              </w:rPr>
              <w:drawing>
                <wp:anchor distT="0" distB="0" distL="114300" distR="114300" simplePos="0" relativeHeight="251673600" behindDoc="0" locked="0" layoutInCell="1" allowOverlap="1">
                  <wp:simplePos x="0" y="0"/>
                  <wp:positionH relativeFrom="column">
                    <wp:posOffset>7475855</wp:posOffset>
                  </wp:positionH>
                  <wp:positionV relativeFrom="paragraph">
                    <wp:posOffset>295910</wp:posOffset>
                  </wp:positionV>
                  <wp:extent cx="409575" cy="760730"/>
                  <wp:effectExtent l="0" t="0" r="9525" b="1270"/>
                  <wp:wrapNone/>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6"/>
                          <a:stretch>
                            <a:fillRect/>
                          </a:stretch>
                        </pic:blipFill>
                        <pic:spPr>
                          <a:xfrm>
                            <a:off x="0" y="0"/>
                            <a:ext cx="409575" cy="760730"/>
                          </a:xfrm>
                          <a:prstGeom prst="rect">
                            <a:avLst/>
                          </a:prstGeom>
                          <a:noFill/>
                          <a:ln>
                            <a:noFill/>
                          </a:ln>
                        </pic:spPr>
                      </pic:pic>
                    </a:graphicData>
                  </a:graphic>
                </wp:anchor>
              </w:drawing>
            </w:r>
            <w:r>
              <w:rPr>
                <w:rFonts w:hint="eastAsia"/>
              </w:rPr>
              <w:t>附图 2</w:t>
            </w:r>
            <w:r>
              <w:rPr>
                <w:rFonts w:hint="eastAsia"/>
                <w:color w:val="auto"/>
                <w:kern w:val="0"/>
                <w:sz w:val="24"/>
                <w:highlight w:val="none"/>
                <w:lang w:eastAsia="zh-CN"/>
              </w:rPr>
              <w:fldChar w:fldCharType="end"/>
            </w:r>
            <w:r>
              <w:rPr>
                <w:rFonts w:hint="eastAsia"/>
                <w:color w:val="auto"/>
                <w:kern w:val="0"/>
                <w:sz w:val="24"/>
                <w:highlight w:val="none"/>
              </w:rPr>
              <w:t>。</w:t>
            </w:r>
          </w:p>
          <w:p w14:paraId="2DE3DDFE">
            <w:pPr>
              <w:pStyle w:val="39"/>
              <w:keepNext w:val="0"/>
              <w:keepLines w:val="0"/>
              <w:suppressLineNumbers w:val="0"/>
              <w:bidi w:val="0"/>
              <w:spacing w:before="0" w:beforeAutospacing="0" w:after="0" w:afterAutospacing="0"/>
              <w:ind w:left="0" w:right="0"/>
              <w:rPr>
                <w:rFonts w:hint="default"/>
              </w:rPr>
            </w:pPr>
            <w:r>
              <w:rPr>
                <w:rFonts w:hint="default"/>
              </w:rPr>
              <w:t>表</w:t>
            </w:r>
            <w:r>
              <w:rPr>
                <w:rFonts w:hint="eastAsia"/>
                <w:lang w:val="en-US" w:eastAsia="zh-CN"/>
              </w:rPr>
              <w:t>3.6-1</w:t>
            </w:r>
            <w:r>
              <w:rPr>
                <w:rFonts w:hint="default"/>
              </w:rPr>
              <w:t xml:space="preserve">  环境保护目标一览表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62"/>
              <w:gridCol w:w="1359"/>
              <w:gridCol w:w="1715"/>
              <w:gridCol w:w="1409"/>
              <w:gridCol w:w="2629"/>
            </w:tblGrid>
            <w:tr w14:paraId="7A9B1A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0" w:type="pct"/>
                  <w:noWrap w:val="0"/>
                  <w:vAlign w:val="center"/>
                </w:tcPr>
                <w:p w14:paraId="05A67163">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环境</w:t>
                  </w:r>
                </w:p>
                <w:p w14:paraId="4272B069">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要素</w:t>
                  </w:r>
                </w:p>
              </w:tc>
              <w:tc>
                <w:tcPr>
                  <w:tcW w:w="852" w:type="pct"/>
                  <w:noWrap w:val="0"/>
                  <w:vAlign w:val="center"/>
                </w:tcPr>
                <w:p w14:paraId="594F61E3">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环境保护</w:t>
                  </w:r>
                </w:p>
                <w:p w14:paraId="6DDC0DFE">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对象名称</w:t>
                  </w:r>
                </w:p>
              </w:tc>
              <w:tc>
                <w:tcPr>
                  <w:tcW w:w="1075" w:type="pct"/>
                  <w:noWrap w:val="0"/>
                  <w:vAlign w:val="center"/>
                </w:tcPr>
                <w:p w14:paraId="57637235">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与项目厂界的方位和最近距离</w:t>
                  </w:r>
                </w:p>
              </w:tc>
              <w:tc>
                <w:tcPr>
                  <w:tcW w:w="883" w:type="pct"/>
                  <w:noWrap w:val="0"/>
                  <w:vAlign w:val="center"/>
                </w:tcPr>
                <w:p w14:paraId="3C8D92F9">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环境基本特征</w:t>
                  </w:r>
                </w:p>
              </w:tc>
              <w:tc>
                <w:tcPr>
                  <w:tcW w:w="1648" w:type="pct"/>
                  <w:noWrap w:val="0"/>
                  <w:vAlign w:val="center"/>
                </w:tcPr>
                <w:p w14:paraId="355D5A61">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环境功能</w:t>
                  </w:r>
                </w:p>
              </w:tc>
            </w:tr>
            <w:tr w14:paraId="2AC526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540" w:type="pct"/>
                  <w:vMerge w:val="restart"/>
                  <w:noWrap w:val="0"/>
                  <w:vAlign w:val="center"/>
                </w:tcPr>
                <w:p w14:paraId="6829DCFC">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环境</w:t>
                  </w:r>
                </w:p>
                <w:p w14:paraId="3877F57E">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空气</w:t>
                  </w:r>
                </w:p>
              </w:tc>
              <w:tc>
                <w:tcPr>
                  <w:tcW w:w="852" w:type="pct"/>
                  <w:noWrap w:val="0"/>
                  <w:vAlign w:val="center"/>
                </w:tcPr>
                <w:p w14:paraId="3D38ED03">
                  <w:pPr>
                    <w:pStyle w:val="38"/>
                    <w:keepNext w:val="0"/>
                    <w:keepLines w:val="0"/>
                    <w:widowControl/>
                    <w:suppressLineNumbers w:val="0"/>
                    <w:bidi w:val="0"/>
                    <w:spacing w:before="0" w:beforeAutospacing="0" w:after="0" w:afterAutospacing="0"/>
                    <w:ind w:left="0" w:right="0"/>
                    <w:rPr>
                      <w:rFonts w:hint="default" w:eastAsia="宋体"/>
                      <w:szCs w:val="22"/>
                      <w:lang w:val="en-US" w:eastAsia="zh-CN"/>
                    </w:rPr>
                  </w:pPr>
                  <w:r>
                    <w:rPr>
                      <w:rFonts w:hint="eastAsia"/>
                      <w:szCs w:val="22"/>
                    </w:rPr>
                    <w:t>玉岭村</w:t>
                  </w:r>
                  <w:r>
                    <w:rPr>
                      <w:rFonts w:hint="eastAsia"/>
                      <w:szCs w:val="22"/>
                      <w:lang w:val="en-US" w:eastAsia="zh-CN"/>
                    </w:rPr>
                    <w:t>最近居民点</w:t>
                  </w:r>
                </w:p>
              </w:tc>
              <w:tc>
                <w:tcPr>
                  <w:tcW w:w="1075" w:type="pct"/>
                  <w:noWrap w:val="0"/>
                  <w:vAlign w:val="center"/>
                </w:tcPr>
                <w:p w14:paraId="0B66D676">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南侧204</w:t>
                  </w:r>
                  <w:r>
                    <w:rPr>
                      <w:rFonts w:hint="eastAsia"/>
                      <w:szCs w:val="22"/>
                    </w:rPr>
                    <w:t>m</w:t>
                  </w:r>
                </w:p>
              </w:tc>
              <w:tc>
                <w:tcPr>
                  <w:tcW w:w="883" w:type="pct"/>
                  <w:noWrap w:val="0"/>
                  <w:vAlign w:val="center"/>
                </w:tcPr>
                <w:p w14:paraId="227CF77B">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5</w:t>
                  </w:r>
                  <w:r>
                    <w:rPr>
                      <w:rFonts w:hint="eastAsia"/>
                      <w:szCs w:val="22"/>
                    </w:rPr>
                    <w:t>人</w:t>
                  </w:r>
                </w:p>
              </w:tc>
              <w:tc>
                <w:tcPr>
                  <w:tcW w:w="1648" w:type="pct"/>
                  <w:vMerge w:val="restart"/>
                  <w:noWrap w:val="0"/>
                  <w:vAlign w:val="center"/>
                </w:tcPr>
                <w:p w14:paraId="22CD2F42">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eastAsia="zh-CN"/>
                    </w:rPr>
                    <w:t>《环境空气质量标准》（GB 3095—2026）</w:t>
                  </w:r>
                  <w:r>
                    <w:rPr>
                      <w:rFonts w:hint="eastAsia"/>
                      <w:szCs w:val="22"/>
                    </w:rPr>
                    <w:t>二级标准</w:t>
                  </w:r>
                </w:p>
              </w:tc>
            </w:tr>
            <w:tr w14:paraId="492A7A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540" w:type="pct"/>
                  <w:vMerge w:val="continue"/>
                  <w:noWrap w:val="0"/>
                  <w:vAlign w:val="center"/>
                </w:tcPr>
                <w:p w14:paraId="4F57CF14">
                  <w:pPr>
                    <w:pStyle w:val="38"/>
                    <w:keepNext w:val="0"/>
                    <w:keepLines w:val="0"/>
                    <w:widowControl/>
                    <w:suppressLineNumbers w:val="0"/>
                    <w:bidi w:val="0"/>
                    <w:spacing w:before="0" w:beforeAutospacing="0" w:after="0" w:afterAutospacing="0"/>
                    <w:ind w:left="0" w:right="0"/>
                    <w:rPr>
                      <w:rFonts w:hint="eastAsia"/>
                      <w:szCs w:val="22"/>
                    </w:rPr>
                  </w:pPr>
                </w:p>
              </w:tc>
              <w:tc>
                <w:tcPr>
                  <w:tcW w:w="852" w:type="pct"/>
                  <w:noWrap w:val="0"/>
                  <w:vAlign w:val="center"/>
                </w:tcPr>
                <w:p w14:paraId="40E698A4">
                  <w:pPr>
                    <w:pStyle w:val="38"/>
                    <w:keepNext w:val="0"/>
                    <w:keepLines w:val="0"/>
                    <w:widowControl/>
                    <w:suppressLineNumbers w:val="0"/>
                    <w:bidi w:val="0"/>
                    <w:spacing w:before="0" w:beforeAutospacing="0" w:after="0" w:afterAutospacing="0"/>
                    <w:ind w:left="0" w:right="0"/>
                    <w:rPr>
                      <w:rFonts w:hint="eastAsia" w:eastAsia="宋体"/>
                      <w:szCs w:val="22"/>
                      <w:lang w:val="en-US" w:eastAsia="zh-CN"/>
                    </w:rPr>
                  </w:pPr>
                  <w:r>
                    <w:rPr>
                      <w:rFonts w:hint="eastAsia"/>
                      <w:szCs w:val="22"/>
                      <w:lang w:val="en-US" w:eastAsia="zh-CN"/>
                    </w:rPr>
                    <w:t>洪宽工业村</w:t>
                  </w:r>
                </w:p>
              </w:tc>
              <w:tc>
                <w:tcPr>
                  <w:tcW w:w="1075" w:type="pct"/>
                  <w:noWrap w:val="0"/>
                  <w:vAlign w:val="center"/>
                </w:tcPr>
                <w:p w14:paraId="15FA7F2C">
                  <w:pPr>
                    <w:pStyle w:val="38"/>
                    <w:keepNext w:val="0"/>
                    <w:keepLines w:val="0"/>
                    <w:widowControl/>
                    <w:suppressLineNumbers w:val="0"/>
                    <w:bidi w:val="0"/>
                    <w:spacing w:before="0" w:beforeAutospacing="0" w:after="0" w:afterAutospacing="0"/>
                    <w:ind w:left="0" w:right="0"/>
                    <w:rPr>
                      <w:rFonts w:hint="default" w:eastAsia="宋体"/>
                      <w:szCs w:val="22"/>
                      <w:lang w:val="en-US" w:eastAsia="zh-CN"/>
                    </w:rPr>
                  </w:pPr>
                  <w:r>
                    <w:rPr>
                      <w:rFonts w:hint="eastAsia"/>
                      <w:szCs w:val="22"/>
                      <w:lang w:val="en-US" w:eastAsia="zh-CN"/>
                    </w:rPr>
                    <w:t>北侧146m</w:t>
                  </w:r>
                </w:p>
              </w:tc>
              <w:tc>
                <w:tcPr>
                  <w:tcW w:w="883" w:type="pct"/>
                  <w:noWrap w:val="0"/>
                  <w:vAlign w:val="center"/>
                </w:tcPr>
                <w:p w14:paraId="4EA5AA5E">
                  <w:pPr>
                    <w:pStyle w:val="38"/>
                    <w:keepNext w:val="0"/>
                    <w:keepLines w:val="0"/>
                    <w:widowControl/>
                    <w:suppressLineNumbers w:val="0"/>
                    <w:bidi w:val="0"/>
                    <w:spacing w:before="0" w:beforeAutospacing="0" w:after="0" w:afterAutospacing="0"/>
                    <w:ind w:left="0" w:right="0"/>
                    <w:rPr>
                      <w:rFonts w:hint="eastAsia" w:eastAsiaTheme="minorEastAsia"/>
                      <w:szCs w:val="22"/>
                      <w:lang w:val="en-US" w:eastAsia="zh-CN"/>
                    </w:rPr>
                  </w:pPr>
                  <w:r>
                    <w:rPr>
                      <w:rFonts w:hint="default" w:ascii="Times New Roman" w:hAnsi="Times New Roman" w:cs="Times New Roman" w:eastAsiaTheme="minorEastAsia"/>
                      <w:color w:val="000000" w:themeColor="text1"/>
                      <w:szCs w:val="22"/>
                      <w:highlight w:val="none"/>
                      <w:lang w:val="en-US" w:eastAsia="zh-CN"/>
                      <w14:textFill>
                        <w14:solidFill>
                          <w14:schemeClr w14:val="tx1"/>
                        </w14:solidFill>
                      </w14:textFill>
                    </w:rPr>
                    <w:t>50</w:t>
                  </w:r>
                  <w:r>
                    <w:rPr>
                      <w:rFonts w:hint="default" w:ascii="Times New Roman" w:hAnsi="Times New Roman" w:cs="Times New Roman" w:eastAsiaTheme="minorEastAsia"/>
                      <w:color w:val="000000" w:themeColor="text1"/>
                      <w:szCs w:val="22"/>
                      <w:highlight w:val="none"/>
                      <w14:textFill>
                        <w14:solidFill>
                          <w14:schemeClr w14:val="tx1"/>
                        </w14:solidFill>
                      </w14:textFill>
                    </w:rPr>
                    <w:t>0</w:t>
                  </w:r>
                  <w:r>
                    <w:rPr>
                      <w:rFonts w:hint="eastAsia" w:ascii="Times New Roman" w:hAnsi="Times New Roman" w:cs="Times New Roman" w:eastAsiaTheme="minorEastAsia"/>
                      <w:color w:val="000000" w:themeColor="text1"/>
                      <w:szCs w:val="22"/>
                      <w:highlight w:val="none"/>
                      <w:lang w:val="en-US" w:eastAsia="zh-CN"/>
                      <w14:textFill>
                        <w14:solidFill>
                          <w14:schemeClr w14:val="tx1"/>
                        </w14:solidFill>
                      </w14:textFill>
                    </w:rPr>
                    <w:t>人</w:t>
                  </w:r>
                </w:p>
              </w:tc>
              <w:tc>
                <w:tcPr>
                  <w:tcW w:w="1648" w:type="pct"/>
                  <w:vMerge w:val="continue"/>
                  <w:noWrap w:val="0"/>
                  <w:vAlign w:val="center"/>
                </w:tcPr>
                <w:p w14:paraId="56E83CBE">
                  <w:pPr>
                    <w:pStyle w:val="38"/>
                    <w:keepNext w:val="0"/>
                    <w:keepLines w:val="0"/>
                    <w:widowControl/>
                    <w:suppressLineNumbers w:val="0"/>
                    <w:bidi w:val="0"/>
                    <w:spacing w:before="0" w:beforeAutospacing="0" w:after="0" w:afterAutospacing="0"/>
                    <w:ind w:left="0" w:right="0"/>
                    <w:rPr>
                      <w:rFonts w:hint="eastAsia"/>
                      <w:szCs w:val="22"/>
                    </w:rPr>
                  </w:pPr>
                </w:p>
              </w:tc>
            </w:tr>
            <w:tr w14:paraId="1B459C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540" w:type="pct"/>
                  <w:vMerge w:val="continue"/>
                  <w:noWrap w:val="0"/>
                  <w:vAlign w:val="center"/>
                </w:tcPr>
                <w:p w14:paraId="3C19C5BB">
                  <w:pPr>
                    <w:pStyle w:val="38"/>
                    <w:keepNext w:val="0"/>
                    <w:keepLines w:val="0"/>
                    <w:widowControl/>
                    <w:suppressLineNumbers w:val="0"/>
                    <w:bidi w:val="0"/>
                    <w:spacing w:before="0" w:beforeAutospacing="0" w:after="0" w:afterAutospacing="0"/>
                    <w:ind w:left="0" w:right="0"/>
                    <w:rPr>
                      <w:rFonts w:hint="eastAsia"/>
                      <w:szCs w:val="22"/>
                    </w:rPr>
                  </w:pPr>
                </w:p>
              </w:tc>
              <w:tc>
                <w:tcPr>
                  <w:tcW w:w="852" w:type="pct"/>
                  <w:noWrap w:val="0"/>
                  <w:vAlign w:val="center"/>
                </w:tcPr>
                <w:p w14:paraId="4FDB899F">
                  <w:pPr>
                    <w:pStyle w:val="38"/>
                    <w:keepNext w:val="0"/>
                    <w:keepLines w:val="0"/>
                    <w:widowControl/>
                    <w:suppressLineNumbers w:val="0"/>
                    <w:bidi w:val="0"/>
                    <w:spacing w:before="0" w:beforeAutospacing="0" w:after="0" w:afterAutospacing="0"/>
                    <w:ind w:left="0" w:right="0"/>
                    <w:rPr>
                      <w:rFonts w:hint="eastAsia"/>
                      <w:szCs w:val="22"/>
                    </w:rPr>
                  </w:pPr>
                  <w:r>
                    <w:rPr>
                      <w:rFonts w:hint="default" w:ascii="Times New Roman" w:hAnsi="Times New Roman" w:cs="Times New Roman" w:eastAsiaTheme="minorEastAsia"/>
                      <w:color w:val="000000" w:themeColor="text1"/>
                      <w:szCs w:val="22"/>
                      <w:lang w:val="en-US" w:eastAsia="zh-CN"/>
                      <w14:textFill>
                        <w14:solidFill>
                          <w14:schemeClr w14:val="tx1"/>
                        </w14:solidFill>
                      </w14:textFill>
                    </w:rPr>
                    <w:t>潘厝后村</w:t>
                  </w:r>
                </w:p>
              </w:tc>
              <w:tc>
                <w:tcPr>
                  <w:tcW w:w="1075" w:type="pct"/>
                  <w:noWrap w:val="0"/>
                  <w:vAlign w:val="center"/>
                </w:tcPr>
                <w:p w14:paraId="38F4A19E">
                  <w:pPr>
                    <w:pStyle w:val="38"/>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东</w:t>
                  </w:r>
                  <w:r>
                    <w:rPr>
                      <w:rFonts w:hint="default"/>
                      <w:szCs w:val="22"/>
                      <w:lang w:eastAsia="zh-CN"/>
                    </w:rPr>
                    <w:t>侧</w:t>
                  </w:r>
                  <w:r>
                    <w:rPr>
                      <w:rFonts w:hint="eastAsia"/>
                      <w:szCs w:val="22"/>
                      <w:lang w:val="en-US" w:eastAsia="zh-CN"/>
                    </w:rPr>
                    <w:t>147</w:t>
                  </w:r>
                  <w:r>
                    <w:rPr>
                      <w:rFonts w:hint="default"/>
                      <w:szCs w:val="22"/>
                      <w:lang w:val="en-US" w:eastAsia="zh-CN"/>
                    </w:rPr>
                    <w:t>m</w:t>
                  </w:r>
                </w:p>
              </w:tc>
              <w:tc>
                <w:tcPr>
                  <w:tcW w:w="883" w:type="pct"/>
                  <w:noWrap w:val="0"/>
                  <w:vAlign w:val="center"/>
                </w:tcPr>
                <w:p w14:paraId="042EE46C">
                  <w:pPr>
                    <w:pStyle w:val="38"/>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约300</w:t>
                  </w:r>
                  <w:r>
                    <w:rPr>
                      <w:rFonts w:hint="default"/>
                      <w:szCs w:val="22"/>
                    </w:rPr>
                    <w:t>人</w:t>
                  </w:r>
                </w:p>
              </w:tc>
              <w:tc>
                <w:tcPr>
                  <w:tcW w:w="1648" w:type="pct"/>
                  <w:vMerge w:val="continue"/>
                  <w:noWrap w:val="0"/>
                  <w:vAlign w:val="center"/>
                </w:tcPr>
                <w:p w14:paraId="1A163D34">
                  <w:pPr>
                    <w:pStyle w:val="38"/>
                    <w:keepNext w:val="0"/>
                    <w:keepLines w:val="0"/>
                    <w:widowControl/>
                    <w:suppressLineNumbers w:val="0"/>
                    <w:bidi w:val="0"/>
                    <w:spacing w:before="0" w:beforeAutospacing="0" w:after="0" w:afterAutospacing="0"/>
                    <w:ind w:left="0" w:right="0"/>
                    <w:rPr>
                      <w:rFonts w:hint="eastAsia"/>
                      <w:szCs w:val="22"/>
                    </w:rPr>
                  </w:pPr>
                </w:p>
              </w:tc>
            </w:tr>
            <w:tr w14:paraId="57736D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40" w:type="pct"/>
                  <w:noWrap w:val="0"/>
                  <w:vAlign w:val="center"/>
                </w:tcPr>
                <w:p w14:paraId="0145B621">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地表水</w:t>
                  </w:r>
                </w:p>
              </w:tc>
              <w:tc>
                <w:tcPr>
                  <w:tcW w:w="852" w:type="pct"/>
                  <w:tcBorders>
                    <w:bottom w:val="single" w:color="auto" w:sz="4" w:space="0"/>
                  </w:tcBorders>
                  <w:noWrap w:val="0"/>
                  <w:vAlign w:val="center"/>
                </w:tcPr>
                <w:p w14:paraId="738DE442">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大北溪</w:t>
                  </w:r>
                  <w:r>
                    <w:rPr>
                      <w:rFonts w:hint="eastAsia"/>
                      <w:szCs w:val="22"/>
                      <w:lang w:eastAsia="zh-CN"/>
                    </w:rPr>
                    <w:t>“</w:t>
                  </w:r>
                  <w:r>
                    <w:rPr>
                      <w:rFonts w:hint="eastAsia"/>
                      <w:szCs w:val="22"/>
                    </w:rPr>
                    <w:t>铁路桥至大北溪口</w:t>
                  </w:r>
                  <w:r>
                    <w:rPr>
                      <w:rFonts w:hint="eastAsia"/>
                      <w:szCs w:val="22"/>
                      <w:lang w:eastAsia="zh-CN"/>
                    </w:rPr>
                    <w:t>”</w:t>
                  </w:r>
                  <w:r>
                    <w:rPr>
                      <w:rFonts w:hint="eastAsia"/>
                      <w:szCs w:val="22"/>
                    </w:rPr>
                    <w:t>断面</w:t>
                  </w:r>
                </w:p>
              </w:tc>
              <w:tc>
                <w:tcPr>
                  <w:tcW w:w="1075" w:type="pct"/>
                  <w:tcBorders>
                    <w:bottom w:val="single" w:color="auto" w:sz="4" w:space="0"/>
                    <w:right w:val="single" w:color="auto" w:sz="4" w:space="0"/>
                  </w:tcBorders>
                  <w:noWrap w:val="0"/>
                  <w:vAlign w:val="center"/>
                </w:tcPr>
                <w:p w14:paraId="4D917852">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北侧</w:t>
                  </w:r>
                  <w:r>
                    <w:rPr>
                      <w:rFonts w:hint="eastAsia"/>
                      <w:szCs w:val="22"/>
                      <w:lang w:val="en-US" w:eastAsia="zh-CN"/>
                    </w:rPr>
                    <w:t>203</w:t>
                  </w:r>
                  <w:r>
                    <w:rPr>
                      <w:rFonts w:hint="eastAsia"/>
                      <w:szCs w:val="22"/>
                    </w:rPr>
                    <w:t>m</w:t>
                  </w:r>
                </w:p>
              </w:tc>
              <w:tc>
                <w:tcPr>
                  <w:tcW w:w="883" w:type="pct"/>
                  <w:tcBorders>
                    <w:left w:val="single" w:color="auto" w:sz="4" w:space="0"/>
                    <w:bottom w:val="single" w:color="auto" w:sz="4" w:space="0"/>
                    <w:right w:val="single" w:color="auto" w:sz="4" w:space="0"/>
                  </w:tcBorders>
                  <w:noWrap w:val="0"/>
                  <w:vAlign w:val="center"/>
                </w:tcPr>
                <w:p w14:paraId="4DA0DAB3">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景观、工业用水</w:t>
                  </w:r>
                </w:p>
              </w:tc>
              <w:tc>
                <w:tcPr>
                  <w:tcW w:w="1648" w:type="pct"/>
                  <w:tcBorders>
                    <w:left w:val="single" w:color="auto" w:sz="4" w:space="0"/>
                    <w:bottom w:val="single" w:color="auto" w:sz="4" w:space="0"/>
                  </w:tcBorders>
                  <w:noWrap w:val="0"/>
                  <w:vAlign w:val="center"/>
                </w:tcPr>
                <w:p w14:paraId="74F17FC3">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《地表水环境质量标准》</w:t>
                  </w:r>
                  <w:r>
                    <w:rPr>
                      <w:rFonts w:hint="eastAsia"/>
                      <w:szCs w:val="22"/>
                      <w:lang w:eastAsia="zh-CN"/>
                    </w:rPr>
                    <w:t>（</w:t>
                  </w:r>
                  <w:r>
                    <w:rPr>
                      <w:rFonts w:hint="eastAsia"/>
                      <w:szCs w:val="22"/>
                    </w:rPr>
                    <w:t>GB3838-2002</w:t>
                  </w:r>
                  <w:r>
                    <w:rPr>
                      <w:rFonts w:hint="eastAsia"/>
                      <w:szCs w:val="22"/>
                      <w:lang w:eastAsia="zh-CN"/>
                    </w:rPr>
                    <w:t>）</w:t>
                  </w:r>
                  <w:r>
                    <w:rPr>
                      <w:rFonts w:hint="eastAsia"/>
                      <w:szCs w:val="22"/>
                    </w:rPr>
                    <w:t>Ⅳ类标准</w:t>
                  </w:r>
                </w:p>
              </w:tc>
            </w:tr>
            <w:tr w14:paraId="0E5353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0" w:type="pct"/>
                  <w:noWrap w:val="0"/>
                  <w:vAlign w:val="center"/>
                </w:tcPr>
                <w:p w14:paraId="77DC3087">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声环境</w:t>
                  </w:r>
                </w:p>
              </w:tc>
              <w:tc>
                <w:tcPr>
                  <w:tcW w:w="4459" w:type="pct"/>
                  <w:gridSpan w:val="4"/>
                  <w:noWrap w:val="0"/>
                  <w:vAlign w:val="center"/>
                </w:tcPr>
                <w:p w14:paraId="252CF6E3">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项目厂界50m范围内无声环境保护目标</w:t>
                  </w:r>
                </w:p>
              </w:tc>
            </w:tr>
            <w:tr w14:paraId="5EC87F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0" w:type="pct"/>
                  <w:noWrap w:val="0"/>
                  <w:vAlign w:val="center"/>
                </w:tcPr>
                <w:p w14:paraId="78BB9802">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地下水</w:t>
                  </w:r>
                </w:p>
              </w:tc>
              <w:tc>
                <w:tcPr>
                  <w:tcW w:w="4459" w:type="pct"/>
                  <w:gridSpan w:val="4"/>
                  <w:noWrap w:val="0"/>
                  <w:vAlign w:val="center"/>
                </w:tcPr>
                <w:p w14:paraId="4EED1F08">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项目厂界外500米范围内的地下水集中式饮用水水源和热水、矿泉水、温泉等特殊地下水资源</w:t>
                  </w:r>
                </w:p>
              </w:tc>
            </w:tr>
          </w:tbl>
          <w:p w14:paraId="506DF980">
            <w:pPr>
              <w:pStyle w:val="4"/>
              <w:suppressLineNumbers w:val="0"/>
              <w:bidi w:val="0"/>
              <w:spacing w:before="0" w:beforeAutospacing="0" w:after="0" w:afterAutospacing="0"/>
              <w:ind w:left="0" w:right="0"/>
              <w:rPr>
                <w:rFonts w:hint="eastAsia"/>
              </w:rPr>
            </w:pPr>
            <w:r>
              <w:rPr>
                <w:rFonts w:hint="eastAsia"/>
              </w:rPr>
              <w:t>生态环境保护目标</w:t>
            </w:r>
          </w:p>
          <w:p w14:paraId="7188EB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480"/>
              <w:textAlignment w:val="auto"/>
              <w:rPr>
                <w:rFonts w:hint="eastAsia"/>
                <w:color w:val="auto"/>
                <w:kern w:val="0"/>
                <w:szCs w:val="21"/>
              </w:rPr>
            </w:pPr>
            <w:r>
              <w:rPr>
                <w:rFonts w:hint="eastAsia"/>
                <w:color w:val="auto"/>
                <w:sz w:val="24"/>
                <w:szCs w:val="20"/>
              </w:rPr>
              <w:t>根据《建设项目环境影响报告表编制技术指南</w:t>
            </w:r>
            <w:r>
              <w:rPr>
                <w:rFonts w:hint="eastAsia"/>
                <w:color w:val="auto"/>
                <w:sz w:val="24"/>
                <w:szCs w:val="20"/>
                <w:lang w:eastAsia="zh-CN"/>
              </w:rPr>
              <w:t>（</w:t>
            </w:r>
            <w:r>
              <w:rPr>
                <w:rFonts w:hint="eastAsia"/>
                <w:color w:val="auto"/>
                <w:sz w:val="24"/>
                <w:szCs w:val="20"/>
              </w:rPr>
              <w:t>污染影响类</w:t>
            </w:r>
            <w:r>
              <w:rPr>
                <w:rFonts w:hint="eastAsia"/>
                <w:color w:val="auto"/>
                <w:sz w:val="24"/>
                <w:szCs w:val="20"/>
                <w:lang w:eastAsia="zh-CN"/>
              </w:rPr>
              <w:t>）（</w:t>
            </w:r>
            <w:r>
              <w:rPr>
                <w:rFonts w:hint="eastAsia"/>
                <w:color w:val="auto"/>
                <w:sz w:val="24"/>
                <w:szCs w:val="20"/>
              </w:rPr>
              <w:t>试行</w:t>
            </w:r>
            <w:r>
              <w:rPr>
                <w:rFonts w:hint="eastAsia"/>
                <w:color w:val="auto"/>
                <w:sz w:val="24"/>
                <w:szCs w:val="20"/>
                <w:lang w:eastAsia="zh-CN"/>
              </w:rPr>
              <w:t>）</w:t>
            </w:r>
            <w:r>
              <w:rPr>
                <w:rFonts w:hint="eastAsia"/>
                <w:color w:val="auto"/>
                <w:sz w:val="24"/>
                <w:szCs w:val="20"/>
              </w:rPr>
              <w:t>》</w:t>
            </w:r>
            <w:r>
              <w:rPr>
                <w:rFonts w:hint="eastAsia"/>
                <w:color w:val="auto"/>
                <w:sz w:val="24"/>
                <w:szCs w:val="20"/>
                <w:lang w:eastAsia="zh-CN"/>
              </w:rPr>
              <w:t>（</w:t>
            </w:r>
            <w:r>
              <w:rPr>
                <w:rFonts w:hint="eastAsia"/>
                <w:color w:val="auto"/>
                <w:sz w:val="24"/>
                <w:szCs w:val="20"/>
              </w:rPr>
              <w:t>环办环评〔2020〕33号</w:t>
            </w:r>
            <w:r>
              <w:rPr>
                <w:rFonts w:hint="eastAsia"/>
                <w:color w:val="auto"/>
                <w:sz w:val="24"/>
                <w:szCs w:val="20"/>
                <w:lang w:eastAsia="zh-CN"/>
              </w:rPr>
              <w:t>）“</w:t>
            </w:r>
            <w:r>
              <w:rPr>
                <w:rFonts w:hint="eastAsia"/>
                <w:color w:val="auto"/>
                <w:sz w:val="24"/>
                <w:szCs w:val="20"/>
              </w:rPr>
              <w:t>产业园区外建设项目新增用地的，应明确新增用地范围内生态环境保护目标</w:t>
            </w:r>
            <w:r>
              <w:rPr>
                <w:rFonts w:hint="eastAsia"/>
                <w:color w:val="auto"/>
                <w:sz w:val="24"/>
                <w:szCs w:val="20"/>
                <w:lang w:eastAsia="zh-CN"/>
              </w:rPr>
              <w:t>”</w:t>
            </w:r>
            <w:r>
              <w:rPr>
                <w:rFonts w:hint="eastAsia"/>
                <w:color w:val="auto"/>
                <w:sz w:val="24"/>
                <w:szCs w:val="20"/>
              </w:rPr>
              <w:t>。本项目租赁</w:t>
            </w:r>
            <w:r>
              <w:rPr>
                <w:rFonts w:hint="eastAsia"/>
                <w:color w:val="auto"/>
                <w:sz w:val="24"/>
                <w:szCs w:val="20"/>
                <w:lang w:eastAsia="zh-CN"/>
              </w:rPr>
              <w:t>福清洪添科技有限公司</w:t>
            </w:r>
            <w:r>
              <w:rPr>
                <w:rFonts w:hint="eastAsia"/>
                <w:color w:val="auto"/>
                <w:sz w:val="24"/>
                <w:szCs w:val="20"/>
              </w:rPr>
              <w:t>现有厂房进行生产，无新增用地，因此无需进行新增用地范围内生态环境保护目标调查。</w:t>
            </w:r>
          </w:p>
        </w:tc>
      </w:tr>
      <w:tr w14:paraId="393B80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800" w:type="dxa"/>
            <w:noWrap w:val="0"/>
            <w:tcMar>
              <w:left w:w="28" w:type="dxa"/>
              <w:right w:w="28" w:type="dxa"/>
            </w:tcMar>
            <w:vAlign w:val="center"/>
          </w:tcPr>
          <w:p w14:paraId="60030F16">
            <w:pPr>
              <w:pStyle w:val="40"/>
              <w:keepNext w:val="0"/>
              <w:keepLines w:val="0"/>
              <w:suppressLineNumbers w:val="0"/>
              <w:bidi w:val="0"/>
              <w:spacing w:before="0" w:beforeAutospacing="0" w:after="0" w:afterAutospacing="0"/>
              <w:ind w:left="0" w:right="0"/>
              <w:rPr>
                <w:rFonts w:hint="eastAsia"/>
              </w:rPr>
            </w:pPr>
            <w:r>
              <w:rPr>
                <w:rFonts w:hint="eastAsia"/>
              </w:rPr>
              <w:t>污染</w:t>
            </w:r>
          </w:p>
          <w:p w14:paraId="6D080D10">
            <w:pPr>
              <w:pStyle w:val="40"/>
              <w:keepNext w:val="0"/>
              <w:keepLines w:val="0"/>
              <w:suppressLineNumbers w:val="0"/>
              <w:bidi w:val="0"/>
              <w:spacing w:before="0" w:beforeAutospacing="0" w:after="0" w:afterAutospacing="0"/>
              <w:ind w:left="0" w:right="0"/>
              <w:rPr>
                <w:rFonts w:hint="eastAsia"/>
              </w:rPr>
            </w:pPr>
            <w:r>
              <w:rPr>
                <w:rFonts w:hint="eastAsia"/>
              </w:rPr>
              <w:t>物排</w:t>
            </w:r>
          </w:p>
          <w:p w14:paraId="30DA6CF6">
            <w:pPr>
              <w:pStyle w:val="40"/>
              <w:keepNext w:val="0"/>
              <w:keepLines w:val="0"/>
              <w:suppressLineNumbers w:val="0"/>
              <w:bidi w:val="0"/>
              <w:spacing w:before="0" w:beforeAutospacing="0" w:after="0" w:afterAutospacing="0"/>
              <w:ind w:left="0" w:right="0"/>
              <w:rPr>
                <w:rFonts w:hint="eastAsia"/>
              </w:rPr>
            </w:pPr>
            <w:r>
              <w:rPr>
                <w:rFonts w:hint="eastAsia"/>
              </w:rPr>
              <w:t>放控</w:t>
            </w:r>
          </w:p>
          <w:p w14:paraId="137BF396">
            <w:pPr>
              <w:pStyle w:val="40"/>
              <w:keepNext w:val="0"/>
              <w:keepLines w:val="0"/>
              <w:suppressLineNumbers w:val="0"/>
              <w:bidi w:val="0"/>
              <w:spacing w:before="0" w:beforeAutospacing="0" w:after="0" w:afterAutospacing="0"/>
              <w:ind w:left="0" w:right="0"/>
              <w:rPr>
                <w:rFonts w:hint="eastAsia"/>
              </w:rPr>
            </w:pPr>
            <w:r>
              <w:rPr>
                <w:rFonts w:hint="eastAsia"/>
              </w:rPr>
              <w:t>制标</w:t>
            </w:r>
          </w:p>
          <w:p w14:paraId="669ACC32">
            <w:pPr>
              <w:pStyle w:val="40"/>
              <w:keepNext w:val="0"/>
              <w:keepLines w:val="0"/>
              <w:suppressLineNumbers w:val="0"/>
              <w:bidi w:val="0"/>
              <w:spacing w:before="0" w:beforeAutospacing="0" w:after="0" w:afterAutospacing="0"/>
              <w:ind w:left="0" w:right="0"/>
              <w:rPr>
                <w:rFonts w:hint="eastAsia"/>
              </w:rPr>
            </w:pPr>
            <w:r>
              <w:rPr>
                <w:rFonts w:hint="eastAsia"/>
              </w:rPr>
              <w:t>准</w:t>
            </w:r>
          </w:p>
        </w:tc>
        <w:tc>
          <w:tcPr>
            <w:tcW w:w="8190" w:type="dxa"/>
            <w:noWrap w:val="0"/>
            <w:vAlign w:val="center"/>
          </w:tcPr>
          <w:p w14:paraId="59AF4D17">
            <w:pPr>
              <w:pStyle w:val="3"/>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污染物排放标准</w:t>
            </w:r>
          </w:p>
          <w:p w14:paraId="5C25744F">
            <w:pPr>
              <w:pStyle w:val="4"/>
              <w:suppressLineNumbers w:val="0"/>
              <w:bidi w:val="0"/>
              <w:spacing w:before="0" w:beforeAutospacing="0" w:after="0" w:afterAutospacing="0"/>
              <w:ind w:left="0" w:right="0"/>
              <w:rPr>
                <w:rFonts w:hint="eastAsia"/>
                <w:lang w:val="en-US" w:eastAsia="zh-CN"/>
              </w:rPr>
            </w:pPr>
            <w:r>
              <w:rPr>
                <w:rFonts w:hint="eastAsia"/>
                <w:lang w:val="en-US" w:eastAsia="zh-CN"/>
              </w:rPr>
              <w:t>水污染物排放标准</w:t>
            </w:r>
          </w:p>
          <w:p w14:paraId="2109E54A">
            <w:pPr>
              <w:keepNext w:val="0"/>
              <w:keepLines w:val="0"/>
              <w:suppressLineNumbers w:val="0"/>
              <w:bidi w:val="0"/>
              <w:spacing w:before="0" w:beforeAutospacing="0" w:after="0" w:afterAutospacing="0"/>
              <w:ind w:left="0" w:right="0"/>
              <w:rPr>
                <w:rFonts w:hint="default"/>
                <w:lang w:val="en-US" w:eastAsia="zh-CN"/>
              </w:rPr>
            </w:pPr>
            <w:r>
              <w:rPr>
                <w:rFonts w:hint="eastAsia"/>
                <w:lang w:eastAsia="zh-CN"/>
              </w:rPr>
              <w:t>（</w:t>
            </w:r>
            <w:r>
              <w:rPr>
                <w:rFonts w:hint="eastAsia"/>
                <w:lang w:val="en-US" w:eastAsia="zh-CN"/>
              </w:rPr>
              <w:t>1</w:t>
            </w:r>
            <w:r>
              <w:rPr>
                <w:rFonts w:hint="eastAsia"/>
                <w:lang w:eastAsia="zh-CN"/>
              </w:rPr>
              <w:t>）</w:t>
            </w:r>
            <w:r>
              <w:rPr>
                <w:rFonts w:hint="eastAsia"/>
                <w:lang w:val="en-US" w:eastAsia="zh-CN"/>
              </w:rPr>
              <w:t>项目水污染物排放标准</w:t>
            </w:r>
          </w:p>
          <w:p w14:paraId="32FD95DB">
            <w:pPr>
              <w:keepNext w:val="0"/>
              <w:keepLines w:val="0"/>
              <w:suppressLineNumbers w:val="0"/>
              <w:bidi w:val="0"/>
              <w:spacing w:before="0" w:beforeAutospacing="0" w:after="0" w:afterAutospacing="0"/>
              <w:ind w:left="0" w:right="0"/>
              <w:rPr>
                <w:rFonts w:hint="eastAsia"/>
                <w:color w:val="auto"/>
              </w:rPr>
            </w:pPr>
            <w:r>
              <w:rPr>
                <w:rFonts w:hint="eastAsia"/>
              </w:rPr>
              <w:t>项目外排废水为职工生活污水，生活污水经厂内</w:t>
            </w:r>
            <w:r>
              <w:rPr>
                <w:rFonts w:hint="eastAsia"/>
                <w:lang w:val="en-US" w:eastAsia="zh-CN"/>
              </w:rPr>
              <w:t>化粪池</w:t>
            </w:r>
            <w:r>
              <w:rPr>
                <w:rFonts w:hint="eastAsia"/>
              </w:rPr>
              <w:t>处理后</w:t>
            </w:r>
            <w:r>
              <w:rPr>
                <w:rFonts w:hint="default"/>
                <w:lang w:val="en-US" w:eastAsia="zh-CN"/>
              </w:rPr>
              <w:t>排入市政污水管网</w:t>
            </w:r>
            <w:r>
              <w:rPr>
                <w:rFonts w:hint="eastAsia"/>
              </w:rPr>
              <w:t>接</w:t>
            </w:r>
            <w:r>
              <w:rPr>
                <w:rFonts w:hint="eastAsia"/>
                <w:lang w:val="en-US" w:eastAsia="zh-CN"/>
              </w:rPr>
              <w:t>福清市</w:t>
            </w:r>
            <w:r>
              <w:rPr>
                <w:rFonts w:hint="eastAsia"/>
              </w:rPr>
              <w:t>融元污水处理厂统一处理</w:t>
            </w:r>
            <w:r>
              <w:rPr>
                <w:rFonts w:hint="eastAsia"/>
                <w:lang w:val="en-US" w:eastAsia="zh-CN"/>
              </w:rPr>
              <w:t>，引至融元污水处理厂集中处理后，污水处理厂尾水最终排入龙江。生活</w:t>
            </w:r>
            <w:r>
              <w:rPr>
                <w:rFonts w:hint="eastAsia"/>
              </w:rPr>
              <w:t>污水污染物排放均执行《污水综合排放标准》</w:t>
            </w:r>
            <w:r>
              <w:rPr>
                <w:rFonts w:hint="eastAsia"/>
                <w:lang w:eastAsia="zh-CN"/>
              </w:rPr>
              <w:t>（</w:t>
            </w:r>
            <w:r>
              <w:rPr>
                <w:rFonts w:hint="eastAsia"/>
              </w:rPr>
              <w:t>GB8978-1996</w:t>
            </w:r>
            <w:r>
              <w:rPr>
                <w:rFonts w:hint="eastAsia"/>
                <w:lang w:eastAsia="zh-CN"/>
              </w:rPr>
              <w:t>）</w:t>
            </w:r>
            <w:r>
              <w:rPr>
                <w:rFonts w:hint="eastAsia"/>
              </w:rPr>
              <w:t>表4中三级排放标准</w:t>
            </w:r>
            <w:r>
              <w:rPr>
                <w:rFonts w:hint="eastAsia"/>
                <w:lang w:eastAsia="zh-CN"/>
              </w:rPr>
              <w:t>（</w:t>
            </w:r>
            <w:r>
              <w:rPr>
                <w:rFonts w:hint="eastAsia"/>
              </w:rPr>
              <w:t>其中氨氮</w:t>
            </w:r>
            <w:r>
              <w:rPr>
                <w:rFonts w:hint="eastAsia"/>
                <w:lang w:eastAsia="zh-CN"/>
              </w:rPr>
              <w:t>参照</w:t>
            </w:r>
            <w:r>
              <w:rPr>
                <w:rFonts w:hint="eastAsia"/>
              </w:rPr>
              <w:t>执行《污水排入城镇下水道水质标准》</w:t>
            </w:r>
            <w:r>
              <w:rPr>
                <w:rFonts w:hint="eastAsia"/>
                <w:lang w:eastAsia="zh-CN"/>
              </w:rPr>
              <w:t>（</w:t>
            </w:r>
            <w:r>
              <w:rPr>
                <w:rFonts w:hint="eastAsia"/>
              </w:rPr>
              <w:t>GB/T31962-2015</w:t>
            </w:r>
            <w:r>
              <w:rPr>
                <w:rFonts w:hint="eastAsia"/>
                <w:lang w:eastAsia="zh-CN"/>
              </w:rPr>
              <w:t>）</w:t>
            </w:r>
            <w:r>
              <w:rPr>
                <w:rFonts w:hint="eastAsia"/>
              </w:rPr>
              <w:t>表1中B级标准</w:t>
            </w:r>
            <w:r>
              <w:rPr>
                <w:rFonts w:hint="eastAsia"/>
                <w:lang w:eastAsia="zh-CN"/>
              </w:rPr>
              <w:t>）</w:t>
            </w:r>
            <w:r>
              <w:rPr>
                <w:rFonts w:hint="eastAsia"/>
              </w:rPr>
              <w:t>，标准值见表</w:t>
            </w:r>
            <w:r>
              <w:rPr>
                <w:rFonts w:hint="eastAsia"/>
                <w:lang w:val="en-US" w:eastAsia="zh-CN"/>
              </w:rPr>
              <w:t>3.7-1</w:t>
            </w:r>
            <w:r>
              <w:rPr>
                <w:rFonts w:hint="eastAsia"/>
              </w:rPr>
              <w:t>。</w:t>
            </w:r>
          </w:p>
          <w:p w14:paraId="5EF2DEC5">
            <w:pPr>
              <w:pStyle w:val="39"/>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表3.7-1  项目水污染物排放标准</w:t>
            </w:r>
          </w:p>
          <w:tbl>
            <w:tblPr>
              <w:tblStyle w:val="29"/>
              <w:tblW w:w="487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1971"/>
              <w:gridCol w:w="4008"/>
            </w:tblGrid>
            <w:tr w14:paraId="74DC4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6" w:type="pct"/>
                  <w:noWrap w:val="0"/>
                  <w:vAlign w:val="center"/>
                </w:tcPr>
                <w:p w14:paraId="43611BFB">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污染物名称</w:t>
                  </w:r>
                </w:p>
              </w:tc>
              <w:tc>
                <w:tcPr>
                  <w:tcW w:w="1266" w:type="pct"/>
                  <w:noWrap w:val="0"/>
                  <w:vAlign w:val="center"/>
                </w:tcPr>
                <w:p w14:paraId="54F9397E">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标准值</w:t>
                  </w:r>
                </w:p>
              </w:tc>
              <w:tc>
                <w:tcPr>
                  <w:tcW w:w="2576" w:type="pct"/>
                  <w:noWrap w:val="0"/>
                  <w:vAlign w:val="center"/>
                </w:tcPr>
                <w:p w14:paraId="4AAF07E3">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标准来源</w:t>
                  </w:r>
                </w:p>
              </w:tc>
            </w:tr>
            <w:tr w14:paraId="73B853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156" w:type="pct"/>
                  <w:noWrap w:val="0"/>
                  <w:vAlign w:val="center"/>
                </w:tcPr>
                <w:p w14:paraId="2C6A885B">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pH</w:t>
                  </w:r>
                </w:p>
              </w:tc>
              <w:tc>
                <w:tcPr>
                  <w:tcW w:w="1266" w:type="pct"/>
                  <w:noWrap w:val="0"/>
                  <w:vAlign w:val="center"/>
                </w:tcPr>
                <w:p w14:paraId="5267B766">
                  <w:pPr>
                    <w:pStyle w:val="38"/>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rPr>
                    <w:t xml:space="preserve">6～9 </w:t>
                  </w:r>
                  <w:r>
                    <w:rPr>
                      <w:rFonts w:hint="eastAsia"/>
                      <w:szCs w:val="22"/>
                      <w:lang w:eastAsia="zh-CN"/>
                    </w:rPr>
                    <w:t>（</w:t>
                  </w:r>
                  <w:r>
                    <w:rPr>
                      <w:rFonts w:hint="eastAsia"/>
                      <w:szCs w:val="22"/>
                    </w:rPr>
                    <w:t>无量纲</w:t>
                  </w:r>
                  <w:r>
                    <w:rPr>
                      <w:rFonts w:hint="eastAsia"/>
                      <w:szCs w:val="22"/>
                      <w:lang w:eastAsia="zh-CN"/>
                    </w:rPr>
                    <w:t>）</w:t>
                  </w:r>
                </w:p>
              </w:tc>
              <w:tc>
                <w:tcPr>
                  <w:tcW w:w="2576" w:type="pct"/>
                  <w:vMerge w:val="restart"/>
                  <w:noWrap w:val="0"/>
                  <w:vAlign w:val="center"/>
                </w:tcPr>
                <w:p w14:paraId="5A2FDFF5">
                  <w:pPr>
                    <w:pStyle w:val="38"/>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rPr>
                    <w:t>《污水综合排放标准》</w:t>
                  </w:r>
                  <w:r>
                    <w:rPr>
                      <w:rFonts w:hint="eastAsia"/>
                      <w:szCs w:val="22"/>
                      <w:lang w:eastAsia="zh-CN"/>
                    </w:rPr>
                    <w:t>（</w:t>
                  </w:r>
                  <w:r>
                    <w:rPr>
                      <w:rFonts w:hint="eastAsia"/>
                      <w:szCs w:val="22"/>
                    </w:rPr>
                    <w:t>GB8978-1996</w:t>
                  </w:r>
                  <w:r>
                    <w:rPr>
                      <w:rFonts w:hint="eastAsia"/>
                      <w:szCs w:val="22"/>
                      <w:lang w:eastAsia="zh-CN"/>
                    </w:rPr>
                    <w:t>）</w:t>
                  </w:r>
                </w:p>
                <w:p w14:paraId="2E063A6B">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中表4三级标准</w:t>
                  </w:r>
                </w:p>
              </w:tc>
            </w:tr>
            <w:tr w14:paraId="252F48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6" w:type="pct"/>
                  <w:noWrap w:val="0"/>
                  <w:vAlign w:val="center"/>
                </w:tcPr>
                <w:p w14:paraId="413581C1">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COD</w:t>
                  </w:r>
                </w:p>
              </w:tc>
              <w:tc>
                <w:tcPr>
                  <w:tcW w:w="1266" w:type="pct"/>
                  <w:noWrap w:val="0"/>
                  <w:vAlign w:val="center"/>
                </w:tcPr>
                <w:p w14:paraId="3B794B73">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500mg/L</w:t>
                  </w:r>
                </w:p>
              </w:tc>
              <w:tc>
                <w:tcPr>
                  <w:tcW w:w="2576" w:type="pct"/>
                  <w:vMerge w:val="continue"/>
                  <w:noWrap w:val="0"/>
                  <w:vAlign w:val="center"/>
                </w:tcPr>
                <w:p w14:paraId="1BD58BB2">
                  <w:pPr>
                    <w:pStyle w:val="38"/>
                    <w:keepNext w:val="0"/>
                    <w:keepLines w:val="0"/>
                    <w:widowControl/>
                    <w:suppressLineNumbers w:val="0"/>
                    <w:bidi w:val="0"/>
                    <w:spacing w:before="0" w:beforeAutospacing="0" w:after="0" w:afterAutospacing="0"/>
                    <w:ind w:left="0" w:right="0"/>
                    <w:rPr>
                      <w:rFonts w:hint="eastAsia"/>
                      <w:szCs w:val="22"/>
                    </w:rPr>
                  </w:pPr>
                </w:p>
              </w:tc>
            </w:tr>
            <w:tr w14:paraId="6346DD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6" w:type="pct"/>
                  <w:noWrap w:val="0"/>
                  <w:vAlign w:val="center"/>
                </w:tcPr>
                <w:p w14:paraId="5F792FE7">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BOD5</w:t>
                  </w:r>
                </w:p>
              </w:tc>
              <w:tc>
                <w:tcPr>
                  <w:tcW w:w="1266" w:type="pct"/>
                  <w:noWrap w:val="0"/>
                  <w:vAlign w:val="center"/>
                </w:tcPr>
                <w:p w14:paraId="61B81146">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300mg/L</w:t>
                  </w:r>
                </w:p>
              </w:tc>
              <w:tc>
                <w:tcPr>
                  <w:tcW w:w="2576" w:type="pct"/>
                  <w:vMerge w:val="continue"/>
                  <w:noWrap w:val="0"/>
                  <w:vAlign w:val="center"/>
                </w:tcPr>
                <w:p w14:paraId="4923A181">
                  <w:pPr>
                    <w:pStyle w:val="38"/>
                    <w:keepNext w:val="0"/>
                    <w:keepLines w:val="0"/>
                    <w:widowControl/>
                    <w:suppressLineNumbers w:val="0"/>
                    <w:bidi w:val="0"/>
                    <w:spacing w:before="0" w:beforeAutospacing="0" w:after="0" w:afterAutospacing="0"/>
                    <w:ind w:left="0" w:right="0"/>
                    <w:rPr>
                      <w:rFonts w:hint="eastAsia"/>
                      <w:szCs w:val="22"/>
                    </w:rPr>
                  </w:pPr>
                </w:p>
              </w:tc>
            </w:tr>
            <w:tr w14:paraId="0CF89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156" w:type="pct"/>
                  <w:noWrap w:val="0"/>
                  <w:vAlign w:val="center"/>
                </w:tcPr>
                <w:p w14:paraId="71D27767">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SS</w:t>
                  </w:r>
                </w:p>
              </w:tc>
              <w:tc>
                <w:tcPr>
                  <w:tcW w:w="1266" w:type="pct"/>
                  <w:noWrap w:val="0"/>
                  <w:vAlign w:val="center"/>
                </w:tcPr>
                <w:p w14:paraId="54285C24">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400mg/L</w:t>
                  </w:r>
                </w:p>
              </w:tc>
              <w:tc>
                <w:tcPr>
                  <w:tcW w:w="2576" w:type="pct"/>
                  <w:vMerge w:val="continue"/>
                  <w:noWrap w:val="0"/>
                  <w:vAlign w:val="center"/>
                </w:tcPr>
                <w:p w14:paraId="3C09FE13">
                  <w:pPr>
                    <w:pStyle w:val="38"/>
                    <w:keepNext w:val="0"/>
                    <w:keepLines w:val="0"/>
                    <w:widowControl/>
                    <w:suppressLineNumbers w:val="0"/>
                    <w:bidi w:val="0"/>
                    <w:spacing w:before="0" w:beforeAutospacing="0" w:after="0" w:afterAutospacing="0"/>
                    <w:ind w:left="0" w:right="0"/>
                    <w:rPr>
                      <w:rFonts w:hint="eastAsia"/>
                      <w:szCs w:val="22"/>
                    </w:rPr>
                  </w:pPr>
                </w:p>
              </w:tc>
            </w:tr>
            <w:tr w14:paraId="41C1B9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6" w:type="pct"/>
                  <w:noWrap w:val="0"/>
                  <w:vAlign w:val="center"/>
                </w:tcPr>
                <w:p w14:paraId="67BB22DB">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NH3-N</w:t>
                  </w:r>
                </w:p>
              </w:tc>
              <w:tc>
                <w:tcPr>
                  <w:tcW w:w="1266" w:type="pct"/>
                  <w:noWrap w:val="0"/>
                  <w:vAlign w:val="center"/>
                </w:tcPr>
                <w:p w14:paraId="65DB7A18">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45mg/L</w:t>
                  </w:r>
                </w:p>
              </w:tc>
              <w:tc>
                <w:tcPr>
                  <w:tcW w:w="2576" w:type="pct"/>
                  <w:noWrap w:val="0"/>
                  <w:vAlign w:val="center"/>
                </w:tcPr>
                <w:p w14:paraId="6A1C2343">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参照执行《污水排入城镇下水道水质标准》</w:t>
                  </w:r>
                  <w:r>
                    <w:rPr>
                      <w:rFonts w:hint="eastAsia"/>
                      <w:szCs w:val="22"/>
                      <w:lang w:eastAsia="zh-CN"/>
                    </w:rPr>
                    <w:t>（</w:t>
                  </w:r>
                  <w:r>
                    <w:rPr>
                      <w:rFonts w:hint="eastAsia"/>
                      <w:szCs w:val="22"/>
                    </w:rPr>
                    <w:t>GB/T 31962-2015</w:t>
                  </w:r>
                  <w:r>
                    <w:rPr>
                      <w:rFonts w:hint="eastAsia"/>
                      <w:szCs w:val="22"/>
                      <w:lang w:eastAsia="zh-CN"/>
                    </w:rPr>
                    <w:t>）</w:t>
                  </w:r>
                  <w:r>
                    <w:rPr>
                      <w:rFonts w:hint="eastAsia"/>
                      <w:szCs w:val="22"/>
                    </w:rPr>
                    <w:t>表1中B级标准</w:t>
                  </w:r>
                </w:p>
              </w:tc>
            </w:tr>
          </w:tbl>
          <w:p w14:paraId="64F89D78">
            <w:pPr>
              <w:keepNext w:val="0"/>
              <w:keepLines w:val="0"/>
              <w:suppressLineNumbers w:val="0"/>
              <w:bidi w:val="0"/>
              <w:spacing w:before="0" w:beforeAutospacing="0" w:after="0" w:afterAutospacing="0"/>
              <w:ind w:left="0" w:right="0"/>
              <w:rPr>
                <w:rFonts w:hint="eastAsia"/>
              </w:rPr>
            </w:pPr>
            <w:bookmarkStart w:id="23" w:name="_Toc490031198"/>
            <w:bookmarkStart w:id="24" w:name="_Toc492278611"/>
            <w:bookmarkStart w:id="25" w:name="_Toc461002554"/>
            <w:bookmarkStart w:id="26" w:name="_Toc7698"/>
            <w:r>
              <w:rPr>
                <w:rFonts w:hint="eastAsia"/>
                <w:lang w:eastAsia="zh-CN"/>
              </w:rPr>
              <w:t>（</w:t>
            </w:r>
            <w:r>
              <w:rPr>
                <w:rFonts w:hint="eastAsia"/>
                <w:lang w:val="en-US" w:eastAsia="zh-CN"/>
              </w:rPr>
              <w:t>2</w:t>
            </w:r>
            <w:r>
              <w:rPr>
                <w:rFonts w:hint="eastAsia"/>
                <w:lang w:eastAsia="zh-CN"/>
              </w:rPr>
              <w:t>）污水处理厂</w:t>
            </w:r>
            <w:r>
              <w:rPr>
                <w:rFonts w:hint="eastAsia"/>
              </w:rPr>
              <w:t>排放标准</w:t>
            </w:r>
          </w:p>
          <w:bookmarkEnd w:id="23"/>
          <w:bookmarkEnd w:id="24"/>
          <w:bookmarkEnd w:id="25"/>
          <w:bookmarkEnd w:id="26"/>
          <w:p w14:paraId="159D00A9">
            <w:pPr>
              <w:keepNext w:val="0"/>
              <w:keepLines w:val="0"/>
              <w:suppressLineNumbers w:val="0"/>
              <w:bidi w:val="0"/>
              <w:spacing w:before="0" w:beforeAutospacing="0" w:after="0" w:afterAutospacing="0"/>
              <w:ind w:left="0" w:right="0"/>
              <w:rPr>
                <w:rFonts w:hint="eastAsia"/>
              </w:rPr>
            </w:pPr>
            <w:r>
              <w:rPr>
                <w:rFonts w:hint="eastAsia"/>
              </w:rPr>
              <w:t>根据调查，福清市融元污水处理厂尾水排放执行《城镇污水处理厂污染物排放标准》</w:t>
            </w:r>
            <w:r>
              <w:rPr>
                <w:rFonts w:hint="eastAsia"/>
                <w:lang w:eastAsia="zh-CN"/>
              </w:rPr>
              <w:t>（</w:t>
            </w:r>
            <w:r>
              <w:rPr>
                <w:rFonts w:hint="eastAsia"/>
              </w:rPr>
              <w:t>GB18918-2002</w:t>
            </w:r>
            <w:r>
              <w:rPr>
                <w:rFonts w:hint="eastAsia"/>
                <w:lang w:eastAsia="zh-CN"/>
              </w:rPr>
              <w:t>）</w:t>
            </w:r>
            <w:r>
              <w:rPr>
                <w:rFonts w:hint="eastAsia"/>
              </w:rPr>
              <w:t>及其修改单表1的一级标准A标准，具体详见表</w:t>
            </w:r>
            <w:r>
              <w:rPr>
                <w:rFonts w:hint="eastAsia"/>
                <w:lang w:val="en-US" w:eastAsia="zh-CN"/>
              </w:rPr>
              <w:t>3.7-2</w:t>
            </w:r>
            <w:r>
              <w:rPr>
                <w:rFonts w:hint="eastAsia"/>
              </w:rPr>
              <w:t>。</w:t>
            </w:r>
          </w:p>
          <w:p w14:paraId="6AF4E8DB">
            <w:pPr>
              <w:pStyle w:val="39"/>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表3.7-2  污水处理厂污水排放标准</w:t>
            </w:r>
          </w:p>
          <w:tbl>
            <w:tblPr>
              <w:tblStyle w:val="2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2596"/>
              <w:gridCol w:w="3816"/>
            </w:tblGrid>
            <w:tr w14:paraId="3F674C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79" w:type="dxa"/>
                  <w:noWrap w:val="0"/>
                  <w:vAlign w:val="center"/>
                </w:tcPr>
                <w:p w14:paraId="3FDA277A">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污染物名称</w:t>
                  </w:r>
                </w:p>
              </w:tc>
              <w:tc>
                <w:tcPr>
                  <w:tcW w:w="2596" w:type="dxa"/>
                  <w:noWrap w:val="0"/>
                  <w:vAlign w:val="center"/>
                </w:tcPr>
                <w:p w14:paraId="1E8DB444">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一级标准A标准限值</w:t>
                  </w:r>
                </w:p>
              </w:tc>
              <w:tc>
                <w:tcPr>
                  <w:tcW w:w="3816" w:type="dxa"/>
                  <w:noWrap w:val="0"/>
                  <w:vAlign w:val="center"/>
                </w:tcPr>
                <w:p w14:paraId="7FC766D8">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标准来源</w:t>
                  </w:r>
                </w:p>
              </w:tc>
            </w:tr>
            <w:tr w14:paraId="1171D8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79" w:type="dxa"/>
                  <w:noWrap w:val="0"/>
                  <w:vAlign w:val="center"/>
                </w:tcPr>
                <w:p w14:paraId="01F71D27">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pH</w:t>
                  </w:r>
                </w:p>
              </w:tc>
              <w:tc>
                <w:tcPr>
                  <w:tcW w:w="2596" w:type="dxa"/>
                  <w:noWrap w:val="0"/>
                  <w:vAlign w:val="center"/>
                </w:tcPr>
                <w:p w14:paraId="3807A6C3">
                  <w:pPr>
                    <w:pStyle w:val="38"/>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rPr>
                    <w:t xml:space="preserve">6～9 </w:t>
                  </w:r>
                  <w:r>
                    <w:rPr>
                      <w:rFonts w:hint="eastAsia"/>
                      <w:szCs w:val="22"/>
                      <w:lang w:eastAsia="zh-CN"/>
                    </w:rPr>
                    <w:t>（</w:t>
                  </w:r>
                  <w:r>
                    <w:rPr>
                      <w:rFonts w:hint="eastAsia"/>
                      <w:szCs w:val="22"/>
                    </w:rPr>
                    <w:t>无量纲</w:t>
                  </w:r>
                  <w:r>
                    <w:rPr>
                      <w:rFonts w:hint="eastAsia"/>
                      <w:szCs w:val="22"/>
                      <w:lang w:eastAsia="zh-CN"/>
                    </w:rPr>
                    <w:t>）</w:t>
                  </w:r>
                </w:p>
              </w:tc>
              <w:tc>
                <w:tcPr>
                  <w:tcW w:w="3816" w:type="dxa"/>
                  <w:vMerge w:val="restart"/>
                  <w:noWrap w:val="0"/>
                  <w:vAlign w:val="center"/>
                </w:tcPr>
                <w:p w14:paraId="5DEDBE34">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《城镇污水处理厂污染物排放标准》</w:t>
                  </w:r>
                  <w:r>
                    <w:rPr>
                      <w:rFonts w:hint="eastAsia"/>
                      <w:szCs w:val="22"/>
                      <w:lang w:eastAsia="zh-CN"/>
                    </w:rPr>
                    <w:t>（</w:t>
                  </w:r>
                  <w:r>
                    <w:rPr>
                      <w:rFonts w:hint="eastAsia"/>
                      <w:szCs w:val="22"/>
                    </w:rPr>
                    <w:t>GB18918-2002</w:t>
                  </w:r>
                  <w:r>
                    <w:rPr>
                      <w:rFonts w:hint="eastAsia"/>
                      <w:szCs w:val="22"/>
                      <w:lang w:eastAsia="zh-CN"/>
                    </w:rPr>
                    <w:t>）</w:t>
                  </w:r>
                  <w:r>
                    <w:rPr>
                      <w:rFonts w:hint="eastAsia"/>
                      <w:szCs w:val="22"/>
                    </w:rPr>
                    <w:t>及其修改单表1的一级标准A标准</w:t>
                  </w:r>
                </w:p>
              </w:tc>
            </w:tr>
            <w:tr w14:paraId="7ED3BA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79" w:type="dxa"/>
                  <w:noWrap w:val="0"/>
                  <w:vAlign w:val="center"/>
                </w:tcPr>
                <w:p w14:paraId="3394B965">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COD</w:t>
                  </w:r>
                </w:p>
              </w:tc>
              <w:tc>
                <w:tcPr>
                  <w:tcW w:w="2596" w:type="dxa"/>
                  <w:noWrap w:val="0"/>
                  <w:vAlign w:val="center"/>
                </w:tcPr>
                <w:p w14:paraId="60C4A4F6">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50mg/L</w:t>
                  </w:r>
                </w:p>
              </w:tc>
              <w:tc>
                <w:tcPr>
                  <w:tcW w:w="3816" w:type="dxa"/>
                  <w:vMerge w:val="continue"/>
                  <w:noWrap w:val="0"/>
                  <w:vAlign w:val="center"/>
                </w:tcPr>
                <w:p w14:paraId="3AB371A5">
                  <w:pPr>
                    <w:pStyle w:val="38"/>
                    <w:keepNext w:val="0"/>
                    <w:keepLines w:val="0"/>
                    <w:widowControl/>
                    <w:suppressLineNumbers w:val="0"/>
                    <w:bidi w:val="0"/>
                    <w:spacing w:before="0" w:beforeAutospacing="0" w:after="0" w:afterAutospacing="0"/>
                    <w:ind w:left="0" w:right="0"/>
                    <w:rPr>
                      <w:rFonts w:hint="eastAsia"/>
                      <w:szCs w:val="22"/>
                    </w:rPr>
                  </w:pPr>
                </w:p>
              </w:tc>
            </w:tr>
            <w:tr w14:paraId="704A36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79" w:type="dxa"/>
                  <w:noWrap w:val="0"/>
                  <w:vAlign w:val="center"/>
                </w:tcPr>
                <w:p w14:paraId="4A445FD3">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BOD</w:t>
                  </w:r>
                  <w:r>
                    <w:rPr>
                      <w:rFonts w:hint="eastAsia"/>
                      <w:szCs w:val="22"/>
                      <w:vertAlign w:val="subscript"/>
                    </w:rPr>
                    <w:t>5</w:t>
                  </w:r>
                </w:p>
              </w:tc>
              <w:tc>
                <w:tcPr>
                  <w:tcW w:w="2596" w:type="dxa"/>
                  <w:noWrap w:val="0"/>
                  <w:vAlign w:val="center"/>
                </w:tcPr>
                <w:p w14:paraId="1C692C5E">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10mg/L</w:t>
                  </w:r>
                </w:p>
              </w:tc>
              <w:tc>
                <w:tcPr>
                  <w:tcW w:w="3816" w:type="dxa"/>
                  <w:vMerge w:val="continue"/>
                  <w:noWrap w:val="0"/>
                  <w:vAlign w:val="center"/>
                </w:tcPr>
                <w:p w14:paraId="1BADF799">
                  <w:pPr>
                    <w:pStyle w:val="38"/>
                    <w:keepNext w:val="0"/>
                    <w:keepLines w:val="0"/>
                    <w:widowControl/>
                    <w:suppressLineNumbers w:val="0"/>
                    <w:bidi w:val="0"/>
                    <w:spacing w:before="0" w:beforeAutospacing="0" w:after="0" w:afterAutospacing="0"/>
                    <w:ind w:left="0" w:right="0"/>
                    <w:rPr>
                      <w:rFonts w:hint="eastAsia"/>
                      <w:szCs w:val="22"/>
                    </w:rPr>
                  </w:pPr>
                </w:p>
              </w:tc>
            </w:tr>
            <w:tr w14:paraId="0DDBC8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79" w:type="dxa"/>
                  <w:noWrap w:val="0"/>
                  <w:vAlign w:val="center"/>
                </w:tcPr>
                <w:p w14:paraId="36EB25EE">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SS</w:t>
                  </w:r>
                </w:p>
              </w:tc>
              <w:tc>
                <w:tcPr>
                  <w:tcW w:w="2596" w:type="dxa"/>
                  <w:noWrap w:val="0"/>
                  <w:vAlign w:val="center"/>
                </w:tcPr>
                <w:p w14:paraId="50E3BCD1">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10mg/L</w:t>
                  </w:r>
                </w:p>
              </w:tc>
              <w:tc>
                <w:tcPr>
                  <w:tcW w:w="3816" w:type="dxa"/>
                  <w:vMerge w:val="continue"/>
                  <w:noWrap w:val="0"/>
                  <w:vAlign w:val="center"/>
                </w:tcPr>
                <w:p w14:paraId="17001969">
                  <w:pPr>
                    <w:pStyle w:val="38"/>
                    <w:keepNext w:val="0"/>
                    <w:keepLines w:val="0"/>
                    <w:widowControl/>
                    <w:suppressLineNumbers w:val="0"/>
                    <w:bidi w:val="0"/>
                    <w:spacing w:before="0" w:beforeAutospacing="0" w:after="0" w:afterAutospacing="0"/>
                    <w:ind w:left="0" w:right="0"/>
                    <w:rPr>
                      <w:rFonts w:hint="eastAsia"/>
                      <w:szCs w:val="22"/>
                    </w:rPr>
                  </w:pPr>
                </w:p>
              </w:tc>
            </w:tr>
            <w:tr w14:paraId="695B93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79" w:type="dxa"/>
                  <w:noWrap w:val="0"/>
                  <w:vAlign w:val="center"/>
                </w:tcPr>
                <w:p w14:paraId="1B32BCA3">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NH</w:t>
                  </w:r>
                  <w:r>
                    <w:rPr>
                      <w:rFonts w:hint="eastAsia"/>
                      <w:szCs w:val="22"/>
                      <w:vertAlign w:val="subscript"/>
                    </w:rPr>
                    <w:t>3</w:t>
                  </w:r>
                  <w:r>
                    <w:rPr>
                      <w:rFonts w:hint="eastAsia"/>
                      <w:szCs w:val="22"/>
                    </w:rPr>
                    <w:t>-N</w:t>
                  </w:r>
                </w:p>
              </w:tc>
              <w:tc>
                <w:tcPr>
                  <w:tcW w:w="2596" w:type="dxa"/>
                  <w:noWrap w:val="0"/>
                  <w:vAlign w:val="center"/>
                </w:tcPr>
                <w:p w14:paraId="56846FD7">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5mg/L</w:t>
                  </w:r>
                </w:p>
              </w:tc>
              <w:tc>
                <w:tcPr>
                  <w:tcW w:w="3816" w:type="dxa"/>
                  <w:vMerge w:val="continue"/>
                  <w:noWrap w:val="0"/>
                  <w:vAlign w:val="center"/>
                </w:tcPr>
                <w:p w14:paraId="6A66D988">
                  <w:pPr>
                    <w:pStyle w:val="38"/>
                    <w:keepNext w:val="0"/>
                    <w:keepLines w:val="0"/>
                    <w:widowControl/>
                    <w:suppressLineNumbers w:val="0"/>
                    <w:bidi w:val="0"/>
                    <w:spacing w:before="0" w:beforeAutospacing="0" w:after="0" w:afterAutospacing="0"/>
                    <w:ind w:left="0" w:right="0"/>
                    <w:rPr>
                      <w:rFonts w:hint="eastAsia"/>
                      <w:szCs w:val="22"/>
                    </w:rPr>
                  </w:pPr>
                </w:p>
              </w:tc>
            </w:tr>
          </w:tbl>
          <w:p w14:paraId="7B37B0AC">
            <w:pPr>
              <w:pStyle w:val="4"/>
              <w:suppressLineNumbers w:val="0"/>
              <w:bidi w:val="0"/>
              <w:spacing w:before="0" w:beforeAutospacing="0" w:after="0" w:afterAutospacing="0"/>
              <w:ind w:left="0" w:right="0"/>
              <w:rPr>
                <w:rFonts w:hint="eastAsia"/>
                <w:lang w:val="en-US" w:eastAsia="zh-CN"/>
              </w:rPr>
            </w:pPr>
            <w:r>
              <w:rPr>
                <w:rFonts w:hint="eastAsia"/>
                <w:lang w:val="en-US" w:eastAsia="zh-CN"/>
              </w:rPr>
              <w:t>大气污染物排放标准</w:t>
            </w:r>
          </w:p>
          <w:p w14:paraId="715667B9">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本项目运营期产生的废气主要来自喷漆、烘干、加烤的非甲烷总烃及颗粒物。</w:t>
            </w:r>
          </w:p>
          <w:p w14:paraId="08AD831E">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（1）有组织排放</w:t>
            </w:r>
          </w:p>
          <w:p w14:paraId="56422FE4">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本项目产生的非甲烷总烃有组织排放执行</w:t>
            </w:r>
            <w:r>
              <w:rPr>
                <w:rFonts w:hint="default"/>
                <w:lang w:val="en-US" w:eastAsia="zh-CN"/>
              </w:rPr>
              <w:t>《工业涂装工序挥发性有机物排放标准》（DB35/1783-2018）中表1标准中的涉涂装工序的其它行业</w:t>
            </w:r>
            <w:r>
              <w:rPr>
                <w:rFonts w:hint="eastAsia"/>
                <w:lang w:val="en-US" w:eastAsia="zh-CN"/>
              </w:rPr>
              <w:t>标准限值，颗粒物有组织排放执行GB16297-1996《大气污染物综合排放标准》表2中二级标准限值</w:t>
            </w:r>
            <w:r>
              <w:rPr>
                <w:rFonts w:hint="default"/>
                <w:lang w:val="en-US" w:eastAsia="zh-CN"/>
              </w:rPr>
              <w:t>。</w:t>
            </w:r>
            <w:r>
              <w:rPr>
                <w:rFonts w:hint="eastAsia"/>
                <w:lang w:val="en-US" w:eastAsia="zh-CN"/>
              </w:rPr>
              <w:t>具体见表3.7-3。</w:t>
            </w:r>
          </w:p>
          <w:p w14:paraId="05549251">
            <w:pPr>
              <w:keepNext w:val="0"/>
              <w:keepLines w:val="0"/>
              <w:suppressLineNumbers w:val="0"/>
              <w:bidi w:val="0"/>
              <w:spacing w:before="0" w:beforeAutospacing="0" w:after="0" w:afterAutospacing="0"/>
              <w:ind w:left="0" w:right="0"/>
              <w:rPr>
                <w:rFonts w:hint="default"/>
                <w:lang w:val="en-US" w:eastAsia="zh-CN"/>
              </w:rPr>
            </w:pPr>
            <w:r>
              <w:rPr>
                <w:rFonts w:hint="eastAsia" w:eastAsia="宋体"/>
                <w:szCs w:val="22"/>
                <w:lang w:eastAsia="zh-CN"/>
              </w:rPr>
              <w:t>三条生产线（1#、2#、3#）</w:t>
            </w:r>
            <w:r>
              <w:rPr>
                <w:rFonts w:hint="eastAsia"/>
                <w:lang w:val="en-US" w:eastAsia="zh-CN"/>
              </w:rPr>
              <w:t>产生的废气主要来自喷漆、烘干、加烤工序产生的非甲烷总烃及颗粒物，故三条生产线执行相同的排放标准，即非甲烷总烃有组织排放执行</w:t>
            </w:r>
            <w:r>
              <w:rPr>
                <w:rFonts w:hint="default"/>
                <w:lang w:val="en-US" w:eastAsia="zh-CN"/>
              </w:rPr>
              <w:t>《工业涂装工序挥发性有机物排放标准》（DB35/1783-2018）中表1标准中的涉涂装工序的其它行业</w:t>
            </w:r>
            <w:r>
              <w:rPr>
                <w:rFonts w:hint="eastAsia"/>
                <w:lang w:val="en-US" w:eastAsia="zh-CN"/>
              </w:rPr>
              <w:t>标准限值，颗粒物有组织排放执行《大气污染物综合排放标准》（GB16297-1996）表2中二级标准限值</w:t>
            </w:r>
            <w:r>
              <w:rPr>
                <w:rFonts w:hint="default"/>
                <w:lang w:val="en-US" w:eastAsia="zh-CN"/>
              </w:rPr>
              <w:t>。</w:t>
            </w:r>
          </w:p>
          <w:p w14:paraId="31EF23FB">
            <w:pPr>
              <w:pStyle w:val="39"/>
              <w:keepNext w:val="0"/>
              <w:keepLines w:val="0"/>
              <w:suppressLineNumbers w:val="0"/>
              <w:bidi w:val="0"/>
              <w:spacing w:before="0" w:beforeAutospacing="0" w:after="0" w:afterAutospacing="0"/>
              <w:ind w:left="0" w:right="0"/>
              <w:rPr>
                <w:rFonts w:hint="eastAsia"/>
              </w:rPr>
            </w:pPr>
            <w:r>
              <w:rPr>
                <w:rFonts w:hint="eastAsia"/>
              </w:rPr>
              <w:t>表</w:t>
            </w:r>
            <w:r>
              <w:rPr>
                <w:rFonts w:hint="eastAsia"/>
                <w:lang w:val="en-US" w:eastAsia="zh-CN"/>
              </w:rPr>
              <w:t>3.7-3</w:t>
            </w:r>
            <w:r>
              <w:rPr>
                <w:rFonts w:hint="eastAsia"/>
              </w:rPr>
              <w:t xml:space="preserve"> 有组织废气污染物排放标准</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17"/>
              <w:gridCol w:w="967"/>
              <w:gridCol w:w="1133"/>
              <w:gridCol w:w="1133"/>
              <w:gridCol w:w="2857"/>
            </w:tblGrid>
            <w:tr w14:paraId="72FED0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6" w:type="pct"/>
                  <w:noWrap w:val="0"/>
                  <w:vAlign w:val="center"/>
                </w:tcPr>
                <w:p w14:paraId="51A039EC">
                  <w:pPr>
                    <w:pStyle w:val="38"/>
                    <w:keepNext w:val="0"/>
                    <w:keepLines w:val="0"/>
                    <w:widowControl/>
                    <w:suppressLineNumbers w:val="0"/>
                    <w:bidi w:val="0"/>
                    <w:spacing w:before="0" w:beforeAutospacing="0" w:after="0" w:afterAutospacing="0"/>
                    <w:ind w:left="0" w:right="0"/>
                    <w:rPr>
                      <w:rFonts w:hint="eastAsia" w:eastAsia="宋体"/>
                      <w:color w:val="auto"/>
                      <w:szCs w:val="22"/>
                      <w:lang w:val="en-US" w:eastAsia="zh-CN"/>
                    </w:rPr>
                  </w:pPr>
                  <w:r>
                    <w:rPr>
                      <w:rFonts w:hint="eastAsia"/>
                      <w:color w:val="auto"/>
                      <w:szCs w:val="22"/>
                      <w:lang w:val="en-US" w:eastAsia="zh-CN"/>
                    </w:rPr>
                    <w:t>对应产线</w:t>
                  </w:r>
                </w:p>
              </w:tc>
              <w:tc>
                <w:tcPr>
                  <w:tcW w:w="574" w:type="pct"/>
                  <w:shd w:val="clear" w:color="auto" w:fill="auto"/>
                  <w:noWrap w:val="0"/>
                  <w:vAlign w:val="center"/>
                </w:tcPr>
                <w:p w14:paraId="530BEF0F">
                  <w:pPr>
                    <w:pStyle w:val="38"/>
                    <w:keepNext w:val="0"/>
                    <w:keepLines w:val="0"/>
                    <w:widowControl/>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2"/>
                      <w:lang w:val="en-US" w:eastAsia="zh-CN" w:bidi="ar-SA"/>
                    </w:rPr>
                  </w:pPr>
                  <w:r>
                    <w:rPr>
                      <w:rFonts w:hint="eastAsia"/>
                      <w:szCs w:val="22"/>
                    </w:rPr>
                    <w:t>污染物</w:t>
                  </w:r>
                </w:p>
              </w:tc>
              <w:tc>
                <w:tcPr>
                  <w:tcW w:w="606" w:type="pct"/>
                  <w:noWrap w:val="0"/>
                  <w:vAlign w:val="center"/>
                </w:tcPr>
                <w:p w14:paraId="5DAD453D">
                  <w:pPr>
                    <w:pStyle w:val="38"/>
                    <w:keepNext w:val="0"/>
                    <w:keepLines w:val="0"/>
                    <w:widowControl/>
                    <w:suppressLineNumbers w:val="0"/>
                    <w:bidi w:val="0"/>
                    <w:spacing w:before="0" w:beforeAutospacing="0" w:after="0" w:afterAutospacing="0"/>
                    <w:ind w:left="0" w:right="0"/>
                    <w:rPr>
                      <w:rFonts w:hint="default" w:eastAsia="宋体"/>
                      <w:szCs w:val="22"/>
                      <w:lang w:val="en-US" w:eastAsia="zh-CN"/>
                    </w:rPr>
                  </w:pPr>
                  <w:r>
                    <w:rPr>
                      <w:rFonts w:hint="eastAsia"/>
                      <w:szCs w:val="22"/>
                      <w:lang w:val="en-US" w:eastAsia="zh-CN"/>
                    </w:rPr>
                    <w:t>排气筒编号</w:t>
                  </w:r>
                </w:p>
              </w:tc>
              <w:tc>
                <w:tcPr>
                  <w:tcW w:w="710" w:type="pct"/>
                  <w:noWrap w:val="0"/>
                  <w:vAlign w:val="center"/>
                </w:tcPr>
                <w:p w14:paraId="337118DE">
                  <w:pPr>
                    <w:pStyle w:val="38"/>
                    <w:keepNext w:val="0"/>
                    <w:keepLines w:val="0"/>
                    <w:widowControl/>
                    <w:suppressLineNumbers w:val="0"/>
                    <w:bidi w:val="0"/>
                    <w:spacing w:before="0" w:beforeAutospacing="0" w:after="0" w:afterAutospacing="0"/>
                    <w:ind w:left="0" w:right="0"/>
                    <w:rPr>
                      <w:rFonts w:hint="eastAsia"/>
                      <w:color w:val="auto"/>
                      <w:szCs w:val="22"/>
                    </w:rPr>
                  </w:pPr>
                  <w:r>
                    <w:rPr>
                      <w:rFonts w:hint="eastAsia"/>
                      <w:szCs w:val="22"/>
                    </w:rPr>
                    <w:t>排放浓度（mg/m</w:t>
                  </w:r>
                  <w:r>
                    <w:rPr>
                      <w:rFonts w:hint="eastAsia"/>
                      <w:szCs w:val="22"/>
                      <w:vertAlign w:val="superscript"/>
                    </w:rPr>
                    <w:t>3</w:t>
                  </w:r>
                  <w:r>
                    <w:rPr>
                      <w:rFonts w:hint="eastAsia"/>
                      <w:szCs w:val="22"/>
                    </w:rPr>
                    <w:t>）</w:t>
                  </w:r>
                </w:p>
              </w:tc>
              <w:tc>
                <w:tcPr>
                  <w:tcW w:w="710" w:type="pct"/>
                  <w:noWrap w:val="0"/>
                  <w:vAlign w:val="center"/>
                </w:tcPr>
                <w:p w14:paraId="50273E15">
                  <w:pPr>
                    <w:pStyle w:val="38"/>
                    <w:keepNext w:val="0"/>
                    <w:keepLines w:val="0"/>
                    <w:widowControl/>
                    <w:suppressLineNumbers w:val="0"/>
                    <w:bidi w:val="0"/>
                    <w:spacing w:before="0" w:beforeAutospacing="0" w:after="0" w:afterAutospacing="0"/>
                    <w:ind w:left="0" w:right="0"/>
                    <w:rPr>
                      <w:rFonts w:hint="eastAsia"/>
                      <w:color w:val="auto"/>
                      <w:szCs w:val="22"/>
                    </w:rPr>
                  </w:pPr>
                  <w:r>
                    <w:rPr>
                      <w:rFonts w:hint="eastAsia"/>
                      <w:szCs w:val="22"/>
                    </w:rPr>
                    <w:t>排放速率（kg/h）</w:t>
                  </w:r>
                </w:p>
              </w:tc>
              <w:tc>
                <w:tcPr>
                  <w:tcW w:w="1791" w:type="pct"/>
                  <w:noWrap w:val="0"/>
                  <w:vAlign w:val="center"/>
                </w:tcPr>
                <w:p w14:paraId="775D9781">
                  <w:pPr>
                    <w:pStyle w:val="38"/>
                    <w:keepNext w:val="0"/>
                    <w:keepLines w:val="0"/>
                    <w:widowControl/>
                    <w:suppressLineNumbers w:val="0"/>
                    <w:bidi w:val="0"/>
                    <w:spacing w:before="0" w:beforeAutospacing="0" w:after="0" w:afterAutospacing="0"/>
                    <w:ind w:left="0" w:right="0"/>
                    <w:rPr>
                      <w:rFonts w:hint="eastAsia"/>
                      <w:color w:val="auto"/>
                      <w:szCs w:val="22"/>
                    </w:rPr>
                  </w:pPr>
                  <w:r>
                    <w:rPr>
                      <w:rFonts w:hint="eastAsia"/>
                      <w:szCs w:val="22"/>
                    </w:rPr>
                    <w:t>标准来源</w:t>
                  </w:r>
                </w:p>
              </w:tc>
            </w:tr>
            <w:tr w14:paraId="6204BD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606" w:type="pct"/>
                  <w:vMerge w:val="restart"/>
                  <w:noWrap w:val="0"/>
                  <w:vAlign w:val="center"/>
                </w:tcPr>
                <w:p w14:paraId="3C239FAA">
                  <w:pPr>
                    <w:pStyle w:val="38"/>
                    <w:keepNext w:val="0"/>
                    <w:keepLines w:val="0"/>
                    <w:widowControl/>
                    <w:suppressLineNumbers w:val="0"/>
                    <w:bidi w:val="0"/>
                    <w:spacing w:before="0" w:beforeAutospacing="0" w:after="0" w:afterAutospacing="0"/>
                    <w:ind w:left="0" w:right="0"/>
                    <w:rPr>
                      <w:rFonts w:hint="default"/>
                      <w:color w:val="auto"/>
                      <w:szCs w:val="22"/>
                      <w:lang w:val="en-US" w:eastAsia="zh-CN"/>
                    </w:rPr>
                  </w:pPr>
                  <w:r>
                    <w:rPr>
                      <w:rFonts w:hint="eastAsia"/>
                      <w:color w:val="auto"/>
                      <w:szCs w:val="22"/>
                      <w:lang w:val="en-US" w:eastAsia="zh-CN"/>
                    </w:rPr>
                    <w:t>生产线1#（</w:t>
                  </w:r>
                  <w:r>
                    <w:rPr>
                      <w:rFonts w:hint="eastAsia"/>
                      <w:szCs w:val="22"/>
                      <w:lang w:val="en-US" w:eastAsia="zh-CN"/>
                    </w:rPr>
                    <w:t>喷漆、烘干、加烤</w:t>
                  </w:r>
                  <w:r>
                    <w:rPr>
                      <w:rFonts w:hint="eastAsia"/>
                      <w:color w:val="auto"/>
                      <w:szCs w:val="22"/>
                      <w:lang w:val="en-US" w:eastAsia="zh-CN"/>
                    </w:rPr>
                    <w:t>）</w:t>
                  </w:r>
                </w:p>
              </w:tc>
              <w:tc>
                <w:tcPr>
                  <w:tcW w:w="574" w:type="pct"/>
                  <w:shd w:val="clear" w:color="auto" w:fill="auto"/>
                  <w:noWrap w:val="0"/>
                  <w:vAlign w:val="center"/>
                </w:tcPr>
                <w:p w14:paraId="59E04938">
                  <w:pPr>
                    <w:pStyle w:val="38"/>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kern w:val="2"/>
                      <w:sz w:val="21"/>
                      <w:szCs w:val="22"/>
                      <w:lang w:val="en-US" w:eastAsia="zh-CN" w:bidi="ar-SA"/>
                    </w:rPr>
                  </w:pPr>
                  <w:r>
                    <w:rPr>
                      <w:rFonts w:hint="default"/>
                      <w:szCs w:val="22"/>
                    </w:rPr>
                    <w:t>非甲烷总烃</w:t>
                  </w:r>
                </w:p>
              </w:tc>
              <w:tc>
                <w:tcPr>
                  <w:tcW w:w="606" w:type="pct"/>
                  <w:vMerge w:val="restart"/>
                  <w:noWrap w:val="0"/>
                  <w:vAlign w:val="center"/>
                </w:tcPr>
                <w:p w14:paraId="15C27946">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DA001</w:t>
                  </w:r>
                </w:p>
                <w:p w14:paraId="754742E1">
                  <w:pPr>
                    <w:pStyle w:val="38"/>
                    <w:keepNext w:val="0"/>
                    <w:keepLines w:val="0"/>
                    <w:widowControl/>
                    <w:suppressLineNumbers w:val="0"/>
                    <w:bidi w:val="0"/>
                    <w:spacing w:before="0" w:beforeAutospacing="0" w:after="0" w:afterAutospacing="0"/>
                    <w:ind w:left="0" w:right="0"/>
                    <w:rPr>
                      <w:rFonts w:hint="default" w:eastAsia="宋体"/>
                      <w:szCs w:val="22"/>
                      <w:lang w:val="en-US" w:eastAsia="zh-CN"/>
                    </w:rPr>
                  </w:pPr>
                  <w:r>
                    <w:rPr>
                      <w:rFonts w:hint="eastAsia"/>
                      <w:szCs w:val="22"/>
                      <w:lang w:val="en-US" w:eastAsia="zh-CN"/>
                    </w:rPr>
                    <w:t>（15m）</w:t>
                  </w:r>
                </w:p>
              </w:tc>
              <w:tc>
                <w:tcPr>
                  <w:tcW w:w="710" w:type="pct"/>
                  <w:noWrap w:val="0"/>
                  <w:vAlign w:val="center"/>
                </w:tcPr>
                <w:p w14:paraId="3E52CCA9">
                  <w:pPr>
                    <w:pStyle w:val="38"/>
                    <w:keepNext w:val="0"/>
                    <w:keepLines w:val="0"/>
                    <w:widowControl/>
                    <w:suppressLineNumbers w:val="0"/>
                    <w:bidi w:val="0"/>
                    <w:spacing w:before="0" w:beforeAutospacing="0" w:after="0" w:afterAutospacing="0"/>
                    <w:ind w:left="0" w:right="0"/>
                    <w:rPr>
                      <w:rFonts w:hint="eastAsia"/>
                      <w:color w:val="auto"/>
                      <w:szCs w:val="22"/>
                    </w:rPr>
                  </w:pPr>
                  <w:r>
                    <w:rPr>
                      <w:rFonts w:hint="default"/>
                      <w:szCs w:val="22"/>
                    </w:rPr>
                    <w:t>60</w:t>
                  </w:r>
                </w:p>
              </w:tc>
              <w:tc>
                <w:tcPr>
                  <w:tcW w:w="710" w:type="pct"/>
                  <w:noWrap w:val="0"/>
                  <w:vAlign w:val="center"/>
                </w:tcPr>
                <w:p w14:paraId="508EBB9F">
                  <w:pPr>
                    <w:pStyle w:val="38"/>
                    <w:keepNext w:val="0"/>
                    <w:keepLines w:val="0"/>
                    <w:widowControl/>
                    <w:suppressLineNumbers w:val="0"/>
                    <w:bidi w:val="0"/>
                    <w:spacing w:before="0" w:beforeAutospacing="0" w:after="0" w:afterAutospacing="0"/>
                    <w:ind w:left="0" w:right="0"/>
                    <w:rPr>
                      <w:rFonts w:hint="eastAsia"/>
                      <w:color w:val="auto"/>
                      <w:szCs w:val="22"/>
                    </w:rPr>
                  </w:pPr>
                  <w:r>
                    <w:rPr>
                      <w:rFonts w:hint="default"/>
                      <w:szCs w:val="22"/>
                    </w:rPr>
                    <w:t>2.5</w:t>
                  </w:r>
                </w:p>
              </w:tc>
              <w:tc>
                <w:tcPr>
                  <w:tcW w:w="1791" w:type="pct"/>
                  <w:noWrap w:val="0"/>
                  <w:vAlign w:val="center"/>
                </w:tcPr>
                <w:p w14:paraId="66629089">
                  <w:pPr>
                    <w:pStyle w:val="38"/>
                    <w:keepNext w:val="0"/>
                    <w:keepLines w:val="0"/>
                    <w:widowControl/>
                    <w:suppressLineNumbers w:val="0"/>
                    <w:bidi w:val="0"/>
                    <w:spacing w:before="0" w:beforeAutospacing="0" w:after="0" w:afterAutospacing="0"/>
                    <w:ind w:left="0" w:right="0"/>
                    <w:rPr>
                      <w:rFonts w:hint="eastAsia"/>
                      <w:color w:val="auto"/>
                      <w:szCs w:val="22"/>
                    </w:rPr>
                  </w:pPr>
                  <w:r>
                    <w:rPr>
                      <w:rFonts w:hint="default"/>
                      <w:szCs w:val="22"/>
                    </w:rPr>
                    <w:t>《工业涂装工序挥发性有机物排放标准》（DB35/1783-2018）</w:t>
                  </w:r>
                  <w:r>
                    <w:rPr>
                      <w:rFonts w:hint="default"/>
                      <w:szCs w:val="22"/>
                      <w:lang w:eastAsia="zh-CN"/>
                    </w:rPr>
                    <w:t>表</w:t>
                  </w:r>
                  <w:r>
                    <w:rPr>
                      <w:rFonts w:hint="default"/>
                      <w:szCs w:val="22"/>
                      <w:lang w:val="en-US" w:eastAsia="zh-CN"/>
                    </w:rPr>
                    <w:t>1标准</w:t>
                  </w:r>
                </w:p>
              </w:tc>
            </w:tr>
            <w:tr w14:paraId="125239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606" w:type="pct"/>
                  <w:vMerge w:val="continue"/>
                  <w:noWrap w:val="0"/>
                  <w:vAlign w:val="center"/>
                </w:tcPr>
                <w:p w14:paraId="0EF03DFB">
                  <w:pPr>
                    <w:pStyle w:val="38"/>
                    <w:keepNext w:val="0"/>
                    <w:keepLines w:val="0"/>
                    <w:widowControl/>
                    <w:suppressLineNumbers w:val="0"/>
                    <w:bidi w:val="0"/>
                    <w:spacing w:before="0" w:beforeAutospacing="0" w:after="0" w:afterAutospacing="0"/>
                    <w:ind w:left="0" w:right="0"/>
                    <w:rPr>
                      <w:rFonts w:hint="default"/>
                      <w:color w:val="auto"/>
                      <w:szCs w:val="21"/>
                      <w:lang w:val="en-US" w:eastAsia="zh-CN"/>
                    </w:rPr>
                  </w:pPr>
                </w:p>
              </w:tc>
              <w:tc>
                <w:tcPr>
                  <w:tcW w:w="574" w:type="pct"/>
                  <w:shd w:val="clear" w:color="auto" w:fill="auto"/>
                  <w:noWrap w:val="0"/>
                  <w:vAlign w:val="center"/>
                </w:tcPr>
                <w:p w14:paraId="1CF1A229">
                  <w:pPr>
                    <w:pStyle w:val="38"/>
                    <w:keepNext w:val="0"/>
                    <w:keepLines w:val="0"/>
                    <w:widowControl/>
                    <w:suppressLineNumbers w:val="0"/>
                    <w:bidi w:val="0"/>
                    <w:spacing w:before="0" w:beforeAutospacing="0" w:after="0" w:afterAutospacing="0"/>
                    <w:ind w:left="0" w:right="0"/>
                    <w:rPr>
                      <w:rFonts w:hint="eastAsia" w:ascii="Times New Roman" w:hAnsi="Times New Roman" w:eastAsia="宋体" w:cs="Times New Roman"/>
                      <w:color w:val="auto"/>
                      <w:kern w:val="2"/>
                      <w:sz w:val="21"/>
                      <w:szCs w:val="21"/>
                      <w:lang w:val="en-US" w:eastAsia="zh-CN" w:bidi="ar-SA"/>
                    </w:rPr>
                  </w:pPr>
                  <w:r>
                    <w:rPr>
                      <w:rFonts w:hint="eastAsia"/>
                      <w:szCs w:val="22"/>
                      <w:lang w:val="en-US" w:eastAsia="zh-CN"/>
                    </w:rPr>
                    <w:t>颗粒物</w:t>
                  </w:r>
                </w:p>
              </w:tc>
              <w:tc>
                <w:tcPr>
                  <w:tcW w:w="606" w:type="pct"/>
                  <w:vMerge w:val="continue"/>
                  <w:noWrap w:val="0"/>
                  <w:vAlign w:val="center"/>
                </w:tcPr>
                <w:p w14:paraId="5B33F88C">
                  <w:pPr>
                    <w:pStyle w:val="38"/>
                    <w:keepNext w:val="0"/>
                    <w:keepLines w:val="0"/>
                    <w:widowControl/>
                    <w:suppressLineNumbers w:val="0"/>
                    <w:bidi w:val="0"/>
                    <w:spacing w:before="0" w:beforeAutospacing="0" w:after="0" w:afterAutospacing="0"/>
                    <w:ind w:left="0" w:right="0"/>
                    <w:rPr>
                      <w:rFonts w:hint="eastAsia"/>
                      <w:szCs w:val="22"/>
                      <w:lang w:val="en-US" w:eastAsia="zh-CN"/>
                    </w:rPr>
                  </w:pPr>
                </w:p>
              </w:tc>
              <w:tc>
                <w:tcPr>
                  <w:tcW w:w="710" w:type="pct"/>
                  <w:noWrap w:val="0"/>
                  <w:vAlign w:val="center"/>
                </w:tcPr>
                <w:p w14:paraId="68456C86">
                  <w:pPr>
                    <w:pStyle w:val="38"/>
                    <w:keepNext w:val="0"/>
                    <w:keepLines w:val="0"/>
                    <w:widowControl/>
                    <w:suppressLineNumbers w:val="0"/>
                    <w:bidi w:val="0"/>
                    <w:spacing w:before="0" w:beforeAutospacing="0" w:after="0" w:afterAutospacing="0"/>
                    <w:ind w:left="0" w:right="0"/>
                    <w:rPr>
                      <w:rFonts w:hint="default"/>
                      <w:color w:val="auto"/>
                      <w:szCs w:val="21"/>
                      <w:lang w:val="en-US" w:eastAsia="zh-CN"/>
                    </w:rPr>
                  </w:pPr>
                  <w:r>
                    <w:rPr>
                      <w:rFonts w:hint="eastAsia"/>
                      <w:szCs w:val="22"/>
                      <w:lang w:val="en-US" w:eastAsia="zh-CN"/>
                    </w:rPr>
                    <w:t>120</w:t>
                  </w:r>
                </w:p>
              </w:tc>
              <w:tc>
                <w:tcPr>
                  <w:tcW w:w="710" w:type="pct"/>
                  <w:noWrap w:val="0"/>
                  <w:vAlign w:val="center"/>
                </w:tcPr>
                <w:p w14:paraId="7A1F12B9">
                  <w:pPr>
                    <w:pStyle w:val="38"/>
                    <w:keepNext w:val="0"/>
                    <w:keepLines w:val="0"/>
                    <w:widowControl/>
                    <w:suppressLineNumbers w:val="0"/>
                    <w:bidi w:val="0"/>
                    <w:spacing w:before="0" w:beforeAutospacing="0" w:after="0" w:afterAutospacing="0"/>
                    <w:ind w:left="0" w:right="0"/>
                    <w:rPr>
                      <w:rFonts w:hint="default"/>
                      <w:color w:val="auto"/>
                      <w:szCs w:val="21"/>
                      <w:lang w:val="en-US" w:eastAsia="zh-CN"/>
                    </w:rPr>
                  </w:pPr>
                  <w:r>
                    <w:rPr>
                      <w:rFonts w:hint="eastAsia"/>
                      <w:szCs w:val="22"/>
                      <w:lang w:val="en-US" w:eastAsia="zh-CN"/>
                    </w:rPr>
                    <w:t>3.5</w:t>
                  </w:r>
                </w:p>
              </w:tc>
              <w:tc>
                <w:tcPr>
                  <w:tcW w:w="1791" w:type="pct"/>
                  <w:noWrap w:val="0"/>
                  <w:vAlign w:val="center"/>
                </w:tcPr>
                <w:p w14:paraId="6B77B374">
                  <w:pPr>
                    <w:pStyle w:val="38"/>
                    <w:keepNext w:val="0"/>
                    <w:keepLines w:val="0"/>
                    <w:widowControl/>
                    <w:suppressLineNumbers w:val="0"/>
                    <w:bidi w:val="0"/>
                    <w:spacing w:before="0" w:beforeAutospacing="0" w:after="0" w:afterAutospacing="0"/>
                    <w:ind w:left="0" w:right="0"/>
                    <w:rPr>
                      <w:rFonts w:hint="default"/>
                      <w:color w:val="auto"/>
                      <w:szCs w:val="21"/>
                      <w:lang w:val="en-US"/>
                    </w:rPr>
                  </w:pPr>
                  <w:r>
                    <w:rPr>
                      <w:rFonts w:hint="eastAsia"/>
                      <w:szCs w:val="22"/>
                      <w:lang w:val="en-US" w:eastAsia="zh-CN"/>
                    </w:rPr>
                    <w:t>《大气污染物综合排放标准》（GB16297-1996）表2</w:t>
                  </w:r>
                </w:p>
              </w:tc>
            </w:tr>
            <w:tr w14:paraId="3D9BB9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606" w:type="pct"/>
                  <w:vMerge w:val="restart"/>
                  <w:noWrap w:val="0"/>
                  <w:vAlign w:val="center"/>
                </w:tcPr>
                <w:p w14:paraId="2456AA31">
                  <w:pPr>
                    <w:pStyle w:val="38"/>
                    <w:keepNext w:val="0"/>
                    <w:keepLines w:val="0"/>
                    <w:widowControl/>
                    <w:suppressLineNumbers w:val="0"/>
                    <w:bidi w:val="0"/>
                    <w:spacing w:before="0" w:beforeAutospacing="0" w:after="0" w:afterAutospacing="0"/>
                    <w:ind w:left="0" w:right="0"/>
                    <w:rPr>
                      <w:rFonts w:hint="default"/>
                      <w:color w:val="auto"/>
                      <w:szCs w:val="22"/>
                      <w:lang w:val="en-US" w:eastAsia="zh-CN"/>
                    </w:rPr>
                  </w:pPr>
                  <w:r>
                    <w:rPr>
                      <w:rFonts w:hint="eastAsia"/>
                      <w:color w:val="auto"/>
                      <w:szCs w:val="22"/>
                      <w:lang w:val="en-US" w:eastAsia="zh-CN"/>
                    </w:rPr>
                    <w:t>生产线2#、生产线3#（</w:t>
                  </w:r>
                  <w:r>
                    <w:rPr>
                      <w:rFonts w:hint="eastAsia"/>
                      <w:szCs w:val="22"/>
                      <w:lang w:val="en-US" w:eastAsia="zh-CN"/>
                    </w:rPr>
                    <w:t>喷漆、烘干、加烤</w:t>
                  </w:r>
                  <w:r>
                    <w:rPr>
                      <w:rFonts w:hint="eastAsia"/>
                      <w:color w:val="auto"/>
                      <w:szCs w:val="22"/>
                      <w:lang w:val="en-US" w:eastAsia="zh-CN"/>
                    </w:rPr>
                    <w:t>）</w:t>
                  </w:r>
                </w:p>
              </w:tc>
              <w:tc>
                <w:tcPr>
                  <w:tcW w:w="574" w:type="pct"/>
                  <w:shd w:val="clear" w:color="auto" w:fill="auto"/>
                  <w:noWrap w:val="0"/>
                  <w:vAlign w:val="center"/>
                </w:tcPr>
                <w:p w14:paraId="20A3D483">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rPr>
                    <w:t>非甲烷总烃</w:t>
                  </w:r>
                </w:p>
              </w:tc>
              <w:tc>
                <w:tcPr>
                  <w:tcW w:w="606" w:type="pct"/>
                  <w:vMerge w:val="restart"/>
                  <w:noWrap w:val="0"/>
                  <w:vAlign w:val="center"/>
                </w:tcPr>
                <w:p w14:paraId="7822D4E1">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DA002</w:t>
                  </w:r>
                </w:p>
                <w:p w14:paraId="1BD7A85F">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（15m）</w:t>
                  </w:r>
                </w:p>
              </w:tc>
              <w:tc>
                <w:tcPr>
                  <w:tcW w:w="710" w:type="pct"/>
                  <w:noWrap w:val="0"/>
                  <w:vAlign w:val="center"/>
                </w:tcPr>
                <w:p w14:paraId="748068A4">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rPr>
                    <w:t>60</w:t>
                  </w:r>
                </w:p>
              </w:tc>
              <w:tc>
                <w:tcPr>
                  <w:tcW w:w="710" w:type="pct"/>
                  <w:noWrap w:val="0"/>
                  <w:vAlign w:val="center"/>
                </w:tcPr>
                <w:p w14:paraId="7DC589C0">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rPr>
                    <w:t>2.5</w:t>
                  </w:r>
                </w:p>
              </w:tc>
              <w:tc>
                <w:tcPr>
                  <w:tcW w:w="1791" w:type="pct"/>
                  <w:noWrap w:val="0"/>
                  <w:vAlign w:val="center"/>
                </w:tcPr>
                <w:p w14:paraId="5ED33FDB">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rPr>
                    <w:t>《工业涂装工序挥发性有机物排放标准》（DB35/1783-2018）</w:t>
                  </w:r>
                  <w:r>
                    <w:rPr>
                      <w:rFonts w:hint="default"/>
                      <w:szCs w:val="22"/>
                      <w:lang w:eastAsia="zh-CN"/>
                    </w:rPr>
                    <w:t>表</w:t>
                  </w:r>
                  <w:r>
                    <w:rPr>
                      <w:rFonts w:hint="default"/>
                      <w:szCs w:val="22"/>
                      <w:lang w:val="en-US" w:eastAsia="zh-CN"/>
                    </w:rPr>
                    <w:t>1标准</w:t>
                  </w:r>
                </w:p>
              </w:tc>
            </w:tr>
            <w:tr w14:paraId="73E43A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606" w:type="pct"/>
                  <w:vMerge w:val="continue"/>
                  <w:noWrap w:val="0"/>
                  <w:vAlign w:val="center"/>
                </w:tcPr>
                <w:p w14:paraId="439DAC58">
                  <w:pPr>
                    <w:pStyle w:val="38"/>
                    <w:keepNext w:val="0"/>
                    <w:keepLines w:val="0"/>
                    <w:widowControl/>
                    <w:suppressLineNumbers w:val="0"/>
                    <w:bidi w:val="0"/>
                    <w:spacing w:before="0" w:beforeAutospacing="0" w:after="0" w:afterAutospacing="0"/>
                    <w:ind w:left="0" w:right="0"/>
                    <w:rPr>
                      <w:rFonts w:hint="eastAsia"/>
                      <w:szCs w:val="22"/>
                      <w:lang w:val="en-US" w:eastAsia="zh-CN"/>
                    </w:rPr>
                  </w:pPr>
                </w:p>
              </w:tc>
              <w:tc>
                <w:tcPr>
                  <w:tcW w:w="574" w:type="pct"/>
                  <w:shd w:val="clear" w:color="auto" w:fill="auto"/>
                  <w:noWrap w:val="0"/>
                  <w:vAlign w:val="center"/>
                </w:tcPr>
                <w:p w14:paraId="58D19F3D">
                  <w:pPr>
                    <w:pStyle w:val="38"/>
                    <w:keepNext w:val="0"/>
                    <w:keepLines w:val="0"/>
                    <w:widowControl/>
                    <w:suppressLineNumbers w:val="0"/>
                    <w:bidi w:val="0"/>
                    <w:spacing w:before="0" w:beforeAutospacing="0" w:after="0" w:afterAutospacing="0"/>
                    <w:ind w:left="0" w:right="0"/>
                    <w:rPr>
                      <w:rFonts w:hint="default"/>
                      <w:szCs w:val="22"/>
                    </w:rPr>
                  </w:pPr>
                  <w:r>
                    <w:rPr>
                      <w:rFonts w:hint="eastAsia"/>
                      <w:szCs w:val="22"/>
                      <w:lang w:val="en-US" w:eastAsia="zh-CN"/>
                    </w:rPr>
                    <w:t>颗粒物</w:t>
                  </w:r>
                </w:p>
              </w:tc>
              <w:tc>
                <w:tcPr>
                  <w:tcW w:w="606" w:type="pct"/>
                  <w:vMerge w:val="continue"/>
                  <w:noWrap w:val="0"/>
                  <w:vAlign w:val="center"/>
                </w:tcPr>
                <w:p w14:paraId="7F8FAA82">
                  <w:pPr>
                    <w:pStyle w:val="38"/>
                    <w:keepNext w:val="0"/>
                    <w:keepLines w:val="0"/>
                    <w:widowControl/>
                    <w:suppressLineNumbers w:val="0"/>
                    <w:bidi w:val="0"/>
                    <w:spacing w:before="0" w:beforeAutospacing="0" w:after="0" w:afterAutospacing="0"/>
                    <w:ind w:left="0" w:right="0"/>
                    <w:rPr>
                      <w:rFonts w:hint="eastAsia"/>
                      <w:szCs w:val="22"/>
                      <w:lang w:val="en-US" w:eastAsia="zh-CN"/>
                    </w:rPr>
                  </w:pPr>
                </w:p>
              </w:tc>
              <w:tc>
                <w:tcPr>
                  <w:tcW w:w="710" w:type="pct"/>
                  <w:noWrap w:val="0"/>
                  <w:vAlign w:val="center"/>
                </w:tcPr>
                <w:p w14:paraId="79FC3090">
                  <w:pPr>
                    <w:pStyle w:val="38"/>
                    <w:keepNext w:val="0"/>
                    <w:keepLines w:val="0"/>
                    <w:widowControl/>
                    <w:suppressLineNumbers w:val="0"/>
                    <w:bidi w:val="0"/>
                    <w:spacing w:before="0" w:beforeAutospacing="0" w:after="0" w:afterAutospacing="0"/>
                    <w:ind w:left="0" w:right="0"/>
                    <w:rPr>
                      <w:rFonts w:hint="default"/>
                      <w:szCs w:val="22"/>
                    </w:rPr>
                  </w:pPr>
                  <w:r>
                    <w:rPr>
                      <w:rFonts w:hint="eastAsia"/>
                      <w:szCs w:val="22"/>
                      <w:lang w:val="en-US" w:eastAsia="zh-CN"/>
                    </w:rPr>
                    <w:t>120</w:t>
                  </w:r>
                </w:p>
              </w:tc>
              <w:tc>
                <w:tcPr>
                  <w:tcW w:w="710" w:type="pct"/>
                  <w:noWrap w:val="0"/>
                  <w:vAlign w:val="center"/>
                </w:tcPr>
                <w:p w14:paraId="321335F2">
                  <w:pPr>
                    <w:pStyle w:val="38"/>
                    <w:keepNext w:val="0"/>
                    <w:keepLines w:val="0"/>
                    <w:widowControl/>
                    <w:suppressLineNumbers w:val="0"/>
                    <w:bidi w:val="0"/>
                    <w:spacing w:before="0" w:beforeAutospacing="0" w:after="0" w:afterAutospacing="0"/>
                    <w:ind w:left="0" w:right="0"/>
                    <w:rPr>
                      <w:rFonts w:hint="default"/>
                      <w:szCs w:val="22"/>
                    </w:rPr>
                  </w:pPr>
                  <w:r>
                    <w:rPr>
                      <w:rFonts w:hint="eastAsia"/>
                      <w:szCs w:val="22"/>
                      <w:lang w:val="en-US" w:eastAsia="zh-CN"/>
                    </w:rPr>
                    <w:t>3.5</w:t>
                  </w:r>
                </w:p>
              </w:tc>
              <w:tc>
                <w:tcPr>
                  <w:tcW w:w="1791" w:type="pct"/>
                  <w:noWrap w:val="0"/>
                  <w:vAlign w:val="center"/>
                </w:tcPr>
                <w:p w14:paraId="68437AF9">
                  <w:pPr>
                    <w:pStyle w:val="38"/>
                    <w:keepNext w:val="0"/>
                    <w:keepLines w:val="0"/>
                    <w:widowControl/>
                    <w:suppressLineNumbers w:val="0"/>
                    <w:bidi w:val="0"/>
                    <w:spacing w:before="0" w:beforeAutospacing="0" w:after="0" w:afterAutospacing="0"/>
                    <w:ind w:left="0" w:right="0"/>
                    <w:rPr>
                      <w:rFonts w:hint="default"/>
                      <w:szCs w:val="22"/>
                    </w:rPr>
                  </w:pPr>
                  <w:r>
                    <w:rPr>
                      <w:rFonts w:hint="eastAsia"/>
                      <w:szCs w:val="22"/>
                      <w:lang w:val="en-US" w:eastAsia="zh-CN"/>
                    </w:rPr>
                    <w:t>《大气污染物综合排放标准》（GB16297-1996）表2</w:t>
                  </w:r>
                </w:p>
              </w:tc>
            </w:tr>
            <w:tr w14:paraId="61A52E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606" w:type="pct"/>
                  <w:vMerge w:val="restart"/>
                  <w:noWrap w:val="0"/>
                  <w:vAlign w:val="center"/>
                </w:tcPr>
                <w:p w14:paraId="5256F689">
                  <w:pPr>
                    <w:pStyle w:val="38"/>
                    <w:keepNext w:val="0"/>
                    <w:keepLines w:val="0"/>
                    <w:widowControl/>
                    <w:suppressLineNumbers w:val="0"/>
                    <w:bidi w:val="0"/>
                    <w:spacing w:before="0" w:beforeAutospacing="0" w:after="0" w:afterAutospacing="0"/>
                    <w:ind w:left="0" w:leftChars="0" w:right="0" w:rightChars="0"/>
                    <w:rPr>
                      <w:rFonts w:hint="eastAsia"/>
                      <w:szCs w:val="22"/>
                      <w:lang w:val="en-US" w:eastAsia="zh-CN"/>
                    </w:rPr>
                  </w:pPr>
                  <w:r>
                    <w:rPr>
                      <w:rFonts w:hint="eastAsia"/>
                      <w:color w:val="auto"/>
                      <w:szCs w:val="22"/>
                      <w:lang w:val="en-US" w:eastAsia="zh-CN"/>
                    </w:rPr>
                    <w:t>生产线3#（</w:t>
                  </w:r>
                  <w:r>
                    <w:rPr>
                      <w:rFonts w:hint="eastAsia"/>
                      <w:szCs w:val="22"/>
                      <w:lang w:val="en-US" w:eastAsia="zh-CN"/>
                    </w:rPr>
                    <w:t>喷漆、烘干、加烤</w:t>
                  </w:r>
                  <w:r>
                    <w:rPr>
                      <w:rFonts w:hint="eastAsia"/>
                      <w:color w:val="auto"/>
                      <w:szCs w:val="22"/>
                      <w:lang w:val="en-US" w:eastAsia="zh-CN"/>
                    </w:rPr>
                    <w:t>）</w:t>
                  </w:r>
                </w:p>
              </w:tc>
              <w:tc>
                <w:tcPr>
                  <w:tcW w:w="574" w:type="pct"/>
                  <w:shd w:val="clear" w:color="auto" w:fill="auto"/>
                  <w:noWrap w:val="0"/>
                  <w:vAlign w:val="center"/>
                </w:tcPr>
                <w:p w14:paraId="684F5637">
                  <w:pPr>
                    <w:pStyle w:val="38"/>
                    <w:keepNext w:val="0"/>
                    <w:keepLines w:val="0"/>
                    <w:widowControl/>
                    <w:suppressLineNumbers w:val="0"/>
                    <w:bidi w:val="0"/>
                    <w:spacing w:before="0" w:beforeAutospacing="0" w:after="0" w:afterAutospacing="0"/>
                    <w:ind w:left="0" w:leftChars="0" w:right="0" w:rightChars="0"/>
                    <w:rPr>
                      <w:rFonts w:hint="eastAsia"/>
                      <w:szCs w:val="22"/>
                      <w:lang w:val="en-US" w:eastAsia="zh-CN"/>
                    </w:rPr>
                  </w:pPr>
                  <w:r>
                    <w:rPr>
                      <w:rFonts w:hint="default"/>
                      <w:szCs w:val="22"/>
                    </w:rPr>
                    <w:t>非甲烷总烃</w:t>
                  </w:r>
                </w:p>
              </w:tc>
              <w:tc>
                <w:tcPr>
                  <w:tcW w:w="606" w:type="pct"/>
                  <w:vMerge w:val="restart"/>
                  <w:noWrap w:val="0"/>
                  <w:vAlign w:val="center"/>
                </w:tcPr>
                <w:p w14:paraId="23D38850">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DA003</w:t>
                  </w:r>
                </w:p>
                <w:p w14:paraId="028B5F65">
                  <w:pPr>
                    <w:pStyle w:val="38"/>
                    <w:keepNext w:val="0"/>
                    <w:keepLines w:val="0"/>
                    <w:widowControl/>
                    <w:suppressLineNumbers w:val="0"/>
                    <w:bidi w:val="0"/>
                    <w:spacing w:before="0" w:beforeAutospacing="0" w:after="0" w:afterAutospacing="0"/>
                    <w:ind w:left="0" w:leftChars="0" w:right="0" w:rightChars="0"/>
                    <w:rPr>
                      <w:rFonts w:hint="eastAsia"/>
                      <w:szCs w:val="22"/>
                      <w:lang w:val="en-US" w:eastAsia="zh-CN"/>
                    </w:rPr>
                  </w:pPr>
                  <w:r>
                    <w:rPr>
                      <w:rFonts w:hint="eastAsia"/>
                      <w:szCs w:val="22"/>
                      <w:lang w:val="en-US" w:eastAsia="zh-CN"/>
                    </w:rPr>
                    <w:t>（15m）</w:t>
                  </w:r>
                </w:p>
              </w:tc>
              <w:tc>
                <w:tcPr>
                  <w:tcW w:w="710" w:type="pct"/>
                  <w:noWrap w:val="0"/>
                  <w:vAlign w:val="center"/>
                </w:tcPr>
                <w:p w14:paraId="1C540859">
                  <w:pPr>
                    <w:pStyle w:val="38"/>
                    <w:keepNext w:val="0"/>
                    <w:keepLines w:val="0"/>
                    <w:widowControl/>
                    <w:suppressLineNumbers w:val="0"/>
                    <w:bidi w:val="0"/>
                    <w:spacing w:before="0" w:beforeAutospacing="0" w:after="0" w:afterAutospacing="0"/>
                    <w:ind w:left="0" w:leftChars="0" w:right="0" w:rightChars="0"/>
                    <w:rPr>
                      <w:rFonts w:hint="eastAsia"/>
                      <w:szCs w:val="22"/>
                      <w:lang w:val="en-US" w:eastAsia="zh-CN"/>
                    </w:rPr>
                  </w:pPr>
                  <w:r>
                    <w:rPr>
                      <w:rFonts w:hint="default"/>
                      <w:szCs w:val="22"/>
                    </w:rPr>
                    <w:t>60</w:t>
                  </w:r>
                </w:p>
              </w:tc>
              <w:tc>
                <w:tcPr>
                  <w:tcW w:w="710" w:type="pct"/>
                  <w:noWrap w:val="0"/>
                  <w:vAlign w:val="center"/>
                </w:tcPr>
                <w:p w14:paraId="0BAD32F0">
                  <w:pPr>
                    <w:pStyle w:val="38"/>
                    <w:keepNext w:val="0"/>
                    <w:keepLines w:val="0"/>
                    <w:widowControl/>
                    <w:suppressLineNumbers w:val="0"/>
                    <w:bidi w:val="0"/>
                    <w:spacing w:before="0" w:beforeAutospacing="0" w:after="0" w:afterAutospacing="0"/>
                    <w:ind w:left="0" w:leftChars="0" w:right="0" w:rightChars="0"/>
                    <w:rPr>
                      <w:rFonts w:hint="eastAsia"/>
                      <w:szCs w:val="22"/>
                      <w:lang w:val="en-US" w:eastAsia="zh-CN"/>
                    </w:rPr>
                  </w:pPr>
                  <w:r>
                    <w:rPr>
                      <w:rFonts w:hint="default"/>
                      <w:szCs w:val="22"/>
                    </w:rPr>
                    <w:t>2.5</w:t>
                  </w:r>
                </w:p>
              </w:tc>
              <w:tc>
                <w:tcPr>
                  <w:tcW w:w="1791" w:type="pct"/>
                  <w:noWrap w:val="0"/>
                  <w:vAlign w:val="center"/>
                </w:tcPr>
                <w:p w14:paraId="0E32DB6E">
                  <w:pPr>
                    <w:pStyle w:val="38"/>
                    <w:keepNext w:val="0"/>
                    <w:keepLines w:val="0"/>
                    <w:widowControl/>
                    <w:suppressLineNumbers w:val="0"/>
                    <w:bidi w:val="0"/>
                    <w:spacing w:before="0" w:beforeAutospacing="0" w:after="0" w:afterAutospacing="0"/>
                    <w:ind w:left="0" w:leftChars="0" w:right="0" w:rightChars="0"/>
                    <w:rPr>
                      <w:rFonts w:hint="eastAsia"/>
                      <w:szCs w:val="22"/>
                      <w:lang w:val="en-US" w:eastAsia="zh-CN"/>
                    </w:rPr>
                  </w:pPr>
                  <w:r>
                    <w:rPr>
                      <w:rFonts w:hint="default"/>
                      <w:szCs w:val="22"/>
                    </w:rPr>
                    <w:t>《工业涂装工序挥发性有机物排放标准》（DB35/1783-2018）</w:t>
                  </w:r>
                  <w:r>
                    <w:rPr>
                      <w:rFonts w:hint="default"/>
                      <w:szCs w:val="22"/>
                      <w:lang w:eastAsia="zh-CN"/>
                    </w:rPr>
                    <w:t>表</w:t>
                  </w:r>
                  <w:r>
                    <w:rPr>
                      <w:rFonts w:hint="default"/>
                      <w:szCs w:val="22"/>
                      <w:lang w:val="en-US" w:eastAsia="zh-CN"/>
                    </w:rPr>
                    <w:t>1标准</w:t>
                  </w:r>
                </w:p>
              </w:tc>
            </w:tr>
            <w:tr w14:paraId="3B5855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606" w:type="pct"/>
                  <w:vMerge w:val="continue"/>
                  <w:noWrap w:val="0"/>
                  <w:vAlign w:val="center"/>
                </w:tcPr>
                <w:p w14:paraId="424A3ACF">
                  <w:pPr>
                    <w:pStyle w:val="38"/>
                    <w:keepNext w:val="0"/>
                    <w:keepLines w:val="0"/>
                    <w:widowControl/>
                    <w:suppressLineNumbers w:val="0"/>
                    <w:bidi w:val="0"/>
                    <w:spacing w:before="0" w:beforeAutospacing="0" w:after="0" w:afterAutospacing="0"/>
                    <w:ind w:left="0" w:leftChars="0" w:right="0" w:rightChars="0"/>
                    <w:rPr>
                      <w:rFonts w:hint="eastAsia"/>
                      <w:szCs w:val="22"/>
                      <w:lang w:val="en-US" w:eastAsia="zh-CN"/>
                    </w:rPr>
                  </w:pPr>
                </w:p>
              </w:tc>
              <w:tc>
                <w:tcPr>
                  <w:tcW w:w="574" w:type="pct"/>
                  <w:shd w:val="clear" w:color="auto" w:fill="auto"/>
                  <w:noWrap w:val="0"/>
                  <w:vAlign w:val="center"/>
                </w:tcPr>
                <w:p w14:paraId="12A5C12F">
                  <w:pPr>
                    <w:pStyle w:val="38"/>
                    <w:keepNext w:val="0"/>
                    <w:keepLines w:val="0"/>
                    <w:widowControl/>
                    <w:suppressLineNumbers w:val="0"/>
                    <w:bidi w:val="0"/>
                    <w:spacing w:before="0" w:beforeAutospacing="0" w:after="0" w:afterAutospacing="0"/>
                    <w:ind w:left="0" w:leftChars="0" w:right="0" w:rightChars="0"/>
                    <w:rPr>
                      <w:rFonts w:hint="eastAsia"/>
                      <w:szCs w:val="22"/>
                      <w:lang w:val="en-US" w:eastAsia="zh-CN"/>
                    </w:rPr>
                  </w:pPr>
                  <w:r>
                    <w:rPr>
                      <w:rFonts w:hint="eastAsia"/>
                      <w:szCs w:val="22"/>
                      <w:lang w:val="en-US" w:eastAsia="zh-CN"/>
                    </w:rPr>
                    <w:t>颗粒物</w:t>
                  </w:r>
                </w:p>
              </w:tc>
              <w:tc>
                <w:tcPr>
                  <w:tcW w:w="606" w:type="pct"/>
                  <w:vMerge w:val="continue"/>
                  <w:noWrap w:val="0"/>
                  <w:vAlign w:val="center"/>
                </w:tcPr>
                <w:p w14:paraId="5B6234C0">
                  <w:pPr>
                    <w:pStyle w:val="38"/>
                    <w:keepNext w:val="0"/>
                    <w:keepLines w:val="0"/>
                    <w:widowControl/>
                    <w:suppressLineNumbers w:val="0"/>
                    <w:bidi w:val="0"/>
                    <w:spacing w:before="0" w:beforeAutospacing="0" w:after="0" w:afterAutospacing="0"/>
                    <w:ind w:left="0" w:leftChars="0" w:right="0" w:rightChars="0"/>
                    <w:rPr>
                      <w:rFonts w:hint="eastAsia"/>
                      <w:szCs w:val="22"/>
                      <w:lang w:val="en-US" w:eastAsia="zh-CN"/>
                    </w:rPr>
                  </w:pPr>
                </w:p>
              </w:tc>
              <w:tc>
                <w:tcPr>
                  <w:tcW w:w="710" w:type="pct"/>
                  <w:noWrap w:val="0"/>
                  <w:vAlign w:val="center"/>
                </w:tcPr>
                <w:p w14:paraId="458D9229">
                  <w:pPr>
                    <w:pStyle w:val="38"/>
                    <w:keepNext w:val="0"/>
                    <w:keepLines w:val="0"/>
                    <w:widowControl/>
                    <w:suppressLineNumbers w:val="0"/>
                    <w:bidi w:val="0"/>
                    <w:spacing w:before="0" w:beforeAutospacing="0" w:after="0" w:afterAutospacing="0"/>
                    <w:ind w:left="0" w:leftChars="0" w:right="0" w:rightChars="0"/>
                    <w:rPr>
                      <w:rFonts w:hint="eastAsia"/>
                      <w:szCs w:val="22"/>
                      <w:lang w:val="en-US" w:eastAsia="zh-CN"/>
                    </w:rPr>
                  </w:pPr>
                  <w:r>
                    <w:rPr>
                      <w:rFonts w:hint="eastAsia"/>
                      <w:szCs w:val="22"/>
                      <w:lang w:val="en-US" w:eastAsia="zh-CN"/>
                    </w:rPr>
                    <w:t>120</w:t>
                  </w:r>
                </w:p>
              </w:tc>
              <w:tc>
                <w:tcPr>
                  <w:tcW w:w="710" w:type="pct"/>
                  <w:noWrap w:val="0"/>
                  <w:vAlign w:val="center"/>
                </w:tcPr>
                <w:p w14:paraId="4D72D420">
                  <w:pPr>
                    <w:pStyle w:val="38"/>
                    <w:keepNext w:val="0"/>
                    <w:keepLines w:val="0"/>
                    <w:widowControl/>
                    <w:suppressLineNumbers w:val="0"/>
                    <w:bidi w:val="0"/>
                    <w:spacing w:before="0" w:beforeAutospacing="0" w:after="0" w:afterAutospacing="0"/>
                    <w:ind w:left="0" w:leftChars="0" w:right="0" w:rightChars="0"/>
                    <w:rPr>
                      <w:rFonts w:hint="eastAsia"/>
                      <w:szCs w:val="22"/>
                      <w:lang w:val="en-US" w:eastAsia="zh-CN"/>
                    </w:rPr>
                  </w:pPr>
                  <w:r>
                    <w:rPr>
                      <w:rFonts w:hint="eastAsia"/>
                      <w:szCs w:val="22"/>
                      <w:lang w:val="en-US" w:eastAsia="zh-CN"/>
                    </w:rPr>
                    <w:t>3.5</w:t>
                  </w:r>
                </w:p>
              </w:tc>
              <w:tc>
                <w:tcPr>
                  <w:tcW w:w="1791" w:type="pct"/>
                  <w:noWrap w:val="0"/>
                  <w:vAlign w:val="center"/>
                </w:tcPr>
                <w:p w14:paraId="18521518">
                  <w:pPr>
                    <w:pStyle w:val="38"/>
                    <w:keepNext w:val="0"/>
                    <w:keepLines w:val="0"/>
                    <w:widowControl/>
                    <w:suppressLineNumbers w:val="0"/>
                    <w:bidi w:val="0"/>
                    <w:spacing w:before="0" w:beforeAutospacing="0" w:after="0" w:afterAutospacing="0"/>
                    <w:ind w:left="0" w:leftChars="0" w:right="0" w:rightChars="0"/>
                    <w:rPr>
                      <w:rFonts w:hint="eastAsia"/>
                      <w:szCs w:val="22"/>
                      <w:lang w:val="en-US" w:eastAsia="zh-CN"/>
                    </w:rPr>
                  </w:pPr>
                  <w:r>
                    <w:rPr>
                      <w:rFonts w:hint="eastAsia"/>
                      <w:szCs w:val="22"/>
                      <w:lang w:val="en-US" w:eastAsia="zh-CN"/>
                    </w:rPr>
                    <w:t>《大气污染物综合排放标准》（GB16297-1996）表2</w:t>
                  </w:r>
                </w:p>
              </w:tc>
            </w:tr>
          </w:tbl>
          <w:p w14:paraId="2798C561">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（2）无组织排放</w:t>
            </w:r>
          </w:p>
          <w:p w14:paraId="02E65D25">
            <w:pPr>
              <w:keepNext w:val="0"/>
              <w:keepLines w:val="0"/>
              <w:suppressLineNumbers w:val="0"/>
              <w:bidi w:val="0"/>
              <w:spacing w:before="0" w:beforeAutospacing="0" w:after="0" w:afterAutospacing="0"/>
              <w:ind w:left="0" w:right="0"/>
              <w:rPr>
                <w:rFonts w:hint="default"/>
                <w:lang w:val="en-US" w:eastAsia="zh-CN"/>
              </w:rPr>
            </w:pPr>
            <w:r>
              <w:rPr>
                <w:rFonts w:hint="eastAsia"/>
              </w:rPr>
              <w:t>本项目</w:t>
            </w:r>
            <w:r>
              <w:rPr>
                <w:rFonts w:hint="eastAsia"/>
                <w:lang w:val="en-US" w:eastAsia="zh-CN"/>
              </w:rPr>
              <w:t>喷漆、烘干、加烤</w:t>
            </w:r>
            <w:r>
              <w:rPr>
                <w:rFonts w:hint="eastAsia"/>
              </w:rPr>
              <w:t>工序</w:t>
            </w:r>
            <w:r>
              <w:rPr>
                <w:rFonts w:hint="eastAsia"/>
                <w:lang w:val="en-US" w:eastAsia="zh-CN"/>
              </w:rPr>
              <w:t>部分</w:t>
            </w:r>
            <w:r>
              <w:rPr>
                <w:rFonts w:hint="eastAsia"/>
              </w:rPr>
              <w:t>非甲烷总烃</w:t>
            </w:r>
            <w:r>
              <w:rPr>
                <w:rFonts w:hint="eastAsia"/>
                <w:lang w:val="en-US" w:eastAsia="zh-CN"/>
              </w:rPr>
              <w:t>会</w:t>
            </w:r>
            <w:r>
              <w:rPr>
                <w:rFonts w:hint="eastAsia"/>
              </w:rPr>
              <w:t>以无组织形式逸散，</w:t>
            </w:r>
            <w:r>
              <w:rPr>
                <w:rFonts w:hint="eastAsia"/>
                <w:lang w:val="en-US" w:eastAsia="zh-CN"/>
              </w:rPr>
              <w:t>打磨</w:t>
            </w:r>
            <w:r>
              <w:rPr>
                <w:rFonts w:hint="eastAsia"/>
              </w:rPr>
              <w:t>工序</w:t>
            </w:r>
            <w:r>
              <w:rPr>
                <w:rFonts w:hint="eastAsia"/>
                <w:lang w:val="en-US" w:eastAsia="zh-CN"/>
              </w:rPr>
              <w:t>颗粒物</w:t>
            </w:r>
            <w:r>
              <w:rPr>
                <w:rFonts w:hint="eastAsia"/>
              </w:rPr>
              <w:t>产生量极小，统一按无组织排放。</w:t>
            </w:r>
          </w:p>
          <w:p w14:paraId="03FCBE77">
            <w:pPr>
              <w:keepNext w:val="0"/>
              <w:keepLines w:val="0"/>
              <w:suppressLineNumbers w:val="0"/>
              <w:wordWrap w:val="0"/>
              <w:spacing w:before="0" w:beforeAutospacing="0" w:after="0" w:afterAutospacing="0"/>
              <w:ind w:left="0" w:right="0" w:firstLine="480" w:firstLineChars="200"/>
              <w:rPr>
                <w:rFonts w:hint="default" w:ascii="Times New Roman" w:hAnsi="Times New Roman" w:eastAsia="宋体" w:cs="Times New Roman"/>
                <w:b w:val="0"/>
                <w:bCs w:val="0"/>
                <w:iCs w:val="0"/>
                <w:color w:val="auto"/>
                <w:sz w:val="24"/>
                <w:szCs w:val="24"/>
                <w:highlight w:val="none"/>
                <w:u w:val="none"/>
                <w:shd w:val="clear" w:color="auto" w:fill="FFFFFF"/>
                <w:lang w:val="en-US" w:eastAsia="zh-CN"/>
              </w:rPr>
            </w:pPr>
            <w:r>
              <w:rPr>
                <w:rFonts w:hint="eastAsia" w:ascii="Times New Roman" w:hAnsi="Times New Roman" w:eastAsia="宋体" w:cs="Times New Roman"/>
                <w:b w:val="0"/>
                <w:bCs w:val="0"/>
                <w:iCs w:val="0"/>
                <w:color w:val="auto"/>
                <w:sz w:val="24"/>
                <w:szCs w:val="24"/>
                <w:highlight w:val="none"/>
                <w:u w:val="none"/>
                <w:shd w:val="clear" w:color="auto" w:fill="FFFFFF"/>
                <w:lang w:val="en-US" w:eastAsia="zh-CN"/>
              </w:rPr>
              <w:t>无组织非甲烷总烃</w:t>
            </w:r>
            <w:r>
              <w:rPr>
                <w:rFonts w:hint="eastAsia" w:cs="Times New Roman"/>
                <w:b w:val="0"/>
                <w:bCs w:val="0"/>
                <w:iCs w:val="0"/>
                <w:color w:val="auto"/>
                <w:sz w:val="24"/>
                <w:szCs w:val="24"/>
                <w:highlight w:val="none"/>
                <w:u w:val="none"/>
                <w:shd w:val="clear" w:color="auto" w:fill="FFFFFF"/>
                <w:lang w:val="en-US" w:eastAsia="zh-CN"/>
              </w:rPr>
              <w:t>厂区内、厂界监控点浓度限值</w:t>
            </w:r>
            <w:r>
              <w:rPr>
                <w:rFonts w:hint="eastAsia" w:ascii="Times New Roman" w:hAnsi="Times New Roman" w:eastAsia="宋体" w:cs="Times New Roman"/>
                <w:b w:val="0"/>
                <w:bCs w:val="0"/>
                <w:iCs w:val="0"/>
                <w:color w:val="auto"/>
                <w:sz w:val="24"/>
                <w:szCs w:val="24"/>
                <w:highlight w:val="none"/>
                <w:u w:val="none"/>
                <w:shd w:val="clear" w:color="auto" w:fill="FFFFFF"/>
                <w:lang w:val="en-US" w:eastAsia="zh-CN"/>
              </w:rPr>
              <w:t>行</w:t>
            </w:r>
            <w:r>
              <w:rPr>
                <w:rFonts w:hint="eastAsia"/>
                <w:color w:val="auto"/>
              </w:rPr>
              <w:t>《工业涂装工序挥发性有机物排放标准》（DB35/1783-2018）表</w:t>
            </w:r>
            <w:r>
              <w:rPr>
                <w:rFonts w:hint="eastAsia"/>
                <w:color w:val="auto"/>
                <w:lang w:val="en-US" w:eastAsia="zh-CN"/>
              </w:rPr>
              <w:t>3、表4</w:t>
            </w:r>
            <w:r>
              <w:rPr>
                <w:rFonts w:hint="default" w:ascii="Times New Roman" w:hAnsi="Times New Roman" w:eastAsia="宋体" w:cs="Times New Roman"/>
                <w:color w:val="auto"/>
                <w:kern w:val="0"/>
                <w:sz w:val="24"/>
                <w:szCs w:val="22"/>
                <w:highlight w:val="none"/>
                <w:lang w:val="en-US" w:eastAsia="zh-CN" w:bidi="ar-SA"/>
              </w:rPr>
              <w:t>中标准限值</w:t>
            </w:r>
            <w:r>
              <w:rPr>
                <w:rFonts w:hint="default" w:ascii="Times New Roman" w:hAnsi="Times New Roman" w:eastAsia="宋体" w:cs="Times New Roman"/>
                <w:b w:val="0"/>
                <w:bCs w:val="0"/>
                <w:iCs w:val="0"/>
                <w:color w:val="auto"/>
                <w:sz w:val="24"/>
                <w:szCs w:val="24"/>
                <w:highlight w:val="none"/>
                <w:u w:val="none"/>
                <w:shd w:val="clear" w:color="auto" w:fill="FFFFFF"/>
                <w:lang w:val="en-US" w:eastAsia="zh-CN"/>
              </w:rPr>
              <w:t>。</w:t>
            </w:r>
          </w:p>
          <w:p w14:paraId="0F7D8AEB">
            <w:pPr>
              <w:keepNext w:val="0"/>
              <w:keepLines w:val="0"/>
              <w:suppressLineNumbers w:val="0"/>
              <w:wordWrap w:val="0"/>
              <w:spacing w:before="0" w:beforeAutospacing="0" w:after="0" w:afterAutospacing="0"/>
              <w:ind w:left="0" w:right="0" w:firstLine="480" w:firstLineChars="200"/>
              <w:rPr>
                <w:rFonts w:hint="eastAsia" w:eastAsia="宋体" w:cs="Times New Roman"/>
                <w:b w:val="0"/>
                <w:bCs w:val="0"/>
                <w:iCs w:val="0"/>
                <w:color w:val="auto"/>
                <w:sz w:val="24"/>
                <w:szCs w:val="24"/>
                <w:highlight w:val="none"/>
                <w:u w:val="none"/>
                <w:shd w:val="clear" w:color="auto" w:fill="FFFFFF"/>
                <w:lang w:val="en-US" w:eastAsia="zh-CN"/>
              </w:rPr>
            </w:pPr>
            <w:r>
              <w:rPr>
                <w:rFonts w:hint="default" w:ascii="Times New Roman" w:hAnsi="Times New Roman" w:eastAsia="宋体" w:cs="Times New Roman"/>
                <w:b w:val="0"/>
                <w:bCs w:val="0"/>
                <w:iCs w:val="0"/>
                <w:color w:val="auto"/>
                <w:sz w:val="24"/>
                <w:szCs w:val="24"/>
                <w:highlight w:val="none"/>
                <w:u w:val="none"/>
                <w:shd w:val="clear" w:color="auto" w:fill="FFFFFF"/>
                <w:lang w:val="en-US" w:eastAsia="zh-CN"/>
              </w:rPr>
              <w:t>根据《福建省生态环境厅关于国家和地方相关大气污染物排放标准执行有关事项的通知》文中要求，非甲烷总烃厂区内监控点处</w:t>
            </w:r>
            <w:r>
              <w:rPr>
                <w:rFonts w:hint="eastAsia" w:cs="Times New Roman"/>
                <w:b w:val="0"/>
                <w:bCs w:val="0"/>
                <w:iCs w:val="0"/>
                <w:color w:val="auto"/>
                <w:sz w:val="24"/>
                <w:szCs w:val="24"/>
                <w:highlight w:val="none"/>
                <w:u w:val="none"/>
                <w:shd w:val="clear" w:color="auto" w:fill="FFFFFF"/>
                <w:lang w:val="en-US" w:eastAsia="zh-CN"/>
              </w:rPr>
              <w:t>任意一次浓度值</w:t>
            </w:r>
            <w:r>
              <w:rPr>
                <w:rFonts w:hint="default" w:ascii="Times New Roman" w:hAnsi="Times New Roman" w:eastAsia="宋体" w:cs="Times New Roman"/>
                <w:b w:val="0"/>
                <w:bCs w:val="0"/>
                <w:iCs w:val="0"/>
                <w:color w:val="auto"/>
                <w:sz w:val="24"/>
                <w:szCs w:val="24"/>
                <w:highlight w:val="none"/>
                <w:u w:val="none"/>
                <w:shd w:val="clear" w:color="auto" w:fill="FFFFFF"/>
                <w:lang w:val="en-US" w:eastAsia="zh-CN"/>
              </w:rPr>
              <w:t>应符合《挥发性有机物无组织排放控制标准》（GB37822-2019）中表A.1</w:t>
            </w:r>
            <w:r>
              <w:rPr>
                <w:rFonts w:hint="eastAsia" w:cs="Times New Roman"/>
                <w:b w:val="0"/>
                <w:bCs w:val="0"/>
                <w:iCs w:val="0"/>
                <w:color w:val="auto"/>
                <w:sz w:val="24"/>
                <w:szCs w:val="24"/>
                <w:highlight w:val="none"/>
                <w:u w:val="none"/>
                <w:shd w:val="clear" w:color="auto" w:fill="FFFFFF"/>
                <w:lang w:val="en-US" w:eastAsia="zh-CN"/>
              </w:rPr>
              <w:t>特别</w:t>
            </w:r>
            <w:r>
              <w:rPr>
                <w:rFonts w:hint="default" w:ascii="Times New Roman" w:hAnsi="Times New Roman" w:eastAsia="宋体" w:cs="Times New Roman"/>
                <w:b w:val="0"/>
                <w:bCs w:val="0"/>
                <w:iCs w:val="0"/>
                <w:color w:val="auto"/>
                <w:sz w:val="24"/>
                <w:szCs w:val="24"/>
                <w:highlight w:val="none"/>
                <w:u w:val="none"/>
                <w:shd w:val="clear" w:color="auto" w:fill="FFFFFF"/>
                <w:lang w:val="en-US" w:eastAsia="zh-CN"/>
              </w:rPr>
              <w:t>排放限值要求</w:t>
            </w:r>
            <w:r>
              <w:rPr>
                <w:rFonts w:hint="eastAsia" w:cs="Times New Roman"/>
                <w:b w:val="0"/>
                <w:bCs w:val="0"/>
                <w:iCs w:val="0"/>
                <w:color w:val="auto"/>
                <w:sz w:val="24"/>
                <w:szCs w:val="24"/>
                <w:highlight w:val="none"/>
                <w:u w:val="none"/>
                <w:shd w:val="clear" w:color="auto" w:fill="FFFFFF"/>
                <w:lang w:val="en-US" w:eastAsia="zh-CN"/>
              </w:rPr>
              <w:t>。</w:t>
            </w:r>
          </w:p>
          <w:p w14:paraId="498520A4">
            <w:pPr>
              <w:keepNext w:val="0"/>
              <w:keepLines w:val="0"/>
              <w:suppressLineNumbers w:val="0"/>
              <w:bidi w:val="0"/>
              <w:spacing w:before="0" w:beforeAutospacing="0" w:after="0" w:afterAutospacing="0"/>
              <w:ind w:left="0" w:right="0"/>
              <w:rPr>
                <w:rFonts w:hint="default"/>
              </w:rPr>
            </w:pPr>
            <w:r>
              <w:rPr>
                <w:rFonts w:hint="eastAsia"/>
                <w:lang w:val="en-US" w:eastAsia="zh-CN"/>
              </w:rPr>
              <w:t>喷漆、烘干、加烤及打磨</w:t>
            </w:r>
            <w:r>
              <w:rPr>
                <w:rFonts w:hint="eastAsia"/>
              </w:rPr>
              <w:t>工序产生的少量颗粒物</w:t>
            </w:r>
            <w:r>
              <w:rPr>
                <w:rFonts w:hint="eastAsia"/>
                <w:lang w:val="en-US" w:eastAsia="zh-CN"/>
              </w:rPr>
              <w:t>厂界执行</w:t>
            </w:r>
            <w:r>
              <w:rPr>
                <w:rFonts w:hint="default"/>
              </w:rPr>
              <w:t>《大气污染物综合排放标准》</w:t>
            </w:r>
            <w:r>
              <w:rPr>
                <w:rFonts w:hint="eastAsia"/>
                <w:lang w:eastAsia="zh-CN"/>
              </w:rPr>
              <w:t>（</w:t>
            </w:r>
            <w:r>
              <w:rPr>
                <w:rFonts w:hint="default"/>
              </w:rPr>
              <w:t>GB 16297—1996</w:t>
            </w:r>
            <w:r>
              <w:rPr>
                <w:rFonts w:hint="eastAsia"/>
                <w:lang w:eastAsia="zh-CN"/>
              </w:rPr>
              <w:t>）</w:t>
            </w:r>
            <w:r>
              <w:rPr>
                <w:rFonts w:hint="eastAsia"/>
                <w:lang w:val="en-US" w:eastAsia="zh-CN"/>
              </w:rPr>
              <w:t>表2 “其他”，</w:t>
            </w:r>
            <w:r>
              <w:rPr>
                <w:rFonts w:hint="default"/>
                <w:lang w:val="en-US" w:eastAsia="zh-CN"/>
              </w:rPr>
              <w:t>具体见表</w:t>
            </w:r>
            <w:r>
              <w:rPr>
                <w:rFonts w:hint="eastAsia"/>
                <w:lang w:val="en-US" w:eastAsia="zh-CN"/>
              </w:rPr>
              <w:t>3.7-4</w:t>
            </w:r>
            <w:r>
              <w:rPr>
                <w:rFonts w:hint="default"/>
                <w:lang w:val="en-US" w:eastAsia="zh-CN"/>
              </w:rPr>
              <w:t>。</w:t>
            </w:r>
          </w:p>
          <w:p w14:paraId="552E5089">
            <w:pPr>
              <w:pStyle w:val="39"/>
              <w:keepNext w:val="0"/>
              <w:keepLines w:val="0"/>
              <w:suppressLineNumbers w:val="0"/>
              <w:bidi w:val="0"/>
              <w:spacing w:before="0" w:beforeAutospacing="0" w:after="0" w:afterAutospacing="0"/>
              <w:ind w:left="0" w:right="0"/>
              <w:rPr>
                <w:rFonts w:hint="default"/>
              </w:rPr>
            </w:pPr>
            <w:r>
              <w:rPr>
                <w:rFonts w:hint="default"/>
              </w:rPr>
              <w:t>表</w:t>
            </w:r>
            <w:r>
              <w:rPr>
                <w:rFonts w:hint="eastAsia"/>
                <w:lang w:val="en-US" w:eastAsia="zh-CN"/>
              </w:rPr>
              <w:t>3.7-4</w:t>
            </w:r>
            <w:r>
              <w:rPr>
                <w:rFonts w:hint="default"/>
              </w:rPr>
              <w:t xml:space="preserve"> 无组织废气污染物排放标准</w:t>
            </w:r>
          </w:p>
          <w:tbl>
            <w:tblPr>
              <w:tblStyle w:val="29"/>
              <w:tblW w:w="79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1120"/>
              <w:gridCol w:w="1874"/>
              <w:gridCol w:w="3932"/>
            </w:tblGrid>
            <w:tr w14:paraId="48C900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52" w:type="dxa"/>
                  <w:vMerge w:val="restart"/>
                  <w:noWrap w:val="0"/>
                  <w:vAlign w:val="center"/>
                </w:tcPr>
                <w:p w14:paraId="1D153CEC">
                  <w:pPr>
                    <w:pStyle w:val="38"/>
                    <w:keepNext w:val="0"/>
                    <w:keepLines w:val="0"/>
                    <w:widowControl/>
                    <w:suppressLineNumbers w:val="0"/>
                    <w:bidi w:val="0"/>
                    <w:spacing w:before="0" w:beforeAutospacing="0" w:after="0" w:afterAutospacing="0"/>
                    <w:ind w:left="0" w:right="0"/>
                    <w:rPr>
                      <w:rFonts w:hint="eastAsia"/>
                      <w:color w:val="auto"/>
                      <w:szCs w:val="22"/>
                    </w:rPr>
                  </w:pPr>
                  <w:r>
                    <w:rPr>
                      <w:rFonts w:hint="eastAsia"/>
                      <w:szCs w:val="22"/>
                    </w:rPr>
                    <w:t>污染物</w:t>
                  </w:r>
                </w:p>
              </w:tc>
              <w:tc>
                <w:tcPr>
                  <w:tcW w:w="2994" w:type="dxa"/>
                  <w:gridSpan w:val="2"/>
                  <w:noWrap w:val="0"/>
                  <w:vAlign w:val="center"/>
                </w:tcPr>
                <w:p w14:paraId="3EDB2721">
                  <w:pPr>
                    <w:pStyle w:val="38"/>
                    <w:keepNext w:val="0"/>
                    <w:keepLines w:val="0"/>
                    <w:widowControl/>
                    <w:suppressLineNumbers w:val="0"/>
                    <w:bidi w:val="0"/>
                    <w:spacing w:before="0" w:beforeAutospacing="0" w:after="0" w:afterAutospacing="0"/>
                    <w:ind w:left="0" w:right="0"/>
                    <w:rPr>
                      <w:rFonts w:hint="eastAsia"/>
                      <w:color w:val="auto"/>
                      <w:szCs w:val="22"/>
                    </w:rPr>
                  </w:pPr>
                  <w:r>
                    <w:rPr>
                      <w:rFonts w:hint="eastAsia"/>
                      <w:szCs w:val="22"/>
                    </w:rPr>
                    <w:t>无组织排放浓度限值</w:t>
                  </w:r>
                </w:p>
              </w:tc>
              <w:tc>
                <w:tcPr>
                  <w:tcW w:w="3932" w:type="dxa"/>
                  <w:vMerge w:val="restart"/>
                  <w:noWrap w:val="0"/>
                  <w:vAlign w:val="center"/>
                </w:tcPr>
                <w:p w14:paraId="21632F20">
                  <w:pPr>
                    <w:pStyle w:val="38"/>
                    <w:keepNext w:val="0"/>
                    <w:keepLines w:val="0"/>
                    <w:widowControl/>
                    <w:suppressLineNumbers w:val="0"/>
                    <w:bidi w:val="0"/>
                    <w:spacing w:before="0" w:beforeAutospacing="0" w:after="0" w:afterAutospacing="0"/>
                    <w:ind w:left="0" w:right="0"/>
                    <w:rPr>
                      <w:rFonts w:hint="eastAsia"/>
                      <w:color w:val="auto"/>
                      <w:szCs w:val="22"/>
                    </w:rPr>
                  </w:pPr>
                  <w:r>
                    <w:rPr>
                      <w:rFonts w:hint="eastAsia"/>
                      <w:szCs w:val="22"/>
                    </w:rPr>
                    <w:t>标准来源</w:t>
                  </w:r>
                </w:p>
              </w:tc>
            </w:tr>
            <w:tr w14:paraId="1E472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52" w:type="dxa"/>
                  <w:vMerge w:val="continue"/>
                  <w:noWrap w:val="0"/>
                  <w:vAlign w:val="center"/>
                </w:tcPr>
                <w:p w14:paraId="2F2E8C77">
                  <w:pPr>
                    <w:keepNext w:val="0"/>
                    <w:keepLines w:val="0"/>
                    <w:suppressLineNumbers w:val="0"/>
                    <w:bidi w:val="0"/>
                    <w:spacing w:before="0" w:beforeAutospacing="0" w:after="0" w:afterAutospacing="0"/>
                    <w:ind w:left="0" w:right="0"/>
                    <w:rPr>
                      <w:rFonts w:hint="eastAsia"/>
                      <w:color w:val="auto"/>
                    </w:rPr>
                  </w:pPr>
                </w:p>
              </w:tc>
              <w:tc>
                <w:tcPr>
                  <w:tcW w:w="1120" w:type="dxa"/>
                  <w:noWrap w:val="0"/>
                  <w:vAlign w:val="center"/>
                </w:tcPr>
                <w:p w14:paraId="0404040C">
                  <w:pPr>
                    <w:pStyle w:val="38"/>
                    <w:keepNext w:val="0"/>
                    <w:keepLines w:val="0"/>
                    <w:widowControl/>
                    <w:suppressLineNumbers w:val="0"/>
                    <w:bidi w:val="0"/>
                    <w:spacing w:before="0" w:beforeAutospacing="0" w:after="0" w:afterAutospacing="0"/>
                    <w:ind w:left="0" w:right="0"/>
                    <w:rPr>
                      <w:rFonts w:hint="eastAsia"/>
                      <w:color w:val="auto"/>
                      <w:szCs w:val="22"/>
                    </w:rPr>
                  </w:pPr>
                  <w:r>
                    <w:rPr>
                      <w:rFonts w:hint="eastAsia"/>
                      <w:szCs w:val="22"/>
                    </w:rPr>
                    <w:t>监控点</w:t>
                  </w:r>
                </w:p>
              </w:tc>
              <w:tc>
                <w:tcPr>
                  <w:tcW w:w="1874" w:type="dxa"/>
                  <w:noWrap w:val="0"/>
                  <w:vAlign w:val="center"/>
                </w:tcPr>
                <w:p w14:paraId="5252822E">
                  <w:pPr>
                    <w:pStyle w:val="38"/>
                    <w:keepNext w:val="0"/>
                    <w:keepLines w:val="0"/>
                    <w:widowControl/>
                    <w:suppressLineNumbers w:val="0"/>
                    <w:bidi w:val="0"/>
                    <w:spacing w:before="0" w:beforeAutospacing="0" w:after="0" w:afterAutospacing="0"/>
                    <w:ind w:left="0" w:right="0"/>
                    <w:rPr>
                      <w:rFonts w:hint="eastAsia"/>
                      <w:color w:val="auto"/>
                      <w:szCs w:val="22"/>
                    </w:rPr>
                  </w:pPr>
                  <w:r>
                    <w:rPr>
                      <w:rFonts w:hint="eastAsia"/>
                      <w:szCs w:val="22"/>
                    </w:rPr>
                    <w:t>浓度（mg/m</w:t>
                  </w:r>
                  <w:r>
                    <w:rPr>
                      <w:rFonts w:hint="eastAsia"/>
                      <w:szCs w:val="22"/>
                      <w:vertAlign w:val="superscript"/>
                    </w:rPr>
                    <w:t>3</w:t>
                  </w:r>
                  <w:r>
                    <w:rPr>
                      <w:rFonts w:hint="eastAsia"/>
                      <w:szCs w:val="22"/>
                    </w:rPr>
                    <w:t>）</w:t>
                  </w:r>
                </w:p>
              </w:tc>
              <w:tc>
                <w:tcPr>
                  <w:tcW w:w="3932" w:type="dxa"/>
                  <w:vMerge w:val="continue"/>
                  <w:noWrap w:val="0"/>
                  <w:vAlign w:val="center"/>
                </w:tcPr>
                <w:p w14:paraId="6383FACB">
                  <w:pPr>
                    <w:keepNext w:val="0"/>
                    <w:keepLines w:val="0"/>
                    <w:suppressLineNumbers w:val="0"/>
                    <w:bidi w:val="0"/>
                    <w:spacing w:before="0" w:beforeAutospacing="0" w:after="0" w:afterAutospacing="0"/>
                    <w:ind w:left="0" w:right="0"/>
                    <w:rPr>
                      <w:rFonts w:hint="eastAsia"/>
                      <w:color w:val="auto"/>
                    </w:rPr>
                  </w:pPr>
                </w:p>
              </w:tc>
            </w:tr>
            <w:tr w14:paraId="3B671B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052" w:type="dxa"/>
                  <w:vMerge w:val="restart"/>
                  <w:noWrap w:val="0"/>
                  <w:vAlign w:val="center"/>
                </w:tcPr>
                <w:p w14:paraId="078E8EBA">
                  <w:pPr>
                    <w:pStyle w:val="38"/>
                    <w:keepNext w:val="0"/>
                    <w:keepLines w:val="0"/>
                    <w:widowControl/>
                    <w:suppressLineNumbers w:val="0"/>
                    <w:bidi w:val="0"/>
                    <w:spacing w:before="0" w:beforeAutospacing="0" w:after="0" w:afterAutospacing="0"/>
                    <w:ind w:left="0" w:right="0"/>
                    <w:rPr>
                      <w:rFonts w:hint="eastAsia"/>
                      <w:color w:val="auto"/>
                      <w:szCs w:val="22"/>
                    </w:rPr>
                  </w:pPr>
                  <w:r>
                    <w:rPr>
                      <w:rFonts w:hint="eastAsia"/>
                      <w:szCs w:val="22"/>
                    </w:rPr>
                    <w:t>非甲烷总烃</w:t>
                  </w:r>
                </w:p>
              </w:tc>
              <w:tc>
                <w:tcPr>
                  <w:tcW w:w="1120" w:type="dxa"/>
                  <w:noWrap w:val="0"/>
                  <w:vAlign w:val="center"/>
                </w:tcPr>
                <w:p w14:paraId="08491BEE">
                  <w:pPr>
                    <w:pStyle w:val="38"/>
                    <w:keepNext w:val="0"/>
                    <w:keepLines w:val="0"/>
                    <w:widowControl/>
                    <w:suppressLineNumbers w:val="0"/>
                    <w:bidi w:val="0"/>
                    <w:spacing w:before="0" w:beforeAutospacing="0" w:after="0" w:afterAutospacing="0"/>
                    <w:ind w:left="0" w:right="0"/>
                    <w:rPr>
                      <w:rFonts w:hint="eastAsia"/>
                      <w:color w:val="auto"/>
                      <w:szCs w:val="22"/>
                    </w:rPr>
                  </w:pPr>
                  <w:r>
                    <w:rPr>
                      <w:rFonts w:hint="default"/>
                      <w:szCs w:val="22"/>
                    </w:rPr>
                    <w:t>厂区内</w:t>
                  </w:r>
                </w:p>
              </w:tc>
              <w:tc>
                <w:tcPr>
                  <w:tcW w:w="1874" w:type="dxa"/>
                  <w:noWrap w:val="0"/>
                  <w:vAlign w:val="center"/>
                </w:tcPr>
                <w:p w14:paraId="01E705DC">
                  <w:pPr>
                    <w:pStyle w:val="38"/>
                    <w:keepNext w:val="0"/>
                    <w:keepLines w:val="0"/>
                    <w:widowControl/>
                    <w:suppressLineNumbers w:val="0"/>
                    <w:bidi w:val="0"/>
                    <w:spacing w:before="0" w:beforeAutospacing="0" w:after="0" w:afterAutospacing="0"/>
                    <w:ind w:left="0" w:right="0"/>
                    <w:rPr>
                      <w:rFonts w:hint="default"/>
                      <w:color w:val="auto"/>
                      <w:szCs w:val="22"/>
                      <w:lang w:val="en-US" w:eastAsia="zh-CN"/>
                    </w:rPr>
                  </w:pPr>
                  <w:r>
                    <w:rPr>
                      <w:rFonts w:hint="eastAsia"/>
                      <w:szCs w:val="22"/>
                      <w:lang w:val="en-US" w:eastAsia="zh-CN"/>
                    </w:rPr>
                    <w:t>20</w:t>
                  </w:r>
                  <w:r>
                    <w:rPr>
                      <w:rFonts w:hint="default"/>
                      <w:szCs w:val="22"/>
                      <w:lang w:val="en-US" w:eastAsia="zh-CN"/>
                    </w:rPr>
                    <w:t>（</w:t>
                  </w:r>
                  <w:r>
                    <w:rPr>
                      <w:rFonts w:hint="default"/>
                      <w:szCs w:val="22"/>
                    </w:rPr>
                    <w:t>监控点处任意一次浓度值</w:t>
                  </w:r>
                  <w:r>
                    <w:rPr>
                      <w:rFonts w:hint="default"/>
                      <w:szCs w:val="22"/>
                      <w:lang w:val="en-US" w:eastAsia="zh-CN"/>
                    </w:rPr>
                    <w:t>）</w:t>
                  </w:r>
                </w:p>
              </w:tc>
              <w:tc>
                <w:tcPr>
                  <w:tcW w:w="3932" w:type="dxa"/>
                  <w:vMerge w:val="restart"/>
                  <w:noWrap w:val="0"/>
                  <w:vAlign w:val="center"/>
                </w:tcPr>
                <w:p w14:paraId="0BCD0EC2">
                  <w:pPr>
                    <w:pStyle w:val="38"/>
                    <w:keepNext w:val="0"/>
                    <w:keepLines w:val="0"/>
                    <w:widowControl/>
                    <w:suppressLineNumbers w:val="0"/>
                    <w:bidi w:val="0"/>
                    <w:spacing w:before="0" w:beforeAutospacing="0" w:after="0" w:afterAutospacing="0"/>
                    <w:ind w:left="0" w:right="0"/>
                    <w:rPr>
                      <w:rFonts w:hint="eastAsia"/>
                      <w:color w:val="auto"/>
                      <w:szCs w:val="22"/>
                    </w:rPr>
                  </w:pPr>
                  <w:r>
                    <w:rPr>
                      <w:rFonts w:hint="default"/>
                      <w:szCs w:val="22"/>
                    </w:rPr>
                    <w:t>《挥发性有机物无组织排放控制标准》（GB37822-2019）附录A表A.1特别排放限值要求</w:t>
                  </w:r>
                </w:p>
              </w:tc>
            </w:tr>
            <w:tr w14:paraId="1C5FC4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Merge w:val="continue"/>
                  <w:noWrap w:val="0"/>
                  <w:vAlign w:val="center"/>
                </w:tcPr>
                <w:p w14:paraId="276084E2">
                  <w:pPr>
                    <w:keepNext w:val="0"/>
                    <w:keepLines w:val="0"/>
                    <w:suppressLineNumbers w:val="0"/>
                    <w:bidi w:val="0"/>
                    <w:spacing w:before="0" w:beforeAutospacing="0" w:after="0" w:afterAutospacing="0"/>
                    <w:ind w:left="0" w:right="0"/>
                    <w:rPr>
                      <w:rFonts w:hint="eastAsia"/>
                      <w:color w:val="auto"/>
                    </w:rPr>
                  </w:pPr>
                </w:p>
              </w:tc>
              <w:tc>
                <w:tcPr>
                  <w:tcW w:w="1120" w:type="dxa"/>
                  <w:noWrap w:val="0"/>
                  <w:vAlign w:val="center"/>
                </w:tcPr>
                <w:p w14:paraId="7886B8C4">
                  <w:pPr>
                    <w:pStyle w:val="38"/>
                    <w:keepNext w:val="0"/>
                    <w:keepLines w:val="0"/>
                    <w:widowControl/>
                    <w:suppressLineNumbers w:val="0"/>
                    <w:bidi w:val="0"/>
                    <w:spacing w:before="0" w:beforeAutospacing="0" w:after="0" w:afterAutospacing="0"/>
                    <w:ind w:left="0" w:right="0"/>
                    <w:rPr>
                      <w:rFonts w:hint="eastAsia"/>
                      <w:color w:val="auto"/>
                      <w:szCs w:val="22"/>
                    </w:rPr>
                  </w:pPr>
                  <w:r>
                    <w:rPr>
                      <w:rFonts w:hint="default"/>
                      <w:szCs w:val="22"/>
                    </w:rPr>
                    <w:t>厂区内</w:t>
                  </w:r>
                </w:p>
              </w:tc>
              <w:tc>
                <w:tcPr>
                  <w:tcW w:w="1874" w:type="dxa"/>
                  <w:noWrap w:val="0"/>
                  <w:vAlign w:val="center"/>
                </w:tcPr>
                <w:p w14:paraId="3468DA7A">
                  <w:pPr>
                    <w:pStyle w:val="38"/>
                    <w:keepNext w:val="0"/>
                    <w:keepLines w:val="0"/>
                    <w:widowControl/>
                    <w:suppressLineNumbers w:val="0"/>
                    <w:bidi w:val="0"/>
                    <w:spacing w:before="0" w:beforeAutospacing="0" w:after="0" w:afterAutospacing="0"/>
                    <w:ind w:left="0" w:right="0"/>
                    <w:rPr>
                      <w:rFonts w:hint="eastAsia"/>
                      <w:color w:val="auto"/>
                      <w:szCs w:val="22"/>
                    </w:rPr>
                  </w:pPr>
                  <w:r>
                    <w:rPr>
                      <w:rFonts w:hint="eastAsia"/>
                      <w:szCs w:val="22"/>
                      <w:lang w:val="en-US" w:eastAsia="zh-CN"/>
                    </w:rPr>
                    <w:t>6</w:t>
                  </w:r>
                  <w:r>
                    <w:rPr>
                      <w:rFonts w:hint="eastAsia"/>
                      <w:szCs w:val="22"/>
                      <w:lang w:eastAsia="zh-CN"/>
                    </w:rPr>
                    <w:t>（监控点处1h平均浓度值）</w:t>
                  </w:r>
                </w:p>
              </w:tc>
              <w:tc>
                <w:tcPr>
                  <w:tcW w:w="3932" w:type="dxa"/>
                  <w:vMerge w:val="continue"/>
                  <w:noWrap w:val="0"/>
                  <w:vAlign w:val="center"/>
                </w:tcPr>
                <w:p w14:paraId="4C6B1F86">
                  <w:pPr>
                    <w:keepNext w:val="0"/>
                    <w:keepLines w:val="0"/>
                    <w:suppressLineNumbers w:val="0"/>
                    <w:bidi w:val="0"/>
                    <w:spacing w:before="0" w:beforeAutospacing="0" w:after="0" w:afterAutospacing="0"/>
                    <w:ind w:left="0" w:right="0" w:firstLine="480" w:firstLineChars="200"/>
                    <w:rPr>
                      <w:rFonts w:hint="eastAsia"/>
                      <w:color w:val="auto"/>
                    </w:rPr>
                  </w:pPr>
                </w:p>
              </w:tc>
            </w:tr>
            <w:tr w14:paraId="04BA77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Merge w:val="continue"/>
                  <w:noWrap w:val="0"/>
                  <w:vAlign w:val="center"/>
                </w:tcPr>
                <w:p w14:paraId="2A8AFF21">
                  <w:pPr>
                    <w:keepNext w:val="0"/>
                    <w:keepLines w:val="0"/>
                    <w:suppressLineNumbers w:val="0"/>
                    <w:bidi w:val="0"/>
                    <w:spacing w:before="0" w:beforeAutospacing="0" w:after="0" w:afterAutospacing="0"/>
                    <w:ind w:left="0" w:right="0"/>
                    <w:rPr>
                      <w:rFonts w:hint="eastAsia"/>
                      <w:color w:val="auto"/>
                    </w:rPr>
                  </w:pPr>
                </w:p>
              </w:tc>
              <w:tc>
                <w:tcPr>
                  <w:tcW w:w="1120" w:type="dxa"/>
                  <w:noWrap w:val="0"/>
                  <w:vAlign w:val="center"/>
                </w:tcPr>
                <w:p w14:paraId="27C31236">
                  <w:pPr>
                    <w:pStyle w:val="38"/>
                    <w:keepNext w:val="0"/>
                    <w:keepLines w:val="0"/>
                    <w:widowControl/>
                    <w:suppressLineNumbers w:val="0"/>
                    <w:bidi w:val="0"/>
                    <w:spacing w:before="0" w:beforeAutospacing="0" w:after="0" w:afterAutospacing="0"/>
                    <w:ind w:left="0" w:right="0"/>
                    <w:rPr>
                      <w:rFonts w:hint="eastAsia" w:eastAsia="宋体"/>
                      <w:szCs w:val="22"/>
                      <w:lang w:val="en-US" w:eastAsia="zh-CN"/>
                    </w:rPr>
                  </w:pPr>
                  <w:r>
                    <w:rPr>
                      <w:rFonts w:hint="eastAsia"/>
                      <w:szCs w:val="22"/>
                      <w:lang w:val="en-US" w:eastAsia="zh-CN"/>
                    </w:rPr>
                    <w:t>厂区内</w:t>
                  </w:r>
                </w:p>
              </w:tc>
              <w:tc>
                <w:tcPr>
                  <w:tcW w:w="1874" w:type="dxa"/>
                  <w:noWrap w:val="0"/>
                  <w:vAlign w:val="center"/>
                </w:tcPr>
                <w:p w14:paraId="3FC9F8D4">
                  <w:pPr>
                    <w:pStyle w:val="38"/>
                    <w:keepNext w:val="0"/>
                    <w:keepLines w:val="0"/>
                    <w:widowControl/>
                    <w:suppressLineNumbers w:val="0"/>
                    <w:bidi w:val="0"/>
                    <w:spacing w:before="0" w:beforeAutospacing="0" w:after="0" w:afterAutospacing="0"/>
                    <w:ind w:left="0" w:right="0"/>
                    <w:rPr>
                      <w:rFonts w:hint="default" w:eastAsia="宋体"/>
                      <w:szCs w:val="22"/>
                      <w:lang w:val="en-US" w:eastAsia="zh-CN"/>
                    </w:rPr>
                  </w:pPr>
                  <w:r>
                    <w:rPr>
                      <w:rFonts w:hint="eastAsia"/>
                      <w:szCs w:val="22"/>
                      <w:lang w:val="en-US" w:eastAsia="zh-CN"/>
                    </w:rPr>
                    <w:t>8.0</w:t>
                  </w:r>
                </w:p>
              </w:tc>
              <w:tc>
                <w:tcPr>
                  <w:tcW w:w="3932" w:type="dxa"/>
                  <w:noWrap w:val="0"/>
                  <w:vAlign w:val="center"/>
                </w:tcPr>
                <w:p w14:paraId="3CEF00CE">
                  <w:pPr>
                    <w:pStyle w:val="38"/>
                    <w:keepNext w:val="0"/>
                    <w:keepLines w:val="0"/>
                    <w:widowControl/>
                    <w:suppressLineNumbers w:val="0"/>
                    <w:bidi w:val="0"/>
                    <w:spacing w:before="0" w:beforeAutospacing="0" w:after="0" w:afterAutospacing="0"/>
                    <w:ind w:left="0" w:right="0"/>
                    <w:rPr>
                      <w:rFonts w:hint="eastAsia"/>
                      <w:color w:val="auto"/>
                      <w:szCs w:val="22"/>
                    </w:rPr>
                  </w:pPr>
                  <w:r>
                    <w:rPr>
                      <w:rFonts w:hint="eastAsia"/>
                      <w:color w:val="auto"/>
                      <w:szCs w:val="22"/>
                    </w:rPr>
                    <w:t>《工业涂装工序挥发性有机物排放标准》（DB35/1783-2018）表</w:t>
                  </w:r>
                  <w:r>
                    <w:rPr>
                      <w:rFonts w:hint="eastAsia"/>
                      <w:color w:val="auto"/>
                      <w:szCs w:val="22"/>
                      <w:lang w:val="en-US" w:eastAsia="zh-CN"/>
                    </w:rPr>
                    <w:t>3</w:t>
                  </w:r>
                </w:p>
              </w:tc>
            </w:tr>
            <w:tr w14:paraId="1E4FB5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Merge w:val="continue"/>
                  <w:noWrap w:val="0"/>
                  <w:vAlign w:val="center"/>
                </w:tcPr>
                <w:p w14:paraId="6BCB4523">
                  <w:pPr>
                    <w:keepNext w:val="0"/>
                    <w:keepLines w:val="0"/>
                    <w:suppressLineNumbers w:val="0"/>
                    <w:bidi w:val="0"/>
                    <w:spacing w:before="0" w:beforeAutospacing="0" w:after="0" w:afterAutospacing="0"/>
                    <w:ind w:left="0" w:right="0"/>
                    <w:rPr>
                      <w:rFonts w:hint="eastAsia"/>
                      <w:color w:val="auto"/>
                    </w:rPr>
                  </w:pPr>
                </w:p>
              </w:tc>
              <w:tc>
                <w:tcPr>
                  <w:tcW w:w="1120" w:type="dxa"/>
                  <w:noWrap w:val="0"/>
                  <w:vAlign w:val="center"/>
                </w:tcPr>
                <w:p w14:paraId="38ED8094">
                  <w:pPr>
                    <w:pStyle w:val="38"/>
                    <w:keepNext w:val="0"/>
                    <w:keepLines w:val="0"/>
                    <w:widowControl/>
                    <w:suppressLineNumbers w:val="0"/>
                    <w:bidi w:val="0"/>
                    <w:spacing w:before="0" w:beforeAutospacing="0" w:after="0" w:afterAutospacing="0"/>
                    <w:ind w:left="0" w:right="0"/>
                    <w:rPr>
                      <w:rFonts w:hint="eastAsia"/>
                      <w:color w:val="auto"/>
                      <w:szCs w:val="22"/>
                    </w:rPr>
                  </w:pPr>
                  <w:r>
                    <w:rPr>
                      <w:rFonts w:hint="default"/>
                      <w:szCs w:val="22"/>
                    </w:rPr>
                    <w:t>厂界</w:t>
                  </w:r>
                </w:p>
              </w:tc>
              <w:tc>
                <w:tcPr>
                  <w:tcW w:w="1874" w:type="dxa"/>
                  <w:noWrap w:val="0"/>
                  <w:vAlign w:val="center"/>
                </w:tcPr>
                <w:p w14:paraId="5C5E876A">
                  <w:pPr>
                    <w:pStyle w:val="38"/>
                    <w:keepNext w:val="0"/>
                    <w:keepLines w:val="0"/>
                    <w:widowControl/>
                    <w:suppressLineNumbers w:val="0"/>
                    <w:bidi w:val="0"/>
                    <w:spacing w:before="0" w:beforeAutospacing="0" w:after="0" w:afterAutospacing="0"/>
                    <w:ind w:left="0" w:right="0"/>
                    <w:rPr>
                      <w:rFonts w:hint="eastAsia"/>
                      <w:color w:val="auto"/>
                      <w:szCs w:val="22"/>
                    </w:rPr>
                  </w:pPr>
                  <w:r>
                    <w:rPr>
                      <w:rFonts w:hint="default"/>
                      <w:szCs w:val="22"/>
                    </w:rPr>
                    <w:t>2.0</w:t>
                  </w:r>
                </w:p>
              </w:tc>
              <w:tc>
                <w:tcPr>
                  <w:tcW w:w="3932" w:type="dxa"/>
                  <w:noWrap w:val="0"/>
                  <w:vAlign w:val="center"/>
                </w:tcPr>
                <w:p w14:paraId="41F3683A">
                  <w:pPr>
                    <w:pStyle w:val="38"/>
                    <w:keepNext w:val="0"/>
                    <w:keepLines w:val="0"/>
                    <w:widowControl/>
                    <w:suppressLineNumbers w:val="0"/>
                    <w:bidi w:val="0"/>
                    <w:spacing w:before="0" w:beforeAutospacing="0" w:after="0" w:afterAutospacing="0"/>
                    <w:ind w:left="0" w:right="0"/>
                    <w:rPr>
                      <w:rFonts w:hint="eastAsia" w:eastAsia="宋体"/>
                      <w:color w:val="auto"/>
                      <w:szCs w:val="22"/>
                      <w:lang w:val="en-US" w:eastAsia="zh-CN"/>
                    </w:rPr>
                  </w:pPr>
                  <w:r>
                    <w:rPr>
                      <w:rFonts w:hint="eastAsia"/>
                      <w:color w:val="auto"/>
                      <w:szCs w:val="22"/>
                    </w:rPr>
                    <w:t>《工业涂装工序挥发性有机物排放标准》（DB35/1783-2018）表</w:t>
                  </w:r>
                  <w:r>
                    <w:rPr>
                      <w:rFonts w:hint="eastAsia"/>
                      <w:color w:val="auto"/>
                      <w:szCs w:val="22"/>
                      <w:lang w:val="en-US" w:eastAsia="zh-CN"/>
                    </w:rPr>
                    <w:t>4</w:t>
                  </w:r>
                </w:p>
              </w:tc>
            </w:tr>
            <w:tr w14:paraId="035BBD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noWrap w:val="0"/>
                  <w:vAlign w:val="center"/>
                </w:tcPr>
                <w:p w14:paraId="2E6EF60F">
                  <w:pPr>
                    <w:pStyle w:val="38"/>
                    <w:keepNext w:val="0"/>
                    <w:keepLines w:val="0"/>
                    <w:widowControl/>
                    <w:suppressLineNumbers w:val="0"/>
                    <w:bidi w:val="0"/>
                    <w:spacing w:before="0" w:beforeAutospacing="0" w:after="0" w:afterAutospacing="0"/>
                    <w:ind w:left="0" w:right="0"/>
                    <w:rPr>
                      <w:rFonts w:hint="eastAsia" w:eastAsia="宋体"/>
                      <w:color w:val="auto"/>
                      <w:szCs w:val="22"/>
                      <w:lang w:val="en-US" w:eastAsia="zh-CN"/>
                    </w:rPr>
                  </w:pPr>
                  <w:r>
                    <w:rPr>
                      <w:rFonts w:hint="eastAsia"/>
                      <w:szCs w:val="22"/>
                      <w:lang w:val="en-US" w:eastAsia="zh-CN"/>
                    </w:rPr>
                    <w:t>颗粒物</w:t>
                  </w:r>
                </w:p>
              </w:tc>
              <w:tc>
                <w:tcPr>
                  <w:tcW w:w="1120" w:type="dxa"/>
                  <w:noWrap w:val="0"/>
                  <w:vAlign w:val="center"/>
                </w:tcPr>
                <w:p w14:paraId="1CE9C717">
                  <w:pPr>
                    <w:pStyle w:val="38"/>
                    <w:keepNext w:val="0"/>
                    <w:keepLines w:val="0"/>
                    <w:widowControl/>
                    <w:suppressLineNumbers w:val="0"/>
                    <w:bidi w:val="0"/>
                    <w:spacing w:before="0" w:beforeAutospacing="0" w:after="0" w:afterAutospacing="0"/>
                    <w:ind w:left="0" w:right="0"/>
                    <w:rPr>
                      <w:rFonts w:hint="default" w:eastAsia="宋体"/>
                      <w:color w:val="auto"/>
                      <w:szCs w:val="22"/>
                      <w:lang w:val="en-US" w:eastAsia="zh-CN"/>
                    </w:rPr>
                  </w:pPr>
                  <w:r>
                    <w:rPr>
                      <w:rFonts w:hint="default"/>
                      <w:szCs w:val="22"/>
                    </w:rPr>
                    <w:t>厂界</w:t>
                  </w:r>
                </w:p>
              </w:tc>
              <w:tc>
                <w:tcPr>
                  <w:tcW w:w="1874" w:type="dxa"/>
                  <w:noWrap w:val="0"/>
                  <w:vAlign w:val="center"/>
                </w:tcPr>
                <w:p w14:paraId="33C59AC4">
                  <w:pPr>
                    <w:pStyle w:val="38"/>
                    <w:keepNext w:val="0"/>
                    <w:keepLines w:val="0"/>
                    <w:widowControl/>
                    <w:suppressLineNumbers w:val="0"/>
                    <w:bidi w:val="0"/>
                    <w:spacing w:before="0" w:beforeAutospacing="0" w:after="0" w:afterAutospacing="0"/>
                    <w:ind w:left="0" w:right="0"/>
                    <w:rPr>
                      <w:rFonts w:hint="default" w:eastAsia="宋体"/>
                      <w:color w:val="auto"/>
                      <w:szCs w:val="22"/>
                      <w:lang w:val="en-US" w:eastAsia="zh-CN"/>
                    </w:rPr>
                  </w:pPr>
                  <w:r>
                    <w:rPr>
                      <w:rFonts w:hint="eastAsia"/>
                      <w:szCs w:val="22"/>
                      <w:lang w:val="en-US" w:eastAsia="zh-CN"/>
                    </w:rPr>
                    <w:t>1.0（周界外浓度最高点）</w:t>
                  </w:r>
                </w:p>
              </w:tc>
              <w:tc>
                <w:tcPr>
                  <w:tcW w:w="3932" w:type="dxa"/>
                  <w:noWrap w:val="0"/>
                  <w:vAlign w:val="center"/>
                </w:tcPr>
                <w:p w14:paraId="29FD546A">
                  <w:pPr>
                    <w:pStyle w:val="38"/>
                    <w:keepNext w:val="0"/>
                    <w:keepLines w:val="0"/>
                    <w:widowControl/>
                    <w:suppressLineNumbers w:val="0"/>
                    <w:bidi w:val="0"/>
                    <w:spacing w:before="0" w:beforeAutospacing="0" w:after="0" w:afterAutospacing="0"/>
                    <w:ind w:left="0" w:right="0"/>
                    <w:rPr>
                      <w:rFonts w:hint="default" w:eastAsia="宋体"/>
                      <w:color w:val="auto"/>
                      <w:szCs w:val="22"/>
                      <w:lang w:val="en-US" w:eastAsia="zh-CN"/>
                    </w:rPr>
                  </w:pPr>
                  <w:r>
                    <w:rPr>
                      <w:rFonts w:hint="default"/>
                      <w:szCs w:val="22"/>
                    </w:rPr>
                    <w:t>《大气污染物综合排放标准》</w:t>
                  </w:r>
                  <w:r>
                    <w:rPr>
                      <w:rFonts w:hint="eastAsia"/>
                      <w:szCs w:val="22"/>
                      <w:lang w:eastAsia="zh-CN"/>
                    </w:rPr>
                    <w:t>（</w:t>
                  </w:r>
                  <w:r>
                    <w:rPr>
                      <w:rFonts w:hint="default"/>
                      <w:szCs w:val="22"/>
                    </w:rPr>
                    <w:t>GB 16297—1996</w:t>
                  </w:r>
                  <w:r>
                    <w:rPr>
                      <w:rFonts w:hint="eastAsia"/>
                      <w:szCs w:val="22"/>
                      <w:lang w:eastAsia="zh-CN"/>
                    </w:rPr>
                    <w:t>）</w:t>
                  </w:r>
                  <w:r>
                    <w:rPr>
                      <w:rFonts w:hint="eastAsia"/>
                      <w:szCs w:val="22"/>
                      <w:lang w:val="en-US" w:eastAsia="zh-CN"/>
                    </w:rPr>
                    <w:t>表2 “其他”</w:t>
                  </w:r>
                </w:p>
              </w:tc>
            </w:tr>
          </w:tbl>
          <w:p w14:paraId="39D2A23F">
            <w:pPr>
              <w:pStyle w:val="4"/>
              <w:suppressLineNumbers w:val="0"/>
              <w:bidi w:val="0"/>
              <w:spacing w:before="0" w:beforeAutospacing="0" w:after="0" w:afterAutospacing="0"/>
              <w:ind w:left="0" w:right="0"/>
              <w:rPr>
                <w:rFonts w:hint="eastAsia"/>
                <w:lang w:val="en-US" w:eastAsia="zh-CN"/>
              </w:rPr>
            </w:pPr>
            <w:r>
              <w:rPr>
                <w:rFonts w:hint="eastAsia"/>
                <w:lang w:val="en-US" w:eastAsia="zh-CN"/>
              </w:rPr>
              <w:t>噪声污染物排放标准</w:t>
            </w:r>
          </w:p>
          <w:p w14:paraId="74A80A70">
            <w:pPr>
              <w:keepNext w:val="0"/>
              <w:keepLines w:val="0"/>
              <w:suppressLineNumbers w:val="0"/>
              <w:bidi w:val="0"/>
              <w:spacing w:before="0" w:beforeAutospacing="0" w:after="0" w:afterAutospacing="0"/>
              <w:ind w:left="0" w:right="0"/>
              <w:rPr>
                <w:rFonts w:hint="eastAsia"/>
              </w:rPr>
            </w:pPr>
            <w:r>
              <w:rPr>
                <w:rFonts w:hint="eastAsia"/>
              </w:rPr>
              <w:t>运营期厂界噪声执行《工业企业厂界环境噪声排放标准》（GB12348-2008）中的3类标准，详见表3.7-</w:t>
            </w:r>
            <w:r>
              <w:rPr>
                <w:rFonts w:hint="eastAsia"/>
                <w:lang w:val="en-US" w:eastAsia="zh-CN"/>
              </w:rPr>
              <w:t>5</w:t>
            </w:r>
            <w:r>
              <w:rPr>
                <w:rFonts w:hint="eastAsia"/>
              </w:rPr>
              <w:t>。</w:t>
            </w:r>
          </w:p>
          <w:p w14:paraId="2099CC48">
            <w:pPr>
              <w:pStyle w:val="39"/>
              <w:keepNext w:val="0"/>
              <w:keepLines w:val="0"/>
              <w:suppressLineNumbers w:val="0"/>
              <w:bidi w:val="0"/>
              <w:spacing w:before="0" w:beforeAutospacing="0" w:after="0" w:afterAutospacing="0"/>
              <w:ind w:left="0" w:right="0"/>
              <w:rPr>
                <w:rFonts w:hint="default"/>
              </w:rPr>
            </w:pPr>
            <w:r>
              <w:rPr>
                <w:rFonts w:hint="default"/>
              </w:rPr>
              <w:t>表</w:t>
            </w:r>
            <w:r>
              <w:rPr>
                <w:rFonts w:hint="eastAsia"/>
                <w:lang w:val="en-US" w:eastAsia="zh-CN"/>
              </w:rPr>
              <w:t>3.7-5</w:t>
            </w:r>
            <w:r>
              <w:rPr>
                <w:rFonts w:hint="default"/>
              </w:rPr>
              <w:t xml:space="preserve">  厂界噪声排放标准</w:t>
            </w:r>
          </w:p>
          <w:tbl>
            <w:tblPr>
              <w:tblStyle w:val="29"/>
              <w:tblW w:w="79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2"/>
              <w:gridCol w:w="3603"/>
              <w:gridCol w:w="1060"/>
              <w:gridCol w:w="1783"/>
            </w:tblGrid>
            <w:tr w14:paraId="373F33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532" w:type="dxa"/>
                  <w:noWrap w:val="0"/>
                  <w:vAlign w:val="center"/>
                </w:tcPr>
                <w:p w14:paraId="7DE89182">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类别</w:t>
                  </w:r>
                </w:p>
              </w:tc>
              <w:tc>
                <w:tcPr>
                  <w:tcW w:w="3603" w:type="dxa"/>
                  <w:noWrap w:val="0"/>
                  <w:vAlign w:val="center"/>
                </w:tcPr>
                <w:p w14:paraId="064A532A">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标准名称</w:t>
                  </w:r>
                </w:p>
              </w:tc>
              <w:tc>
                <w:tcPr>
                  <w:tcW w:w="1060" w:type="dxa"/>
                  <w:noWrap w:val="0"/>
                  <w:vAlign w:val="center"/>
                </w:tcPr>
                <w:p w14:paraId="0531B3A9">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项目</w:t>
                  </w:r>
                </w:p>
              </w:tc>
              <w:tc>
                <w:tcPr>
                  <w:tcW w:w="1783" w:type="dxa"/>
                  <w:noWrap w:val="0"/>
                  <w:vAlign w:val="center"/>
                </w:tcPr>
                <w:p w14:paraId="3C32777F">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标准限值</w:t>
                  </w:r>
                </w:p>
              </w:tc>
            </w:tr>
            <w:tr w14:paraId="14A617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532" w:type="dxa"/>
                  <w:vMerge w:val="restart"/>
                  <w:noWrap w:val="0"/>
                  <w:vAlign w:val="center"/>
                </w:tcPr>
                <w:p w14:paraId="10317BB4">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厂界噪声</w:t>
                  </w:r>
                </w:p>
              </w:tc>
              <w:tc>
                <w:tcPr>
                  <w:tcW w:w="3603" w:type="dxa"/>
                  <w:vMerge w:val="restart"/>
                  <w:noWrap w:val="0"/>
                  <w:vAlign w:val="center"/>
                </w:tcPr>
                <w:p w14:paraId="3EDC5FDF">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《工业企业厂界环境噪声排放标准》（GB12348-2008）</w:t>
                  </w:r>
                  <w:r>
                    <w:rPr>
                      <w:rFonts w:hint="eastAsia"/>
                      <w:szCs w:val="22"/>
                      <w:lang w:val="en-US" w:eastAsia="zh-CN"/>
                    </w:rPr>
                    <w:t>3</w:t>
                  </w:r>
                  <w:r>
                    <w:rPr>
                      <w:rFonts w:hint="default"/>
                      <w:szCs w:val="22"/>
                    </w:rPr>
                    <w:t>类标准</w:t>
                  </w:r>
                </w:p>
              </w:tc>
              <w:tc>
                <w:tcPr>
                  <w:tcW w:w="1060" w:type="dxa"/>
                  <w:noWrap w:val="0"/>
                  <w:vAlign w:val="center"/>
                </w:tcPr>
                <w:p w14:paraId="27ACED2E">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昼间</w:t>
                  </w:r>
                </w:p>
              </w:tc>
              <w:tc>
                <w:tcPr>
                  <w:tcW w:w="1783" w:type="dxa"/>
                  <w:noWrap w:val="0"/>
                  <w:vAlign w:val="center"/>
                </w:tcPr>
                <w:p w14:paraId="73ECAB99">
                  <w:pPr>
                    <w:pStyle w:val="38"/>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lang w:val="en-US" w:eastAsia="zh-CN"/>
                    </w:rPr>
                    <w:t>65</w:t>
                  </w:r>
                  <w:r>
                    <w:rPr>
                      <w:rFonts w:hint="default"/>
                      <w:szCs w:val="22"/>
                    </w:rPr>
                    <w:t>dB</w:t>
                  </w:r>
                  <w:r>
                    <w:rPr>
                      <w:rFonts w:hint="eastAsia"/>
                      <w:szCs w:val="22"/>
                      <w:lang w:eastAsia="zh-CN"/>
                    </w:rPr>
                    <w:t>（</w:t>
                  </w:r>
                  <w:r>
                    <w:rPr>
                      <w:rFonts w:hint="default"/>
                      <w:szCs w:val="22"/>
                    </w:rPr>
                    <w:t>A</w:t>
                  </w:r>
                  <w:r>
                    <w:rPr>
                      <w:rFonts w:hint="eastAsia"/>
                      <w:szCs w:val="22"/>
                      <w:lang w:eastAsia="zh-CN"/>
                    </w:rPr>
                    <w:t>）</w:t>
                  </w:r>
                </w:p>
              </w:tc>
            </w:tr>
            <w:tr w14:paraId="5B8590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532" w:type="dxa"/>
                  <w:vMerge w:val="continue"/>
                  <w:noWrap w:val="0"/>
                  <w:vAlign w:val="center"/>
                </w:tcPr>
                <w:p w14:paraId="0999C3B2">
                  <w:pPr>
                    <w:pStyle w:val="38"/>
                    <w:keepNext w:val="0"/>
                    <w:keepLines w:val="0"/>
                    <w:widowControl/>
                    <w:suppressLineNumbers w:val="0"/>
                    <w:bidi w:val="0"/>
                    <w:spacing w:before="0" w:beforeAutospacing="0" w:after="0" w:afterAutospacing="0"/>
                    <w:ind w:left="0" w:right="0"/>
                    <w:rPr>
                      <w:rFonts w:hint="default"/>
                      <w:szCs w:val="22"/>
                    </w:rPr>
                  </w:pPr>
                </w:p>
              </w:tc>
              <w:tc>
                <w:tcPr>
                  <w:tcW w:w="3603" w:type="dxa"/>
                  <w:vMerge w:val="continue"/>
                  <w:noWrap w:val="0"/>
                  <w:vAlign w:val="center"/>
                </w:tcPr>
                <w:p w14:paraId="40501EDD">
                  <w:pPr>
                    <w:pStyle w:val="38"/>
                    <w:keepNext w:val="0"/>
                    <w:keepLines w:val="0"/>
                    <w:widowControl/>
                    <w:suppressLineNumbers w:val="0"/>
                    <w:bidi w:val="0"/>
                    <w:spacing w:before="0" w:beforeAutospacing="0" w:after="0" w:afterAutospacing="0"/>
                    <w:ind w:left="0" w:right="0"/>
                    <w:rPr>
                      <w:rFonts w:hint="default"/>
                      <w:szCs w:val="22"/>
                    </w:rPr>
                  </w:pPr>
                </w:p>
              </w:tc>
              <w:tc>
                <w:tcPr>
                  <w:tcW w:w="1060" w:type="dxa"/>
                  <w:noWrap w:val="0"/>
                  <w:vAlign w:val="center"/>
                </w:tcPr>
                <w:p w14:paraId="62F19886">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夜间</w:t>
                  </w:r>
                </w:p>
              </w:tc>
              <w:tc>
                <w:tcPr>
                  <w:tcW w:w="1783" w:type="dxa"/>
                  <w:noWrap w:val="0"/>
                  <w:vAlign w:val="center"/>
                </w:tcPr>
                <w:p w14:paraId="1B3CB4A7">
                  <w:pPr>
                    <w:pStyle w:val="38"/>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lang w:val="en-US" w:eastAsia="zh-CN"/>
                    </w:rPr>
                    <w:t>55</w:t>
                  </w:r>
                  <w:r>
                    <w:rPr>
                      <w:rFonts w:hint="default"/>
                      <w:szCs w:val="22"/>
                    </w:rPr>
                    <w:t>dB</w:t>
                  </w:r>
                  <w:r>
                    <w:rPr>
                      <w:rFonts w:hint="eastAsia"/>
                      <w:szCs w:val="22"/>
                      <w:lang w:eastAsia="zh-CN"/>
                    </w:rPr>
                    <w:t>（</w:t>
                  </w:r>
                  <w:r>
                    <w:rPr>
                      <w:rFonts w:hint="default"/>
                      <w:szCs w:val="22"/>
                    </w:rPr>
                    <w:t>A</w:t>
                  </w:r>
                  <w:r>
                    <w:rPr>
                      <w:rFonts w:hint="eastAsia"/>
                      <w:szCs w:val="22"/>
                      <w:lang w:eastAsia="zh-CN"/>
                    </w:rPr>
                    <w:t>）</w:t>
                  </w:r>
                </w:p>
              </w:tc>
            </w:tr>
          </w:tbl>
          <w:p w14:paraId="4B3AF920">
            <w:pPr>
              <w:pStyle w:val="4"/>
              <w:suppressLineNumbers w:val="0"/>
              <w:bidi w:val="0"/>
              <w:spacing w:before="0" w:beforeAutospacing="0" w:after="0" w:afterAutospacing="0"/>
              <w:ind w:left="0" w:right="0"/>
              <w:rPr>
                <w:rFonts w:hint="eastAsia"/>
                <w:lang w:val="en-US" w:eastAsia="zh-CN"/>
              </w:rPr>
            </w:pPr>
            <w:r>
              <w:rPr>
                <w:rFonts w:hint="eastAsia"/>
                <w:lang w:val="en-US" w:eastAsia="zh-CN"/>
              </w:rPr>
              <w:t>固体废物污染物排放标准</w:t>
            </w:r>
          </w:p>
          <w:p w14:paraId="52A22065">
            <w:pPr>
              <w:keepNext w:val="0"/>
              <w:keepLines w:val="0"/>
              <w:suppressLineNumbers w:val="0"/>
              <w:bidi w:val="0"/>
              <w:spacing w:before="0" w:beforeAutospacing="0" w:after="0" w:afterAutospacing="0"/>
              <w:ind w:left="0" w:right="0"/>
              <w:rPr>
                <w:rFonts w:hint="eastAsia"/>
                <w:color w:val="auto"/>
              </w:rPr>
            </w:pPr>
            <w:r>
              <w:rPr>
                <w:rFonts w:hint="default"/>
                <w:lang w:val="en-US" w:eastAsia="zh-CN"/>
              </w:rPr>
              <w:t>一般工业固废应按照《一般工业固体废物贮存和填埋污染控制标准》</w:t>
            </w:r>
            <w:r>
              <w:rPr>
                <w:rFonts w:hint="eastAsia"/>
                <w:lang w:val="en-US" w:eastAsia="zh-CN"/>
              </w:rPr>
              <w:t>（</w:t>
            </w:r>
            <w:r>
              <w:rPr>
                <w:rFonts w:hint="default"/>
                <w:lang w:val="en-US" w:eastAsia="zh-CN"/>
              </w:rPr>
              <w:t>GB 18599-2020</w:t>
            </w:r>
            <w:r>
              <w:rPr>
                <w:rFonts w:hint="eastAsia"/>
                <w:lang w:val="en-US" w:eastAsia="zh-CN"/>
              </w:rPr>
              <w:t>）</w:t>
            </w:r>
            <w:r>
              <w:rPr>
                <w:rFonts w:hint="default"/>
                <w:lang w:val="en-US" w:eastAsia="zh-CN"/>
              </w:rPr>
              <w:t>的要求进行</w:t>
            </w:r>
            <w:r>
              <w:rPr>
                <w:rFonts w:hint="eastAsia"/>
                <w:lang w:val="en-US" w:eastAsia="zh-CN"/>
              </w:rPr>
              <w:t>暂存管理</w:t>
            </w:r>
            <w:r>
              <w:rPr>
                <w:rFonts w:hint="default"/>
                <w:lang w:val="en-US" w:eastAsia="zh-CN"/>
              </w:rPr>
              <w:t>；危险废物处置执行《危险废物贮存污染控制标准》（GB18597-2023）中相关要求，危险废物外运处置执行《危险废物转移联单管理办法》</w:t>
            </w:r>
            <w:r>
              <w:rPr>
                <w:rFonts w:hint="eastAsia"/>
                <w:lang w:val="en-US" w:eastAsia="zh-CN"/>
              </w:rPr>
              <w:t>。</w:t>
            </w:r>
          </w:p>
        </w:tc>
      </w:tr>
      <w:tr w14:paraId="5DCA39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00" w:type="dxa"/>
            <w:noWrap w:val="0"/>
            <w:vAlign w:val="center"/>
          </w:tcPr>
          <w:p w14:paraId="6A5ACC31">
            <w:pPr>
              <w:pStyle w:val="40"/>
              <w:keepNext w:val="0"/>
              <w:keepLines w:val="0"/>
              <w:suppressLineNumbers w:val="0"/>
              <w:bidi w:val="0"/>
              <w:spacing w:before="0" w:beforeAutospacing="0" w:after="0" w:afterAutospacing="0"/>
              <w:ind w:left="0" w:right="0"/>
              <w:rPr>
                <w:rFonts w:hint="eastAsia"/>
              </w:rPr>
            </w:pPr>
            <w:r>
              <w:rPr>
                <w:rFonts w:hint="eastAsia"/>
              </w:rPr>
              <w:t>总量控制指标</w:t>
            </w:r>
          </w:p>
        </w:tc>
        <w:tc>
          <w:tcPr>
            <w:tcW w:w="8190" w:type="dxa"/>
            <w:noWrap w:val="0"/>
            <w:vAlign w:val="center"/>
          </w:tcPr>
          <w:p w14:paraId="7650579A">
            <w:pPr>
              <w:pStyle w:val="3"/>
              <w:keepNext w:val="0"/>
              <w:keepLines w:val="0"/>
              <w:suppressLineNumbers w:val="0"/>
              <w:bidi w:val="0"/>
              <w:spacing w:before="0" w:beforeAutospacing="0" w:after="0" w:afterAutospacing="0"/>
              <w:ind w:left="0" w:right="0"/>
              <w:rPr>
                <w:rFonts w:hint="eastAsia"/>
              </w:rPr>
            </w:pPr>
            <w:r>
              <w:rPr>
                <w:rFonts w:hint="eastAsia"/>
                <w:lang w:val="en-US" w:eastAsia="zh-CN"/>
              </w:rPr>
              <w:t>总量控制指标</w:t>
            </w:r>
          </w:p>
          <w:p w14:paraId="2CC2D5DC">
            <w:pPr>
              <w:keepNext w:val="0"/>
              <w:keepLines w:val="0"/>
              <w:suppressLineNumbers w:val="0"/>
              <w:bidi w:val="0"/>
              <w:spacing w:before="0" w:beforeAutospacing="0" w:after="0" w:afterAutospacing="0"/>
              <w:ind w:left="0" w:right="0"/>
              <w:rPr>
                <w:rFonts w:hint="eastAsia"/>
                <w:b w:val="0"/>
                <w:bCs w:val="0"/>
                <w:iCs w:val="0"/>
              </w:rPr>
            </w:pPr>
            <w:r>
              <w:rPr>
                <w:rFonts w:hint="eastAsia"/>
                <w:b w:val="0"/>
                <w:bCs w:val="0"/>
                <w:iCs w:val="0"/>
              </w:rPr>
              <w:t>总量控制是我国环境保护管理工作的一项重要举措，而实行污染物排放总量是环境保护法律法规的要求，它不仅是促进经济结构战略性调整和经济增长方式根本性转变的有力措施，同时也是促进工业技术进步和管理水平的提高，做到环保与经济的相互促进。实施以环境容量为基础的排污总量控制制度是改善环境质量的根本手段。</w:t>
            </w:r>
          </w:p>
          <w:p w14:paraId="672C888C">
            <w:pPr>
              <w:keepNext w:val="0"/>
              <w:keepLines w:val="0"/>
              <w:suppressLineNumbers w:val="0"/>
              <w:bidi w:val="0"/>
              <w:spacing w:before="0" w:beforeAutospacing="0" w:after="0" w:afterAutospacing="0"/>
              <w:ind w:left="0" w:right="0"/>
              <w:rPr>
                <w:rFonts w:hint="eastAsia"/>
                <w:b w:val="0"/>
                <w:bCs w:val="0"/>
                <w:iCs w:val="0"/>
              </w:rPr>
            </w:pPr>
            <w:r>
              <w:rPr>
                <w:rFonts w:hint="eastAsia"/>
                <w:b w:val="0"/>
                <w:bCs w:val="0"/>
                <w:iCs w:val="0"/>
              </w:rPr>
              <w:t>国家</w:t>
            </w:r>
            <w:r>
              <w:rPr>
                <w:rFonts w:hint="eastAsia"/>
                <w:b w:val="0"/>
                <w:bCs w:val="0"/>
                <w:iCs w:val="0"/>
                <w:lang w:eastAsia="zh-CN"/>
              </w:rPr>
              <w:t>“</w:t>
            </w:r>
            <w:r>
              <w:rPr>
                <w:rFonts w:hint="eastAsia"/>
                <w:b w:val="0"/>
                <w:bCs w:val="0"/>
                <w:iCs w:val="0"/>
              </w:rPr>
              <w:t>十四五</w:t>
            </w:r>
            <w:r>
              <w:rPr>
                <w:rFonts w:hint="eastAsia"/>
                <w:b w:val="0"/>
                <w:bCs w:val="0"/>
                <w:iCs w:val="0"/>
                <w:lang w:eastAsia="zh-CN"/>
              </w:rPr>
              <w:t>”</w:t>
            </w:r>
            <w:r>
              <w:rPr>
                <w:rFonts w:hint="eastAsia"/>
                <w:b w:val="0"/>
                <w:bCs w:val="0"/>
                <w:iCs w:val="0"/>
              </w:rPr>
              <w:t>期间污染物总量控制要求、《福建省人民政府关于推进排污权有偿使用和交易工作的意见</w:t>
            </w:r>
            <w:r>
              <w:rPr>
                <w:rFonts w:hint="eastAsia"/>
                <w:b w:val="0"/>
                <w:bCs w:val="0"/>
                <w:iCs w:val="0"/>
                <w:lang w:eastAsia="zh-CN"/>
              </w:rPr>
              <w:t>（</w:t>
            </w:r>
            <w:r>
              <w:rPr>
                <w:rFonts w:hint="eastAsia"/>
                <w:b w:val="0"/>
                <w:bCs w:val="0"/>
                <w:iCs w:val="0"/>
              </w:rPr>
              <w:t>试行</w:t>
            </w:r>
            <w:r>
              <w:rPr>
                <w:rFonts w:hint="eastAsia"/>
                <w:b w:val="0"/>
                <w:bCs w:val="0"/>
                <w:iCs w:val="0"/>
                <w:lang w:eastAsia="zh-CN"/>
              </w:rPr>
              <w:t>）</w:t>
            </w:r>
            <w:r>
              <w:rPr>
                <w:rFonts w:hint="eastAsia"/>
                <w:b w:val="0"/>
                <w:bCs w:val="0"/>
                <w:iCs w:val="0"/>
              </w:rPr>
              <w:t>》</w:t>
            </w:r>
            <w:r>
              <w:rPr>
                <w:rFonts w:hint="eastAsia"/>
                <w:b w:val="0"/>
                <w:bCs w:val="0"/>
                <w:iCs w:val="0"/>
                <w:lang w:eastAsia="zh-CN"/>
              </w:rPr>
              <w:t>（</w:t>
            </w:r>
            <w:r>
              <w:rPr>
                <w:rFonts w:hint="eastAsia"/>
                <w:b w:val="0"/>
                <w:bCs w:val="0"/>
                <w:iCs w:val="0"/>
              </w:rPr>
              <w:t>闽政〔2014〕24号</w:t>
            </w:r>
            <w:r>
              <w:rPr>
                <w:rFonts w:hint="eastAsia"/>
                <w:b w:val="0"/>
                <w:bCs w:val="0"/>
                <w:iCs w:val="0"/>
                <w:lang w:eastAsia="zh-CN"/>
              </w:rPr>
              <w:t>）</w:t>
            </w:r>
            <w:r>
              <w:rPr>
                <w:rFonts w:hint="eastAsia"/>
                <w:b w:val="0"/>
                <w:bCs w:val="0"/>
                <w:iCs w:val="0"/>
              </w:rPr>
              <w:t>、《福建省环保厅关于贯彻落实〈推进排污权有偿使用和交易工作的意见</w:t>
            </w:r>
            <w:r>
              <w:rPr>
                <w:rFonts w:hint="eastAsia"/>
                <w:b w:val="0"/>
                <w:bCs w:val="0"/>
                <w:iCs w:val="0"/>
                <w:lang w:eastAsia="zh-CN"/>
              </w:rPr>
              <w:t>（</w:t>
            </w:r>
            <w:r>
              <w:rPr>
                <w:rFonts w:hint="eastAsia"/>
                <w:b w:val="0"/>
                <w:bCs w:val="0"/>
                <w:iCs w:val="0"/>
              </w:rPr>
              <w:t>试行</w:t>
            </w:r>
            <w:r>
              <w:rPr>
                <w:rFonts w:hint="eastAsia"/>
                <w:b w:val="0"/>
                <w:bCs w:val="0"/>
                <w:iCs w:val="0"/>
                <w:lang w:eastAsia="zh-CN"/>
              </w:rPr>
              <w:t>）</w:t>
            </w:r>
            <w:r>
              <w:rPr>
                <w:rFonts w:hint="eastAsia"/>
                <w:b w:val="0"/>
                <w:bCs w:val="0"/>
                <w:iCs w:val="0"/>
              </w:rPr>
              <w:t>〉的通知》</w:t>
            </w:r>
            <w:r>
              <w:rPr>
                <w:rFonts w:hint="eastAsia"/>
                <w:b w:val="0"/>
                <w:bCs w:val="0"/>
                <w:iCs w:val="0"/>
                <w:lang w:eastAsia="zh-CN"/>
              </w:rPr>
              <w:t>（</w:t>
            </w:r>
            <w:r>
              <w:rPr>
                <w:rFonts w:hint="eastAsia"/>
                <w:b w:val="0"/>
                <w:bCs w:val="0"/>
                <w:iCs w:val="0"/>
              </w:rPr>
              <w:t>闽环发〔2014〕9号</w:t>
            </w:r>
            <w:r>
              <w:rPr>
                <w:rFonts w:hint="eastAsia"/>
                <w:b w:val="0"/>
                <w:bCs w:val="0"/>
                <w:iCs w:val="0"/>
                <w:lang w:eastAsia="zh-CN"/>
              </w:rPr>
              <w:t>）</w:t>
            </w:r>
            <w:r>
              <w:rPr>
                <w:rFonts w:hint="eastAsia"/>
                <w:b w:val="0"/>
                <w:bCs w:val="0"/>
                <w:iCs w:val="0"/>
              </w:rPr>
              <w:t>、《福建省环保厅关于环评审批中落实排污权交易工作要求的通知》</w:t>
            </w:r>
            <w:r>
              <w:rPr>
                <w:rFonts w:hint="eastAsia"/>
                <w:b w:val="0"/>
                <w:bCs w:val="0"/>
                <w:iCs w:val="0"/>
                <w:lang w:eastAsia="zh-CN"/>
              </w:rPr>
              <w:t>（</w:t>
            </w:r>
            <w:r>
              <w:rPr>
                <w:rFonts w:hint="eastAsia"/>
                <w:b w:val="0"/>
                <w:bCs w:val="0"/>
                <w:iCs w:val="0"/>
              </w:rPr>
              <w:t>闽环保评〔2014〕43号</w:t>
            </w:r>
            <w:r>
              <w:rPr>
                <w:rFonts w:hint="eastAsia"/>
                <w:b w:val="0"/>
                <w:bCs w:val="0"/>
                <w:iCs w:val="0"/>
                <w:lang w:eastAsia="zh-CN"/>
              </w:rPr>
              <w:t>）</w:t>
            </w:r>
            <w:r>
              <w:rPr>
                <w:rFonts w:hint="eastAsia"/>
                <w:b w:val="0"/>
                <w:bCs w:val="0"/>
                <w:iCs w:val="0"/>
              </w:rPr>
              <w:t>等有关文件要求。</w:t>
            </w:r>
          </w:p>
          <w:p w14:paraId="145B58E0">
            <w:pPr>
              <w:pStyle w:val="4"/>
              <w:suppressLineNumbers w:val="0"/>
              <w:tabs>
                <w:tab w:val="left" w:pos="420"/>
                <w:tab w:val="clear" w:pos="0"/>
              </w:tabs>
              <w:bidi w:val="0"/>
              <w:spacing w:before="0" w:beforeAutospacing="0" w:after="0" w:afterAutospacing="0"/>
              <w:ind w:left="0" w:right="0"/>
              <w:rPr>
                <w:rFonts w:hint="eastAsia"/>
              </w:rPr>
            </w:pPr>
            <w:r>
              <w:rPr>
                <w:rFonts w:hint="eastAsia"/>
                <w:lang w:eastAsia="zh-CN"/>
              </w:rPr>
              <w:t>水污染物排放</w:t>
            </w:r>
            <w:r>
              <w:rPr>
                <w:rFonts w:hint="eastAsia"/>
              </w:rPr>
              <w:t>总量控制</w:t>
            </w:r>
          </w:p>
          <w:p w14:paraId="6F12E243">
            <w:pPr>
              <w:keepNext w:val="0"/>
              <w:keepLines w:val="0"/>
              <w:suppressLineNumbers w:val="0"/>
              <w:bidi w:val="0"/>
              <w:spacing w:before="0" w:beforeAutospacing="0" w:after="0" w:afterAutospacing="0"/>
              <w:ind w:left="0" w:right="0"/>
              <w:rPr>
                <w:rFonts w:hint="eastAsia"/>
                <w:b w:val="0"/>
                <w:bCs w:val="0"/>
                <w:iCs w:val="0"/>
              </w:rPr>
            </w:pPr>
            <w:r>
              <w:rPr>
                <w:rFonts w:hint="eastAsia"/>
                <w:b w:val="0"/>
                <w:bCs w:val="0"/>
                <w:iCs w:val="0"/>
              </w:rPr>
              <w:t>本项目职工生活污水依托园区内已建化粪池处理</w:t>
            </w:r>
            <w:r>
              <w:rPr>
                <w:rFonts w:hint="eastAsia"/>
                <w:b w:val="0"/>
                <w:bCs w:val="0"/>
                <w:iCs w:val="0"/>
                <w:lang w:eastAsia="zh-CN"/>
              </w:rPr>
              <w:t>达到</w:t>
            </w:r>
            <w:r>
              <w:rPr>
                <w:rFonts w:hint="eastAsia"/>
                <w:b w:val="0"/>
                <w:bCs w:val="0"/>
                <w:iCs w:val="0"/>
              </w:rPr>
              <w:t>《污水综合排放标准》（GB8978-1996）表4中三级标准（其中，氨氮参照执行《污水排入城市下水道水质标准》（GB/T31962-2015）表1的B级标准）后统一纳入市政污水管网，由</w:t>
            </w:r>
            <w:r>
              <w:rPr>
                <w:rFonts w:hint="eastAsia"/>
                <w:b w:val="0"/>
                <w:bCs w:val="0"/>
                <w:iCs w:val="0"/>
                <w:lang w:eastAsia="zh-CN"/>
              </w:rPr>
              <w:t>福清市融元污水处理厂</w:t>
            </w:r>
            <w:r>
              <w:rPr>
                <w:rFonts w:hint="eastAsia"/>
                <w:b w:val="0"/>
                <w:bCs w:val="0"/>
                <w:iCs w:val="0"/>
              </w:rPr>
              <w:t>集中处理，对周边环境影响较小。</w:t>
            </w:r>
            <w:r>
              <w:rPr>
                <w:rFonts w:hint="eastAsia"/>
                <w:b w:val="0"/>
                <w:bCs w:val="0"/>
                <w:iCs w:val="0"/>
                <w:lang w:val="en-US" w:eastAsia="zh-CN"/>
              </w:rPr>
              <w:t>生</w:t>
            </w:r>
            <w:r>
              <w:rPr>
                <w:rFonts w:hint="eastAsia"/>
                <w:b w:val="0"/>
                <w:bCs w:val="0"/>
                <w:iCs w:val="0"/>
              </w:rPr>
              <w:t>活污水排放暂不需要购买相应的排污权指标，因此，无需申请总量控制指标。</w:t>
            </w:r>
          </w:p>
          <w:p w14:paraId="7D9A68B2">
            <w:pPr>
              <w:pStyle w:val="4"/>
              <w:suppressLineNumbers w:val="0"/>
              <w:tabs>
                <w:tab w:val="left" w:pos="420"/>
                <w:tab w:val="clear" w:pos="0"/>
              </w:tabs>
              <w:bidi w:val="0"/>
              <w:spacing w:before="0" w:beforeAutospacing="0" w:after="0" w:afterAutospacing="0"/>
              <w:ind w:left="0" w:right="0"/>
              <w:rPr>
                <w:rFonts w:hint="eastAsia"/>
              </w:rPr>
            </w:pPr>
            <w:r>
              <w:rPr>
                <w:rFonts w:hint="eastAsia"/>
              </w:rPr>
              <w:t>废气总量</w:t>
            </w:r>
          </w:p>
          <w:p w14:paraId="18EC072E">
            <w:pPr>
              <w:keepNext w:val="0"/>
              <w:keepLines w:val="0"/>
              <w:suppressLineNumbers w:val="0"/>
              <w:bidi w:val="0"/>
              <w:spacing w:before="0" w:beforeAutospacing="0" w:after="0" w:afterAutospacing="0"/>
              <w:ind w:left="0" w:right="0"/>
              <w:rPr>
                <w:rFonts w:hint="eastAsia"/>
                <w:lang w:eastAsia="zh-CN"/>
              </w:rPr>
            </w:pPr>
            <w:r>
              <w:rPr>
                <w:rFonts w:hint="eastAsia" w:cs="Times New Roman"/>
                <w:color w:val="auto"/>
                <w:sz w:val="24"/>
                <w:lang w:val="en-US" w:eastAsia="zh-CN"/>
              </w:rPr>
              <w:t>本项目</w:t>
            </w:r>
            <w:r>
              <w:rPr>
                <w:rFonts w:hint="eastAsia" w:ascii="Times New Roman" w:hAnsi="Times New Roman" w:cs="Times New Roman"/>
                <w:color w:val="auto"/>
                <w:sz w:val="24"/>
                <w:lang w:val="en-US" w:eastAsia="zh-CN"/>
              </w:rPr>
              <w:t>设置三条生产线，</w:t>
            </w:r>
            <w:r>
              <w:rPr>
                <w:rFonts w:hint="eastAsia" w:eastAsia="宋体"/>
                <w:szCs w:val="22"/>
                <w:lang w:eastAsia="zh-CN"/>
              </w:rPr>
              <w:t>三条生产线（1#、2#、3#）的废气治理系统完全独立、互不连通。每条生产线的烘干、加烤废气经密闭管道收集，喷漆废气经水帘柜预处理后，合并进入</w:t>
            </w:r>
            <w:r>
              <w:rPr>
                <w:rFonts w:hint="eastAsia"/>
                <w:szCs w:val="22"/>
                <w:lang w:val="en-US" w:eastAsia="zh-CN"/>
              </w:rPr>
              <w:t>相应生产线</w:t>
            </w:r>
            <w:r>
              <w:rPr>
                <w:rFonts w:hint="eastAsia" w:eastAsia="宋体"/>
                <w:szCs w:val="22"/>
                <w:lang w:eastAsia="zh-CN"/>
              </w:rPr>
              <w:t>的“过滤棉+</w:t>
            </w:r>
            <w:r>
              <w:rPr>
                <w:rFonts w:hint="eastAsia"/>
                <w:szCs w:val="22"/>
                <w:lang w:eastAsia="zh-CN"/>
              </w:rPr>
              <w:t>二级活性炭</w:t>
            </w:r>
            <w:r>
              <w:rPr>
                <w:rFonts w:hint="eastAsia" w:eastAsia="宋体"/>
                <w:szCs w:val="22"/>
                <w:lang w:eastAsia="zh-CN"/>
              </w:rPr>
              <w:t>吸附装置”处理，最终由对应的15米高排气筒（分别对应为DA001、DA002、DA003）达标排放</w:t>
            </w:r>
            <w:r>
              <w:rPr>
                <w:rFonts w:hint="default" w:ascii="Times New Roman" w:hAnsi="Times New Roman" w:cs="Times New Roman"/>
                <w:color w:val="auto"/>
                <w:sz w:val="24"/>
              </w:rPr>
              <w:t>，每根排气筒配置一台20000m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/h风量风机</w:t>
            </w:r>
            <w:r>
              <w:rPr>
                <w:rFonts w:hint="eastAsia"/>
              </w:rPr>
              <w:t>，</w:t>
            </w:r>
            <w:r>
              <w:rPr>
                <w:rFonts w:hint="eastAsia"/>
                <w:highlight w:val="none"/>
                <w:lang w:val="en-US" w:eastAsia="zh-CN"/>
              </w:rPr>
              <w:t>合计排放总量为0.4606t/a。</w:t>
            </w:r>
          </w:p>
          <w:p w14:paraId="5226D2AE">
            <w:pPr>
              <w:pStyle w:val="39"/>
              <w:keepNext w:val="0"/>
              <w:keepLines w:val="0"/>
              <w:suppressLineNumbers w:val="0"/>
              <w:bidi w:val="0"/>
              <w:spacing w:before="0" w:beforeAutospacing="0" w:after="0" w:afterAutospacing="0"/>
              <w:ind w:left="0" w:right="0"/>
              <w:rPr>
                <w:rFonts w:hint="eastAsia"/>
              </w:rPr>
            </w:pPr>
            <w:r>
              <w:rPr>
                <w:rFonts w:hint="eastAsia"/>
              </w:rPr>
              <w:t>表3.</w:t>
            </w:r>
            <w:r>
              <w:rPr>
                <w:rFonts w:hint="eastAsia"/>
                <w:lang w:val="en-US" w:eastAsia="zh-CN"/>
              </w:rPr>
              <w:t>8</w:t>
            </w:r>
            <w:r>
              <w:rPr>
                <w:rFonts w:hint="eastAsia"/>
              </w:rPr>
              <w:t>-1 本项目废气污染物建议性控制指标总量一览表  单位：t/a</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139"/>
              <w:gridCol w:w="2024"/>
              <w:gridCol w:w="3798"/>
            </w:tblGrid>
            <w:tr w14:paraId="3E54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jc w:val="center"/>
              </w:trPr>
              <w:tc>
                <w:tcPr>
                  <w:tcW w:w="1343" w:type="pct"/>
                  <w:tcBorders>
                    <w:top w:val="single" w:color="000000" w:sz="12" w:space="0"/>
                    <w:left w:val="nil"/>
                    <w:tl2br w:val="nil"/>
                  </w:tcBorders>
                  <w:shd w:val="clear" w:color="auto" w:fill="auto"/>
                  <w:vAlign w:val="center"/>
                </w:tcPr>
                <w:p w14:paraId="750AF37D">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总量控制项目</w:t>
                  </w:r>
                </w:p>
              </w:tc>
              <w:tc>
                <w:tcPr>
                  <w:tcW w:w="1271" w:type="pct"/>
                  <w:tcBorders>
                    <w:top w:val="single" w:color="000000" w:sz="12" w:space="0"/>
                  </w:tcBorders>
                  <w:shd w:val="clear" w:color="auto" w:fill="auto"/>
                  <w:vAlign w:val="center"/>
                </w:tcPr>
                <w:p w14:paraId="60732A77">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本项目排放总量</w:t>
                  </w:r>
                </w:p>
              </w:tc>
              <w:tc>
                <w:tcPr>
                  <w:tcW w:w="2384" w:type="pct"/>
                  <w:tcBorders>
                    <w:top w:val="single" w:color="000000" w:sz="12" w:space="0"/>
                    <w:right w:val="nil"/>
                  </w:tcBorders>
                  <w:shd w:val="clear" w:color="auto" w:fill="auto"/>
                  <w:noWrap/>
                  <w:vAlign w:val="center"/>
                </w:tcPr>
                <w:p w14:paraId="7AD02F82">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评价建议总量控制指标（污染物</w:t>
                  </w:r>
                  <w:r>
                    <w:rPr>
                      <w:rFonts w:hint="default"/>
                      <w:b w:val="0"/>
                      <w:color w:val="000000"/>
                      <w:szCs w:val="22"/>
                      <w:lang w:val="en-US" w:eastAsia="zh-CN"/>
                    </w:rPr>
                    <w:t>*1.2</w:t>
                  </w:r>
                  <w:r>
                    <w:rPr>
                      <w:rFonts w:hint="eastAsia"/>
                      <w:b w:val="0"/>
                      <w:color w:val="000000"/>
                      <w:szCs w:val="22"/>
                      <w:lang w:val="en-US" w:eastAsia="zh-CN"/>
                    </w:rPr>
                    <w:t>倍）</w:t>
                  </w:r>
                </w:p>
              </w:tc>
            </w:tr>
            <w:tr w14:paraId="33129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1343" w:type="pct"/>
                  <w:tcBorders>
                    <w:left w:val="nil"/>
                  </w:tcBorders>
                  <w:shd w:val="clear" w:color="auto" w:fill="auto"/>
                  <w:vAlign w:val="center"/>
                </w:tcPr>
                <w:p w14:paraId="049749A1">
                  <w:pPr>
                    <w:pStyle w:val="38"/>
                    <w:keepNext w:val="0"/>
                    <w:keepLines w:val="0"/>
                    <w:widowControl/>
                    <w:suppressLineNumbers w:val="0"/>
                    <w:bidi w:val="0"/>
                    <w:spacing w:before="0" w:beforeAutospacing="0" w:after="0" w:afterAutospacing="0"/>
                    <w:ind w:left="0" w:right="0"/>
                    <w:rPr>
                      <w:rFonts w:hint="default"/>
                      <w:b w:val="0"/>
                      <w:color w:val="000000"/>
                      <w:szCs w:val="22"/>
                    </w:rPr>
                  </w:pPr>
                  <w:r>
                    <w:rPr>
                      <w:rFonts w:hint="default"/>
                      <w:b w:val="0"/>
                      <w:color w:val="000000"/>
                      <w:szCs w:val="22"/>
                      <w:lang w:val="en-US" w:eastAsia="zh-CN"/>
                    </w:rPr>
                    <w:t>非甲烷总烃</w:t>
                  </w:r>
                </w:p>
              </w:tc>
              <w:tc>
                <w:tcPr>
                  <w:tcW w:w="1271" w:type="pct"/>
                  <w:shd w:val="clear" w:color="auto" w:fill="auto"/>
                  <w:vAlign w:val="center"/>
                </w:tcPr>
                <w:p w14:paraId="33B762A9">
                  <w:pPr>
                    <w:pStyle w:val="38"/>
                    <w:keepNext w:val="0"/>
                    <w:keepLines w:val="0"/>
                    <w:widowControl/>
                    <w:suppressLineNumbers w:val="0"/>
                    <w:bidi w:val="0"/>
                    <w:spacing w:before="0" w:beforeAutospacing="0" w:after="0" w:afterAutospacing="0"/>
                    <w:ind w:left="0" w:right="0"/>
                    <w:rPr>
                      <w:rFonts w:hint="default"/>
                      <w:b w:val="0"/>
                      <w:color w:val="000000"/>
                      <w:szCs w:val="22"/>
                      <w:lang w:val="en-US"/>
                    </w:rPr>
                  </w:pPr>
                  <w:r>
                    <w:rPr>
                      <w:rFonts w:hint="eastAsia"/>
                      <w:b w:val="0"/>
                      <w:color w:val="000000"/>
                      <w:szCs w:val="22"/>
                      <w:lang w:val="en-US" w:eastAsia="zh-CN"/>
                    </w:rPr>
                    <w:t>0.4606</w:t>
                  </w:r>
                </w:p>
              </w:tc>
              <w:tc>
                <w:tcPr>
                  <w:tcW w:w="2384" w:type="pct"/>
                  <w:tcBorders>
                    <w:right w:val="nil"/>
                  </w:tcBorders>
                  <w:shd w:val="clear" w:color="auto" w:fill="auto"/>
                  <w:noWrap/>
                  <w:vAlign w:val="center"/>
                </w:tcPr>
                <w:p w14:paraId="0BFF082A">
                  <w:pPr>
                    <w:pStyle w:val="38"/>
                    <w:keepNext w:val="0"/>
                    <w:keepLines w:val="0"/>
                    <w:widowControl/>
                    <w:suppressLineNumbers w:val="0"/>
                    <w:bidi w:val="0"/>
                    <w:spacing w:before="0" w:beforeAutospacing="0" w:after="0" w:afterAutospacing="0"/>
                    <w:ind w:left="0" w:right="0"/>
                    <w:rPr>
                      <w:rFonts w:hint="eastAsia" w:eastAsia="宋体"/>
                      <w:b w:val="0"/>
                      <w:color w:val="000000"/>
                      <w:szCs w:val="22"/>
                      <w:lang w:val="en-US" w:eastAsia="zh-CN"/>
                    </w:rPr>
                  </w:pPr>
                  <w:r>
                    <w:rPr>
                      <w:rFonts w:hint="eastAsia"/>
                      <w:b w:val="0"/>
                      <w:color w:val="000000"/>
                      <w:szCs w:val="22"/>
                      <w:lang w:val="en-US" w:eastAsia="zh-CN"/>
                    </w:rPr>
                    <w:t>0.55272</w:t>
                  </w:r>
                </w:p>
              </w:tc>
            </w:tr>
          </w:tbl>
          <w:p w14:paraId="1374EFA7">
            <w:pPr>
              <w:keepNext w:val="0"/>
              <w:keepLines w:val="0"/>
              <w:suppressLineNumbers w:val="0"/>
              <w:bidi w:val="0"/>
              <w:spacing w:before="0" w:beforeAutospacing="0" w:after="0" w:afterAutospacing="0"/>
              <w:ind w:left="0" w:right="0"/>
              <w:rPr>
                <w:rFonts w:hint="eastAsia"/>
                <w:color w:val="auto"/>
              </w:rPr>
            </w:pPr>
            <w:r>
              <w:rPr>
                <w:rFonts w:hint="eastAsia" w:ascii="Times New Roman" w:hAnsi="Times New Roman" w:eastAsia="宋体" w:cs="Times New Roman"/>
                <w:color w:val="auto"/>
                <w:kern w:val="2"/>
                <w:szCs w:val="24"/>
                <w:shd w:val="clear" w:color="auto" w:fill="FFFFFF"/>
                <w:lang w:val="en-US" w:eastAsia="zh-CN"/>
              </w:rPr>
              <w:t>根据</w:t>
            </w:r>
            <w:r>
              <w:rPr>
                <w:rFonts w:hint="default" w:ascii="Times New Roman" w:hAnsi="Times New Roman" w:eastAsia="宋体" w:cs="Times New Roman"/>
                <w:color w:val="auto"/>
                <w:kern w:val="2"/>
                <w:szCs w:val="24"/>
                <w:shd w:val="clear" w:color="auto" w:fill="FFFFFF"/>
                <w:lang w:val="en-US" w:eastAsia="zh-CN"/>
              </w:rPr>
              <w:t>福建省环保厅关于印发《福建省建设项目主要污染物排放总量指标管理办法（试行）》的通知</w:t>
            </w:r>
            <w:r>
              <w:rPr>
                <w:rFonts w:hint="eastAsia" w:ascii="Times New Roman" w:hAnsi="Times New Roman" w:eastAsia="宋体" w:cs="Times New Roman"/>
                <w:color w:val="auto"/>
                <w:kern w:val="2"/>
                <w:szCs w:val="24"/>
                <w:shd w:val="clear" w:color="auto" w:fill="FFFFFF"/>
                <w:lang w:val="en-US" w:eastAsia="zh-CN"/>
              </w:rPr>
              <w:t>（闽环发〔2014〕13号）：“</w:t>
            </w:r>
            <w:r>
              <w:rPr>
                <w:rFonts w:hint="default" w:ascii="Times New Roman" w:hAnsi="Times New Roman" w:eastAsia="宋体" w:cs="Times New Roman"/>
                <w:color w:val="auto"/>
                <w:kern w:val="2"/>
                <w:szCs w:val="24"/>
                <w:shd w:val="clear" w:color="auto" w:fill="FFFFFF"/>
                <w:lang w:val="en-US" w:eastAsia="zh-CN"/>
              </w:rPr>
              <w:t>第十条实行重点区域和行业总量倍量调剂，其倍量调剂比例为以下各单项比例的乘积：（四）工业园区外的工业企业的新增排放量，按不低于1.2倍调剂</w:t>
            </w:r>
            <w:r>
              <w:rPr>
                <w:rFonts w:hint="eastAsia" w:ascii="Times New Roman" w:hAnsi="Times New Roman" w:eastAsia="宋体"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根据《福州市</w:t>
            </w:r>
            <w:r>
              <w:rPr>
                <w:rFonts w:hint="eastAsia" w:ascii="Times New Roman" w:hAnsi="Times New Roman" w:eastAsia="宋体" w:cs="Times New Roman"/>
                <w:color w:val="auto"/>
                <w:kern w:val="2"/>
                <w:szCs w:val="24"/>
                <w:shd w:val="clear" w:color="auto" w:fill="FFFFFF"/>
                <w:lang w:val="en-US" w:eastAsia="zh-CN"/>
              </w:rPr>
              <w:t>生态环境局</w:t>
            </w:r>
            <w:r>
              <w:rPr>
                <w:rFonts w:hint="default" w:ascii="Times New Roman" w:hAnsi="Times New Roman" w:eastAsia="宋体" w:cs="Times New Roman"/>
                <w:color w:val="auto"/>
                <w:kern w:val="2"/>
                <w:szCs w:val="24"/>
                <w:shd w:val="clear" w:color="auto" w:fill="FFFFFF"/>
                <w:lang w:val="en-US" w:eastAsia="zh-CN"/>
              </w:rPr>
              <w:t>关于印发福州市</w:t>
            </w:r>
            <w:r>
              <w:rPr>
                <w:rFonts w:hint="eastAsia" w:ascii="Times New Roman" w:hAnsi="Times New Roman" w:eastAsia="宋体" w:cs="Times New Roman"/>
                <w:color w:val="auto"/>
                <w:kern w:val="2"/>
                <w:szCs w:val="24"/>
                <w:shd w:val="clear" w:color="auto" w:fill="FFFFFF"/>
                <w:lang w:val="en-US" w:eastAsia="zh-CN"/>
              </w:rPr>
              <w:t>大气污染联防联控联治工作方案的通知</w:t>
            </w:r>
            <w:r>
              <w:rPr>
                <w:rFonts w:hint="default" w:ascii="Times New Roman" w:hAnsi="Times New Roman" w:eastAsia="宋体" w:cs="Times New Roman"/>
                <w:color w:val="auto"/>
                <w:kern w:val="2"/>
                <w:szCs w:val="24"/>
                <w:shd w:val="clear" w:color="auto" w:fill="FFFFFF"/>
                <w:lang w:val="en-US" w:eastAsia="zh-CN"/>
              </w:rPr>
              <w:t>》榕环保综</w:t>
            </w:r>
            <w:r>
              <w:rPr>
                <w:rFonts w:hint="eastAsia" w:ascii="Times New Roman" w:hAnsi="Times New Roman" w:eastAsia="宋体" w:cs="Times New Roman"/>
                <w:color w:val="auto"/>
                <w:kern w:val="2"/>
                <w:szCs w:val="24"/>
                <w:shd w:val="clear" w:color="auto" w:fill="FFFFFF"/>
                <w:lang w:val="en-US" w:eastAsia="zh-CN"/>
              </w:rPr>
              <w:t>〔2018〕386号</w:t>
            </w:r>
            <w:r>
              <w:rPr>
                <w:rFonts w:hint="default" w:ascii="Times New Roman" w:hAnsi="Times New Roman" w:eastAsia="宋体" w:cs="Times New Roman"/>
                <w:color w:val="auto"/>
                <w:kern w:val="2"/>
                <w:szCs w:val="24"/>
                <w:shd w:val="clear" w:color="auto" w:fill="FFFFFF"/>
                <w:lang w:val="en-US" w:eastAsia="zh-CN"/>
              </w:rPr>
              <w:t>：VOCs排放实行区域内倍量替代，新、改扩建涉VOCs排放项目，应从源头加强控制，使用低</w:t>
            </w:r>
            <w:r>
              <w:rPr>
                <w:rFonts w:hint="eastAsia" w:ascii="Times New Roman" w:hAnsi="Times New Roman"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无</w:t>
            </w:r>
            <w:r>
              <w:rPr>
                <w:rFonts w:hint="eastAsia" w:ascii="Times New Roman" w:hAnsi="Times New Roman"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VOCs含量的原辅材料，加强废气收集、安装高效治理设施</w:t>
            </w:r>
            <w:r>
              <w:rPr>
                <w:rFonts w:hint="eastAsia" w:ascii="Times New Roman" w:hAnsi="Times New Roman" w:eastAsia="宋体"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根据《2022年度福州市蓝天碧水碧海净土保卫战行动计划》</w:t>
            </w:r>
            <w:r>
              <w:rPr>
                <w:rFonts w:hint="eastAsia" w:ascii="Times New Roman" w:hAnsi="Times New Roman"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榕环委办</w:t>
            </w:r>
            <w:r>
              <w:rPr>
                <w:rFonts w:hint="eastAsia" w:ascii="Times New Roman" w:hAnsi="Times New Roman" w:eastAsia="宋体" w:cs="Times New Roman"/>
                <w:color w:val="auto"/>
                <w:kern w:val="2"/>
                <w:szCs w:val="24"/>
                <w:shd w:val="clear" w:color="auto" w:fill="FFFFFF"/>
                <w:lang w:val="en-US" w:eastAsia="zh-CN"/>
              </w:rPr>
              <w:t>〔2022〕49号</w:t>
            </w:r>
            <w:r>
              <w:rPr>
                <w:rFonts w:hint="eastAsia" w:ascii="Times New Roman" w:hAnsi="Times New Roman" w:cs="Times New Roman"/>
                <w:color w:val="auto"/>
                <w:kern w:val="2"/>
                <w:szCs w:val="24"/>
                <w:shd w:val="clear" w:color="auto" w:fill="FFFFFF"/>
                <w:lang w:val="en-US" w:eastAsia="zh-CN"/>
              </w:rPr>
              <w:t>）</w:t>
            </w:r>
            <w:r>
              <w:rPr>
                <w:rFonts w:hint="eastAsia" w:ascii="Times New Roman" w:hAnsi="Times New Roman" w:eastAsia="宋体"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实施新建项目VOC</w:t>
            </w:r>
            <w:r>
              <w:rPr>
                <w:rFonts w:hint="eastAsia" w:ascii="Times New Roman" w:hAnsi="Times New Roman" w:eastAsia="宋体" w:cs="Times New Roman"/>
                <w:color w:val="auto"/>
                <w:kern w:val="2"/>
                <w:szCs w:val="24"/>
                <w:shd w:val="clear" w:color="auto" w:fill="FFFFFF"/>
                <w:lang w:val="en-US" w:eastAsia="zh-CN"/>
              </w:rPr>
              <w:t>s</w:t>
            </w:r>
            <w:r>
              <w:rPr>
                <w:rFonts w:hint="default" w:ascii="Times New Roman" w:hAnsi="Times New Roman" w:eastAsia="宋体" w:cs="Times New Roman"/>
                <w:color w:val="auto"/>
                <w:kern w:val="2"/>
                <w:szCs w:val="24"/>
                <w:shd w:val="clear" w:color="auto" w:fill="FFFFFF"/>
                <w:lang w:val="en-US" w:eastAsia="zh-CN"/>
              </w:rPr>
              <w:t>排放区域内倍量替代。</w:t>
            </w:r>
            <w:r>
              <w:rPr>
                <w:rFonts w:hint="eastAsia" w:ascii="Times New Roman" w:hAnsi="Times New Roman" w:eastAsia="宋体" w:cs="Times New Roman"/>
                <w:color w:val="auto"/>
                <w:kern w:val="2"/>
                <w:szCs w:val="24"/>
                <w:shd w:val="clear" w:color="auto" w:fill="FFFFFF"/>
                <w:lang w:val="en-US" w:eastAsia="zh-CN"/>
              </w:rPr>
              <w:t>本项目VOCs（以非甲烷总烃计）的排放总量为</w:t>
            </w:r>
            <w:r>
              <w:rPr>
                <w:rFonts w:hint="eastAsia" w:ascii="Times New Roman" w:hAnsi="Times New Roman" w:eastAsia="宋体" w:cs="Times New Roman"/>
                <w:color w:val="auto"/>
                <w:kern w:val="2"/>
                <w:szCs w:val="24"/>
                <w:highlight w:val="none"/>
                <w:shd w:val="clear" w:color="auto" w:fill="FFFFFF"/>
                <w:lang w:val="en-US" w:eastAsia="zh-CN"/>
              </w:rPr>
              <w:t>：</w:t>
            </w:r>
            <w:r>
              <w:rPr>
                <w:rFonts w:hint="eastAsia" w:ascii="Times New Roman" w:hAnsi="Times New Roman" w:cs="Times New Roman"/>
                <w:color w:val="auto"/>
                <w:kern w:val="2"/>
                <w:szCs w:val="24"/>
                <w:highlight w:val="none"/>
                <w:shd w:val="clear" w:color="auto" w:fill="FFFFFF"/>
                <w:lang w:val="en-US" w:eastAsia="zh-CN"/>
              </w:rPr>
              <w:t>0.4606</w:t>
            </w:r>
            <w:r>
              <w:rPr>
                <w:rFonts w:hint="eastAsia" w:ascii="Times New Roman" w:hAnsi="Times New Roman" w:eastAsia="宋体" w:cs="Times New Roman"/>
                <w:color w:val="auto"/>
                <w:kern w:val="2"/>
                <w:szCs w:val="24"/>
                <w:highlight w:val="none"/>
                <w:shd w:val="clear" w:color="auto" w:fill="FFFFFF"/>
                <w:lang w:val="en-US" w:eastAsia="zh-CN"/>
              </w:rPr>
              <w:t>t/a</w:t>
            </w:r>
            <w:r>
              <w:rPr>
                <w:rFonts w:hint="eastAsia" w:ascii="Times New Roman" w:hAnsi="Times New Roman" w:eastAsia="宋体" w:cs="Times New Roman"/>
                <w:color w:val="auto"/>
                <w:kern w:val="2"/>
                <w:szCs w:val="24"/>
                <w:shd w:val="clear" w:color="auto" w:fill="FFFFFF"/>
                <w:lang w:val="en-US" w:eastAsia="zh-CN"/>
              </w:rPr>
              <w:t>。因此，本项目排放的VOCs总量</w:t>
            </w:r>
            <w:r>
              <w:rPr>
                <w:rFonts w:hint="default" w:ascii="Times New Roman" w:hAnsi="Times New Roman" w:eastAsia="宋体" w:cs="Times New Roman"/>
                <w:color w:val="auto"/>
                <w:kern w:val="2"/>
                <w:szCs w:val="24"/>
                <w:shd w:val="clear" w:color="auto" w:fill="FFFFFF"/>
                <w:lang w:val="en-US" w:eastAsia="zh-CN"/>
              </w:rPr>
              <w:t>由建设单位向</w:t>
            </w:r>
            <w:r>
              <w:rPr>
                <w:rFonts w:hint="eastAsia" w:ascii="Times New Roman" w:hAnsi="Times New Roman" w:eastAsia="宋体" w:cs="Times New Roman"/>
                <w:color w:val="auto"/>
                <w:kern w:val="2"/>
                <w:szCs w:val="24"/>
                <w:shd w:val="clear" w:color="auto" w:fill="FFFFFF"/>
                <w:lang w:val="en-US" w:eastAsia="zh-CN"/>
              </w:rPr>
              <w:t>福州市福清生态环境局</w:t>
            </w:r>
            <w:r>
              <w:rPr>
                <w:rFonts w:hint="default" w:ascii="Times New Roman" w:hAnsi="Times New Roman" w:eastAsia="宋体" w:cs="Times New Roman"/>
                <w:color w:val="auto"/>
                <w:kern w:val="2"/>
                <w:szCs w:val="24"/>
                <w:shd w:val="clear" w:color="auto" w:fill="FFFFFF"/>
                <w:lang w:val="en-US" w:eastAsia="zh-CN"/>
              </w:rPr>
              <w:t>申请区域</w:t>
            </w:r>
            <w:r>
              <w:rPr>
                <w:rFonts w:hint="eastAsia" w:ascii="Times New Roman" w:hAnsi="Times New Roman" w:eastAsia="宋体" w:cs="Times New Roman"/>
                <w:color w:val="auto"/>
                <w:kern w:val="2"/>
                <w:szCs w:val="24"/>
                <w:shd w:val="clear" w:color="auto" w:fill="FFFFFF"/>
                <w:lang w:val="en-US" w:eastAsia="zh-CN"/>
              </w:rPr>
              <w:t>倍量</w:t>
            </w:r>
            <w:r>
              <w:rPr>
                <w:rFonts w:hint="default" w:ascii="Times New Roman" w:hAnsi="Times New Roman" w:eastAsia="宋体" w:cs="Times New Roman"/>
                <w:color w:val="auto"/>
                <w:kern w:val="2"/>
                <w:szCs w:val="24"/>
                <w:shd w:val="clear" w:color="auto" w:fill="FFFFFF"/>
                <w:lang w:val="en-US" w:eastAsia="zh-CN"/>
              </w:rPr>
              <w:t>替代</w:t>
            </w:r>
            <w:r>
              <w:rPr>
                <w:rFonts w:hint="eastAsia" w:ascii="Times New Roman" w:hAnsi="Times New Roman" w:cs="Times New Roman"/>
                <w:color w:val="auto"/>
                <w:kern w:val="2"/>
                <w:szCs w:val="24"/>
                <w:shd w:val="clear" w:color="auto" w:fill="FFFFFF"/>
                <w:lang w:val="en-US" w:eastAsia="zh-CN"/>
              </w:rPr>
              <w:t>，调剂量为0.55272t/a</w:t>
            </w:r>
            <w:r>
              <w:rPr>
                <w:rFonts w:hint="eastAsia" w:ascii="Times New Roman" w:hAnsi="Times New Roman" w:eastAsia="宋体"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建设单位承诺在项目投产前取得</w:t>
            </w:r>
            <w:r>
              <w:rPr>
                <w:rFonts w:hint="eastAsia" w:ascii="Times New Roman" w:hAnsi="Times New Roman" w:eastAsia="宋体" w:cs="Times New Roman"/>
                <w:color w:val="auto"/>
                <w:kern w:val="2"/>
                <w:szCs w:val="24"/>
                <w:shd w:val="clear" w:color="auto" w:fill="FFFFFF"/>
                <w:lang w:val="en-US" w:eastAsia="zh-CN"/>
              </w:rPr>
              <w:t>各污染</w:t>
            </w:r>
            <w:r>
              <w:rPr>
                <w:rFonts w:hint="default" w:ascii="Times New Roman" w:hAnsi="Times New Roman" w:eastAsia="宋体" w:cs="Times New Roman"/>
                <w:color w:val="auto"/>
                <w:kern w:val="2"/>
                <w:szCs w:val="24"/>
                <w:shd w:val="clear" w:color="auto" w:fill="FFFFFF"/>
                <w:lang w:val="en-US" w:eastAsia="zh-CN"/>
              </w:rPr>
              <w:t>VOCs</w:t>
            </w:r>
            <w:r>
              <w:rPr>
                <w:rFonts w:hint="eastAsia" w:ascii="Times New Roman" w:hAnsi="Times New Roman" w:eastAsia="宋体"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以非甲烷总烃计</w:t>
            </w:r>
            <w:r>
              <w:rPr>
                <w:rFonts w:hint="eastAsia" w:ascii="Times New Roman" w:hAnsi="Times New Roman" w:eastAsia="宋体" w:cs="Times New Roman"/>
                <w:color w:val="auto"/>
                <w:kern w:val="2"/>
                <w:szCs w:val="24"/>
                <w:shd w:val="clear" w:color="auto" w:fill="FFFFFF"/>
                <w:lang w:val="en-US" w:eastAsia="zh-CN"/>
              </w:rPr>
              <w:t>）总量</w:t>
            </w:r>
            <w:r>
              <w:rPr>
                <w:rFonts w:hint="default" w:ascii="Times New Roman" w:hAnsi="Times New Roman" w:eastAsia="宋体" w:cs="Times New Roman"/>
                <w:color w:val="auto"/>
                <w:kern w:val="2"/>
                <w:szCs w:val="24"/>
                <w:shd w:val="clear" w:color="auto" w:fill="FFFFFF"/>
                <w:lang w:val="en-US" w:eastAsia="zh-CN"/>
              </w:rPr>
              <w:t>的</w:t>
            </w:r>
            <w:r>
              <w:rPr>
                <w:rFonts w:hint="eastAsia" w:ascii="Times New Roman" w:hAnsi="Times New Roman" w:eastAsia="宋体" w:cs="Times New Roman"/>
                <w:color w:val="auto"/>
                <w:kern w:val="2"/>
                <w:szCs w:val="24"/>
                <w:shd w:val="clear" w:color="auto" w:fill="FFFFFF"/>
                <w:lang w:val="en-US" w:eastAsia="zh-CN"/>
              </w:rPr>
              <w:t>倍量</w:t>
            </w:r>
            <w:r>
              <w:rPr>
                <w:rFonts w:hint="default" w:ascii="Times New Roman" w:hAnsi="Times New Roman" w:eastAsia="宋体" w:cs="Times New Roman"/>
                <w:color w:val="auto"/>
                <w:kern w:val="2"/>
                <w:szCs w:val="24"/>
                <w:shd w:val="clear" w:color="auto" w:fill="FFFFFF"/>
                <w:lang w:val="en-US" w:eastAsia="zh-CN"/>
              </w:rPr>
              <w:t>替代</w:t>
            </w:r>
            <w:r>
              <w:rPr>
                <w:rFonts w:hint="eastAsia" w:ascii="Times New Roman" w:hAnsi="Times New Roman" w:eastAsia="宋体"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并依法</w:t>
            </w:r>
            <w:r>
              <w:rPr>
                <w:rFonts w:hint="eastAsia" w:ascii="Times New Roman" w:hAnsi="Times New Roman" w:eastAsia="宋体" w:cs="Times New Roman"/>
                <w:color w:val="auto"/>
                <w:kern w:val="2"/>
                <w:szCs w:val="24"/>
                <w:shd w:val="clear" w:color="auto" w:fill="FFFFFF"/>
                <w:lang w:val="en-US" w:eastAsia="zh-CN"/>
              </w:rPr>
              <w:t>办理</w:t>
            </w:r>
            <w:r>
              <w:rPr>
                <w:rFonts w:hint="default" w:ascii="Times New Roman" w:hAnsi="Times New Roman" w:eastAsia="宋体" w:cs="Times New Roman"/>
                <w:color w:val="auto"/>
                <w:kern w:val="2"/>
                <w:szCs w:val="24"/>
                <w:shd w:val="clear" w:color="auto" w:fill="FFFFFF"/>
                <w:lang w:val="en-US" w:eastAsia="zh-CN"/>
              </w:rPr>
              <w:t>排污许可</w:t>
            </w:r>
            <w:r>
              <w:rPr>
                <w:rFonts w:hint="eastAsia" w:ascii="Times New Roman" w:hAnsi="Times New Roman" w:eastAsia="宋体" w:cs="Times New Roman"/>
                <w:color w:val="auto"/>
                <w:kern w:val="2"/>
                <w:szCs w:val="24"/>
                <w:shd w:val="clear" w:color="auto" w:fill="FFFFFF"/>
                <w:lang w:val="en-US" w:eastAsia="zh-CN"/>
              </w:rPr>
              <w:t>手续。</w:t>
            </w:r>
          </w:p>
        </w:tc>
      </w:tr>
    </w:tbl>
    <w:p w14:paraId="3A474295">
      <w:pPr>
        <w:pStyle w:val="2"/>
        <w:tabs>
          <w:tab w:val="left" w:pos="420"/>
          <w:tab w:val="clear" w:pos="715"/>
        </w:tabs>
        <w:bidi w:val="0"/>
        <w:rPr>
          <w:color w:val="auto"/>
        </w:rPr>
      </w:pPr>
      <w:r>
        <w:rPr>
          <w:color w:val="auto"/>
          <w:sz w:val="36"/>
          <w:szCs w:val="36"/>
        </w:rPr>
        <w:br w:type="page"/>
      </w:r>
      <w:bookmarkStart w:id="27" w:name="_Toc5321"/>
      <w:bookmarkStart w:id="28" w:name="_Toc10069"/>
      <w:r>
        <w:rPr>
          <w:color w:val="auto"/>
        </w:rPr>
        <w:t>主要环境影响和保护措施</w:t>
      </w:r>
      <w:bookmarkEnd w:id="27"/>
      <w:bookmarkEnd w:id="28"/>
    </w:p>
    <w:tbl>
      <w:tblPr>
        <w:tblStyle w:val="29"/>
        <w:tblW w:w="89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9"/>
        <w:gridCol w:w="8531"/>
      </w:tblGrid>
      <w:tr w14:paraId="5CB0BA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92" w:hRule="atLeast"/>
          <w:jc w:val="center"/>
        </w:trPr>
        <w:tc>
          <w:tcPr>
            <w:tcW w:w="449" w:type="dxa"/>
            <w:noWrap w:val="0"/>
            <w:tcMar>
              <w:left w:w="28" w:type="dxa"/>
              <w:right w:w="28" w:type="dxa"/>
            </w:tcMar>
            <w:vAlign w:val="center"/>
          </w:tcPr>
          <w:p w14:paraId="311BF744">
            <w:pPr>
              <w:pStyle w:val="40"/>
              <w:keepNext w:val="0"/>
              <w:keepLines w:val="0"/>
              <w:suppressLineNumbers w:val="0"/>
              <w:bidi w:val="0"/>
              <w:spacing w:before="0" w:beforeAutospacing="0" w:after="0" w:afterAutospacing="0"/>
              <w:ind w:left="0" w:right="0"/>
              <w:rPr>
                <w:rFonts w:hint="eastAsia"/>
              </w:rPr>
            </w:pPr>
            <w:r>
              <w:rPr>
                <w:rFonts w:hint="eastAsia"/>
              </w:rPr>
              <w:t>施工期环境保护措施</w:t>
            </w:r>
          </w:p>
        </w:tc>
        <w:tc>
          <w:tcPr>
            <w:tcW w:w="8531" w:type="dxa"/>
            <w:noWrap w:val="0"/>
            <w:vAlign w:val="center"/>
          </w:tcPr>
          <w:p w14:paraId="0ED9BB09">
            <w:pPr>
              <w:keepNext w:val="0"/>
              <w:keepLines w:val="0"/>
              <w:suppressLineNumbers w:val="0"/>
              <w:bidi w:val="0"/>
              <w:spacing w:before="0" w:beforeAutospacing="0" w:after="0" w:afterAutospacing="0"/>
              <w:ind w:left="0" w:right="0"/>
              <w:rPr>
                <w:rFonts w:hint="eastAsia" w:eastAsia="宋体"/>
                <w:bCs/>
                <w:color w:val="auto"/>
                <w:spacing w:val="-10"/>
                <w:szCs w:val="21"/>
                <w:lang w:val="en-US" w:eastAsia="zh-CN"/>
              </w:rPr>
            </w:pPr>
            <w:r>
              <w:rPr>
                <w:rFonts w:hint="eastAsia"/>
              </w:rPr>
              <w:t>本项目位于</w:t>
            </w:r>
            <w:r>
              <w:rPr>
                <w:rFonts w:hint="eastAsia"/>
                <w:lang w:val="en-US" w:eastAsia="zh-CN"/>
              </w:rPr>
              <w:t>福清融侨经济技术开发区（租赁福清洪添科技有限公司车间2第3层）</w:t>
            </w:r>
            <w:r>
              <w:rPr>
                <w:rFonts w:hint="eastAsia"/>
              </w:rPr>
              <w:t>，根据现场勘查，该厂房主体结构已经建成，</w:t>
            </w:r>
            <w:r>
              <w:rPr>
                <w:rFonts w:hint="eastAsia"/>
                <w:b w:val="0"/>
                <w:bCs w:val="0"/>
                <w:iCs w:val="0"/>
              </w:rPr>
              <w:t>项目施工期主要为设备安装、调试阶段产生的环境问题，本项目设备安装、调试简单</w:t>
            </w:r>
            <w:r>
              <w:rPr>
                <w:rFonts w:hint="eastAsia"/>
                <w:b w:val="0"/>
                <w:bCs w:val="0"/>
                <w:iCs w:val="0"/>
                <w:lang w:eastAsia="zh-CN"/>
              </w:rPr>
              <w:t>且</w:t>
            </w:r>
            <w:r>
              <w:rPr>
                <w:rFonts w:hint="eastAsia"/>
                <w:b w:val="0"/>
                <w:bCs w:val="0"/>
                <w:iCs w:val="0"/>
              </w:rPr>
              <w:t>时间较短，因此，随着设备安装、调试完毕后，项目施工期也将结束，施工期环境影响也</w:t>
            </w:r>
            <w:r>
              <w:rPr>
                <w:rFonts w:hint="eastAsia"/>
                <w:b w:val="0"/>
                <w:bCs w:val="0"/>
                <w:iCs w:val="0"/>
                <w:lang w:eastAsia="zh-CN"/>
              </w:rPr>
              <w:t>随之</w:t>
            </w:r>
            <w:r>
              <w:rPr>
                <w:rFonts w:hint="eastAsia"/>
                <w:b w:val="0"/>
                <w:bCs w:val="0"/>
                <w:iCs w:val="0"/>
              </w:rPr>
              <w:t>消失，不会对周边环境噪声影响。</w:t>
            </w:r>
          </w:p>
        </w:tc>
      </w:tr>
      <w:tr w14:paraId="6D4A44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92" w:hRule="atLeast"/>
          <w:jc w:val="center"/>
        </w:trPr>
        <w:tc>
          <w:tcPr>
            <w:tcW w:w="449" w:type="dxa"/>
            <w:noWrap w:val="0"/>
            <w:tcMar>
              <w:left w:w="28" w:type="dxa"/>
              <w:right w:w="28" w:type="dxa"/>
            </w:tcMar>
            <w:vAlign w:val="center"/>
          </w:tcPr>
          <w:p w14:paraId="0628F5C5">
            <w:pPr>
              <w:pStyle w:val="40"/>
              <w:keepNext w:val="0"/>
              <w:keepLines w:val="0"/>
              <w:suppressLineNumbers w:val="0"/>
              <w:bidi w:val="0"/>
              <w:spacing w:before="0" w:beforeAutospacing="0" w:after="0" w:afterAutospacing="0"/>
              <w:ind w:left="0" w:right="0"/>
              <w:rPr>
                <w:rFonts w:hint="eastAsia"/>
              </w:rPr>
            </w:pPr>
            <w:r>
              <w:rPr>
                <w:rFonts w:hint="eastAsia"/>
              </w:rPr>
              <w:t>运营期环境影响和保护措施</w:t>
            </w:r>
          </w:p>
        </w:tc>
        <w:tc>
          <w:tcPr>
            <w:tcW w:w="8531" w:type="dxa"/>
            <w:noWrap w:val="0"/>
            <w:vAlign w:val="center"/>
          </w:tcPr>
          <w:p w14:paraId="40D5A3E3">
            <w:pPr>
              <w:pStyle w:val="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rPr>
            </w:pPr>
            <w:r>
              <w:rPr>
                <w:rFonts w:hint="eastAsia"/>
              </w:rPr>
              <w:t>运营期水环境影响分析和污染防治措施</w:t>
            </w:r>
          </w:p>
          <w:p w14:paraId="6B35D092">
            <w:pPr>
              <w:pStyle w:val="4"/>
              <w:keepNext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rPr>
            </w:pPr>
            <w:bookmarkStart w:id="29" w:name="_Toc18741"/>
            <w:r>
              <w:rPr>
                <w:rFonts w:hint="eastAsia"/>
              </w:rPr>
              <w:t>运营期废水源强核算</w:t>
            </w:r>
            <w:bookmarkEnd w:id="29"/>
          </w:p>
          <w:p w14:paraId="0B49E6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lang w:val="en-US" w:eastAsia="zh-CN"/>
              </w:rPr>
            </w:pPr>
            <w:r>
              <w:rPr>
                <w:rFonts w:hint="eastAsia"/>
                <w:lang w:val="en-US" w:eastAsia="zh-CN"/>
              </w:rPr>
              <w:t>本项目无生产废水产生，水帘喷漆用水循环使用不外排</w:t>
            </w:r>
            <w:r>
              <w:rPr>
                <w:rFonts w:hint="default"/>
                <w:lang w:eastAsia="zh-CN"/>
              </w:rPr>
              <w:t>，</w:t>
            </w:r>
            <w:r>
              <w:rPr>
                <w:rFonts w:hint="eastAsia"/>
                <w:lang w:eastAsia="zh-CN"/>
              </w:rPr>
              <w:t>定期捞漆渣，喷漆废水不属于危险废物，但为了控制生产过程中可能发生的环境风险，</w:t>
            </w:r>
            <w:r>
              <w:rPr>
                <w:rFonts w:hint="default"/>
                <w:lang w:eastAsia="zh-CN"/>
              </w:rPr>
              <w:t>待浓度过高时按危废委托有资质的</w:t>
            </w:r>
            <w:r>
              <w:rPr>
                <w:rFonts w:hint="eastAsia"/>
                <w:lang w:eastAsia="zh-CN"/>
              </w:rPr>
              <w:t>危废处置</w:t>
            </w:r>
            <w:r>
              <w:rPr>
                <w:rFonts w:hint="default"/>
                <w:lang w:eastAsia="zh-CN"/>
              </w:rPr>
              <w:t>单位处置</w:t>
            </w:r>
            <w:r>
              <w:rPr>
                <w:rFonts w:hint="eastAsia"/>
                <w:lang w:eastAsia="zh-CN"/>
              </w:rPr>
              <w:t>，</w:t>
            </w:r>
            <w:r>
              <w:rPr>
                <w:rFonts w:hint="eastAsia"/>
                <w:lang w:val="en-US" w:eastAsia="zh-CN"/>
              </w:rPr>
              <w:t>因此</w:t>
            </w:r>
            <w:r>
              <w:rPr>
                <w:rFonts w:hint="eastAsia"/>
                <w:lang w:eastAsia="zh-CN"/>
              </w:rPr>
              <w:t>，</w:t>
            </w:r>
            <w:r>
              <w:rPr>
                <w:rFonts w:hint="eastAsia"/>
                <w:lang w:val="en-US" w:eastAsia="zh-CN"/>
              </w:rPr>
              <w:t>外排废水仅有生活污水。</w:t>
            </w:r>
          </w:p>
          <w:p w14:paraId="3ECFD5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rPr>
            </w:pPr>
            <w:r>
              <w:rPr>
                <w:rFonts w:hint="eastAsia"/>
              </w:rPr>
              <w:t>（</w:t>
            </w:r>
            <w:r>
              <w:rPr>
                <w:rFonts w:hint="eastAsia"/>
                <w:lang w:val="en-US" w:eastAsia="zh-CN"/>
              </w:rPr>
              <w:t>1</w:t>
            </w:r>
            <w:r>
              <w:rPr>
                <w:rFonts w:hint="eastAsia"/>
              </w:rPr>
              <w:t>）职工生活用水</w:t>
            </w:r>
          </w:p>
          <w:p w14:paraId="622844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rPr>
            </w:pPr>
            <w:r>
              <w:rPr>
                <w:rFonts w:hint="eastAsia"/>
              </w:rPr>
              <w:t>项目劳动定员</w:t>
            </w:r>
            <w:r>
              <w:rPr>
                <w:rFonts w:hint="eastAsia"/>
                <w:lang w:val="en-US" w:eastAsia="zh-CN"/>
              </w:rPr>
              <w:t>13</w:t>
            </w:r>
            <w:r>
              <w:rPr>
                <w:rFonts w:hint="eastAsia"/>
              </w:rPr>
              <w:t>人，</w:t>
            </w:r>
            <w:r>
              <w:rPr>
                <w:rFonts w:hint="eastAsia"/>
                <w:lang w:val="en-US" w:eastAsia="zh-CN"/>
              </w:rPr>
              <w:t>均</w:t>
            </w:r>
            <w:r>
              <w:rPr>
                <w:rFonts w:hint="eastAsia"/>
              </w:rPr>
              <w:t>不</w:t>
            </w:r>
            <w:r>
              <w:rPr>
                <w:rFonts w:hint="eastAsia"/>
                <w:lang w:val="en-US" w:eastAsia="zh-CN"/>
              </w:rPr>
              <w:t>在</w:t>
            </w:r>
            <w:r>
              <w:rPr>
                <w:rFonts w:hint="eastAsia"/>
              </w:rPr>
              <w:t>厂</w:t>
            </w:r>
            <w:r>
              <w:rPr>
                <w:rFonts w:hint="eastAsia"/>
                <w:lang w:val="en-US" w:eastAsia="zh-CN"/>
              </w:rPr>
              <w:t>食宿</w:t>
            </w:r>
            <w:r>
              <w:rPr>
                <w:rFonts w:hint="eastAsia"/>
              </w:rPr>
              <w:t>，根据《建筑给水排水设计规范》（GB</w:t>
            </w:r>
            <w:r>
              <w:rPr>
                <w:rFonts w:hint="eastAsia"/>
                <w:lang w:eastAsia="zh-CN"/>
              </w:rPr>
              <w:t>50</w:t>
            </w:r>
            <w:r>
              <w:rPr>
                <w:rFonts w:hint="eastAsia"/>
              </w:rPr>
              <w:t>015-2019），不住宿员工用水量按</w:t>
            </w:r>
            <w:r>
              <w:rPr>
                <w:rFonts w:hint="eastAsia"/>
                <w:lang w:val="en-US" w:eastAsia="zh-CN"/>
              </w:rPr>
              <w:t>50</w:t>
            </w:r>
            <w:r>
              <w:rPr>
                <w:rFonts w:hint="eastAsia"/>
              </w:rPr>
              <w:t>L/人·d计算，则职工生活用水量为</w:t>
            </w:r>
            <w:r>
              <w:rPr>
                <w:rFonts w:hint="eastAsia"/>
                <w:lang w:val="en-US" w:eastAsia="zh-CN"/>
              </w:rPr>
              <w:t>0.65</w:t>
            </w:r>
            <w:r>
              <w:rPr>
                <w:rFonts w:hint="eastAsia"/>
              </w:rPr>
              <w:t>t/d（</w:t>
            </w:r>
            <w:r>
              <w:rPr>
                <w:rFonts w:hint="eastAsia"/>
                <w:lang w:val="en-US" w:eastAsia="zh-CN"/>
              </w:rPr>
              <w:t>195</w:t>
            </w:r>
            <w:r>
              <w:rPr>
                <w:rFonts w:hint="eastAsia"/>
              </w:rPr>
              <w:t>t/a），排放系数按80%计，则项目职工生活污水产生量为</w:t>
            </w:r>
            <w:r>
              <w:rPr>
                <w:rFonts w:hint="eastAsia"/>
                <w:lang w:val="en-US" w:eastAsia="zh-CN"/>
              </w:rPr>
              <w:t>0.52</w:t>
            </w:r>
            <w:r>
              <w:rPr>
                <w:rFonts w:hint="eastAsia"/>
              </w:rPr>
              <w:t>t/d（</w:t>
            </w:r>
            <w:r>
              <w:rPr>
                <w:rFonts w:hint="eastAsia"/>
                <w:lang w:val="en-US" w:eastAsia="zh-CN"/>
              </w:rPr>
              <w:t>156t</w:t>
            </w:r>
            <w:r>
              <w:rPr>
                <w:rFonts w:hint="eastAsia"/>
              </w:rPr>
              <w:t>/a）。</w:t>
            </w:r>
          </w:p>
          <w:p w14:paraId="379604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rPr>
            </w:pPr>
            <w:r>
              <w:rPr>
                <w:rFonts w:hint="default"/>
                <w:lang w:val="en-US" w:eastAsia="zh-CN"/>
              </w:rPr>
              <w:t>根据</w:t>
            </w:r>
            <w:r>
              <w:rPr>
                <w:rFonts w:hint="eastAsia"/>
                <w:lang w:val="en-US" w:eastAsia="zh-CN"/>
              </w:rPr>
              <w:t>《</w:t>
            </w:r>
            <w:r>
              <w:rPr>
                <w:rFonts w:hint="default"/>
                <w:lang w:val="en-US" w:eastAsia="zh-CN"/>
              </w:rPr>
              <w:t>给水排水设计手册</w:t>
            </w:r>
            <w:r>
              <w:rPr>
                <w:rFonts w:hint="eastAsia"/>
                <w:lang w:val="en-US" w:eastAsia="zh-CN"/>
              </w:rPr>
              <w:t>》（</w:t>
            </w:r>
            <w:r>
              <w:rPr>
                <w:rFonts w:hint="default"/>
                <w:lang w:val="en-US" w:eastAsia="zh-CN"/>
              </w:rPr>
              <w:t>第5册</w:t>
            </w:r>
            <w:r>
              <w:rPr>
                <w:rFonts w:hint="eastAsia"/>
                <w:lang w:val="en-US" w:eastAsia="zh-CN"/>
              </w:rPr>
              <w:t>）</w:t>
            </w:r>
            <w:r>
              <w:rPr>
                <w:rFonts w:hint="default"/>
                <w:lang w:val="en-US" w:eastAsia="zh-CN"/>
              </w:rPr>
              <w:t>中城镇污水水质，生活污水中各主要污染物浓度COD：400mg/L，BOD</w:t>
            </w:r>
            <w:r>
              <w:rPr>
                <w:rFonts w:hint="default"/>
                <w:vertAlign w:val="subscript"/>
                <w:lang w:val="en-US" w:eastAsia="zh-CN"/>
              </w:rPr>
              <w:t>5</w:t>
            </w:r>
            <w:r>
              <w:rPr>
                <w:rFonts w:hint="eastAsia"/>
                <w:vertAlign w:val="subscript"/>
                <w:lang w:val="en-US" w:eastAsia="zh-CN"/>
              </w:rPr>
              <w:t>:</w:t>
            </w:r>
            <w:r>
              <w:rPr>
                <w:rFonts w:hint="default"/>
                <w:lang w:val="en-US" w:eastAsia="zh-CN"/>
              </w:rPr>
              <w:t>220mg/L，SS：200mg/L，NH</w:t>
            </w:r>
            <w:r>
              <w:rPr>
                <w:rFonts w:hint="eastAsia"/>
                <w:vertAlign w:val="subscript"/>
                <w:lang w:val="en-US" w:eastAsia="zh-CN"/>
              </w:rPr>
              <w:t>3</w:t>
            </w:r>
            <w:r>
              <w:rPr>
                <w:rFonts w:hint="default"/>
                <w:lang w:val="en-US" w:eastAsia="zh-CN"/>
              </w:rPr>
              <w:t>-N：35mg/L</w:t>
            </w:r>
            <w:r>
              <w:rPr>
                <w:rFonts w:hint="eastAsia"/>
              </w:rPr>
              <w:t>。项目属于福清融元污水处理厂服务范围，项目生活污水经出租方现有的化粪池处理</w:t>
            </w:r>
            <w:r>
              <w:rPr>
                <w:rFonts w:hint="eastAsia"/>
                <w:lang w:eastAsia="zh-CN"/>
              </w:rPr>
              <w:t>达到</w:t>
            </w:r>
            <w:r>
              <w:rPr>
                <w:rFonts w:hint="eastAsia"/>
              </w:rPr>
              <w:t>《污水综合排放标准》（GB8978-1996）三级标准</w:t>
            </w:r>
            <w:r>
              <w:rPr>
                <w:rFonts w:hint="eastAsia"/>
                <w:lang w:eastAsia="zh-CN"/>
              </w:rPr>
              <w:t>（</w:t>
            </w:r>
            <w:r>
              <w:rPr>
                <w:rFonts w:hint="eastAsia"/>
              </w:rPr>
              <w:t>氨氮达到《污水排入城镇下水道水质标准》（GB/T31962-2015）B级标准</w:t>
            </w:r>
            <w:r>
              <w:rPr>
                <w:rFonts w:hint="eastAsia"/>
                <w:lang w:eastAsia="zh-CN"/>
              </w:rPr>
              <w:t>）</w:t>
            </w:r>
            <w:r>
              <w:rPr>
                <w:rFonts w:hint="eastAsia"/>
              </w:rPr>
              <w:t>后，接入</w:t>
            </w:r>
            <w:r>
              <w:rPr>
                <w:rFonts w:hint="eastAsia"/>
                <w:lang w:val="en-US" w:eastAsia="zh-CN"/>
              </w:rPr>
              <w:t>市政</w:t>
            </w:r>
            <w:r>
              <w:rPr>
                <w:rFonts w:hint="eastAsia"/>
              </w:rPr>
              <w:t>污水管网</w:t>
            </w:r>
            <w:r>
              <w:rPr>
                <w:rFonts w:hint="eastAsia"/>
                <w:lang w:eastAsia="zh-CN"/>
              </w:rPr>
              <w:t>，</w:t>
            </w:r>
            <w:r>
              <w:rPr>
                <w:rFonts w:hint="eastAsia"/>
                <w:lang w:val="en-US" w:eastAsia="zh-CN"/>
              </w:rPr>
              <w:t>最终排入福清融元污水处理厂处理统一处理</w:t>
            </w:r>
            <w:r>
              <w:rPr>
                <w:rFonts w:hint="eastAsia"/>
              </w:rPr>
              <w:t>。各污染物产生排放情况见表4.</w:t>
            </w:r>
            <w:r>
              <w:rPr>
                <w:rFonts w:hint="eastAsia"/>
                <w:lang w:val="en-US" w:eastAsia="zh-CN"/>
              </w:rPr>
              <w:t>1</w:t>
            </w:r>
            <w:r>
              <w:rPr>
                <w:rFonts w:hint="eastAsia"/>
              </w:rPr>
              <w:t>-1。</w:t>
            </w:r>
          </w:p>
          <w:p w14:paraId="33763DA3">
            <w:pPr>
              <w:pStyle w:val="39"/>
              <w:keepNext/>
              <w:keepLines/>
              <w:pageBreakBefore w:val="0"/>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rPr>
            </w:pPr>
            <w:r>
              <w:rPr>
                <w:rFonts w:hint="default"/>
              </w:rPr>
              <w:t>表4.</w:t>
            </w:r>
            <w:r>
              <w:rPr>
                <w:rFonts w:hint="default"/>
                <w:lang w:val="en-US" w:eastAsia="zh-CN"/>
              </w:rPr>
              <w:t>1</w:t>
            </w:r>
            <w:r>
              <w:rPr>
                <w:rFonts w:hint="default"/>
              </w:rPr>
              <w:t>-1  项目污水污染源源强核算结果及相关参数一览表</w:t>
            </w:r>
          </w:p>
          <w:tbl>
            <w:tblPr>
              <w:tblStyle w:val="29"/>
              <w:tblW w:w="0" w:type="auto"/>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023"/>
              <w:gridCol w:w="2579"/>
              <w:gridCol w:w="864"/>
              <w:gridCol w:w="864"/>
              <w:gridCol w:w="864"/>
              <w:gridCol w:w="882"/>
            </w:tblGrid>
            <w:tr w14:paraId="2065D98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7" w:hRule="atLeast"/>
                <w:jc w:val="center"/>
              </w:trPr>
              <w:tc>
                <w:tcPr>
                  <w:tcW w:w="2023" w:type="dxa"/>
                  <w:tcBorders>
                    <w:top w:val="single" w:color="000000" w:sz="12" w:space="0"/>
                    <w:left w:val="nil"/>
                    <w:tl2br w:val="nil"/>
                  </w:tcBorders>
                  <w:shd w:val="clear" w:color="auto" w:fill="auto"/>
                  <w:vAlign w:val="center"/>
                </w:tcPr>
                <w:p w14:paraId="579A5514">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废水量</w:t>
                  </w:r>
                </w:p>
              </w:tc>
              <w:tc>
                <w:tcPr>
                  <w:tcW w:w="2579" w:type="dxa"/>
                  <w:tcBorders>
                    <w:top w:val="single" w:color="000000" w:sz="12" w:space="0"/>
                  </w:tcBorders>
                  <w:shd w:val="clear" w:color="auto" w:fill="auto"/>
                  <w:vAlign w:val="center"/>
                </w:tcPr>
                <w:p w14:paraId="1143E0E8">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项目</w:t>
                  </w:r>
                </w:p>
              </w:tc>
              <w:tc>
                <w:tcPr>
                  <w:tcW w:w="864" w:type="dxa"/>
                  <w:tcBorders>
                    <w:top w:val="single" w:color="000000" w:sz="12" w:space="0"/>
                  </w:tcBorders>
                  <w:shd w:val="clear" w:color="auto" w:fill="auto"/>
                  <w:vAlign w:val="center"/>
                </w:tcPr>
                <w:p w14:paraId="34B9D6BC">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COD</w:t>
                  </w:r>
                </w:p>
              </w:tc>
              <w:tc>
                <w:tcPr>
                  <w:tcW w:w="864" w:type="dxa"/>
                  <w:tcBorders>
                    <w:top w:val="single" w:color="000000" w:sz="12" w:space="0"/>
                  </w:tcBorders>
                  <w:shd w:val="clear" w:color="auto" w:fill="auto"/>
                  <w:vAlign w:val="center"/>
                </w:tcPr>
                <w:p w14:paraId="62E94E1E">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BOD</w:t>
                  </w:r>
                  <w:r>
                    <w:rPr>
                      <w:rFonts w:hint="eastAsia"/>
                      <w:b w:val="0"/>
                      <w:color w:val="000000"/>
                      <w:szCs w:val="22"/>
                      <w:vertAlign w:val="subscript"/>
                      <w:lang w:val="en-US" w:eastAsia="zh-CN"/>
                    </w:rPr>
                    <w:t>5</w:t>
                  </w:r>
                </w:p>
              </w:tc>
              <w:tc>
                <w:tcPr>
                  <w:tcW w:w="864" w:type="dxa"/>
                  <w:tcBorders>
                    <w:top w:val="single" w:color="000000" w:sz="12" w:space="0"/>
                  </w:tcBorders>
                  <w:shd w:val="clear" w:color="auto" w:fill="auto"/>
                  <w:vAlign w:val="center"/>
                </w:tcPr>
                <w:p w14:paraId="1D89776C">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SS</w:t>
                  </w:r>
                </w:p>
              </w:tc>
              <w:tc>
                <w:tcPr>
                  <w:tcW w:w="882" w:type="dxa"/>
                  <w:tcBorders>
                    <w:top w:val="single" w:color="000000" w:sz="12" w:space="0"/>
                    <w:right w:val="nil"/>
                  </w:tcBorders>
                  <w:shd w:val="clear" w:color="auto" w:fill="auto"/>
                  <w:vAlign w:val="center"/>
                </w:tcPr>
                <w:p w14:paraId="423B5B23">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NH</w:t>
                  </w:r>
                  <w:r>
                    <w:rPr>
                      <w:rFonts w:hint="eastAsia"/>
                      <w:b w:val="0"/>
                      <w:color w:val="000000"/>
                      <w:szCs w:val="22"/>
                      <w:vertAlign w:val="subscript"/>
                      <w:lang w:val="en-US" w:eastAsia="zh-CN"/>
                    </w:rPr>
                    <w:t>3</w:t>
                  </w:r>
                  <w:r>
                    <w:rPr>
                      <w:rFonts w:hint="eastAsia"/>
                      <w:b w:val="0"/>
                      <w:color w:val="000000"/>
                      <w:szCs w:val="22"/>
                      <w:lang w:val="en-US" w:eastAsia="zh-CN"/>
                    </w:rPr>
                    <w:t>-N</w:t>
                  </w:r>
                </w:p>
              </w:tc>
            </w:tr>
            <w:tr w14:paraId="6AE1D15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023" w:type="dxa"/>
                  <w:vMerge w:val="restart"/>
                  <w:tcBorders>
                    <w:left w:val="nil"/>
                  </w:tcBorders>
                  <w:shd w:val="clear" w:color="auto" w:fill="auto"/>
                  <w:vAlign w:val="center"/>
                </w:tcPr>
                <w:p w14:paraId="2C538820">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生活污水（195t/a）</w:t>
                  </w:r>
                </w:p>
              </w:tc>
              <w:tc>
                <w:tcPr>
                  <w:tcW w:w="2579" w:type="dxa"/>
                  <w:shd w:val="clear" w:color="auto" w:fill="auto"/>
                  <w:vAlign w:val="center"/>
                </w:tcPr>
                <w:p w14:paraId="4DC270C1">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污染物产生浓度（mg/L）</w:t>
                  </w:r>
                </w:p>
              </w:tc>
              <w:tc>
                <w:tcPr>
                  <w:tcW w:w="864" w:type="dxa"/>
                  <w:shd w:val="clear" w:color="auto" w:fill="auto"/>
                  <w:vAlign w:val="center"/>
                </w:tcPr>
                <w:p w14:paraId="52EA985F">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400</w:t>
                  </w:r>
                </w:p>
              </w:tc>
              <w:tc>
                <w:tcPr>
                  <w:tcW w:w="864" w:type="dxa"/>
                  <w:shd w:val="clear" w:color="auto" w:fill="auto"/>
                  <w:vAlign w:val="center"/>
                </w:tcPr>
                <w:p w14:paraId="20E20B3A">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220</w:t>
                  </w:r>
                </w:p>
              </w:tc>
              <w:tc>
                <w:tcPr>
                  <w:tcW w:w="864" w:type="dxa"/>
                  <w:shd w:val="clear" w:color="auto" w:fill="auto"/>
                  <w:vAlign w:val="center"/>
                </w:tcPr>
                <w:p w14:paraId="309C4506">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200</w:t>
                  </w:r>
                </w:p>
              </w:tc>
              <w:tc>
                <w:tcPr>
                  <w:tcW w:w="882" w:type="dxa"/>
                  <w:tcBorders>
                    <w:right w:val="nil"/>
                  </w:tcBorders>
                  <w:shd w:val="clear" w:color="auto" w:fill="auto"/>
                  <w:vAlign w:val="center"/>
                </w:tcPr>
                <w:p w14:paraId="189AC7AA">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35</w:t>
                  </w:r>
                </w:p>
              </w:tc>
            </w:tr>
            <w:tr w14:paraId="5EFE31D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4" w:hRule="atLeast"/>
                <w:jc w:val="center"/>
              </w:trPr>
              <w:tc>
                <w:tcPr>
                  <w:tcW w:w="2023" w:type="dxa"/>
                  <w:vMerge w:val="continue"/>
                  <w:tcBorders>
                    <w:left w:val="nil"/>
                  </w:tcBorders>
                  <w:shd w:val="clear" w:color="auto" w:fill="auto"/>
                  <w:vAlign w:val="center"/>
                </w:tcPr>
                <w:p w14:paraId="3E013416">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p>
              </w:tc>
              <w:tc>
                <w:tcPr>
                  <w:tcW w:w="2579" w:type="dxa"/>
                  <w:shd w:val="clear" w:color="auto" w:fill="auto"/>
                  <w:vAlign w:val="center"/>
                </w:tcPr>
                <w:p w14:paraId="4E590D8C">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污染物产生量（t/a）</w:t>
                  </w:r>
                </w:p>
              </w:tc>
              <w:tc>
                <w:tcPr>
                  <w:tcW w:w="864" w:type="dxa"/>
                  <w:shd w:val="clear" w:color="auto" w:fill="auto"/>
                  <w:vAlign w:val="center"/>
                </w:tcPr>
                <w:p w14:paraId="0310E00D">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0.0624</w:t>
                  </w:r>
                </w:p>
              </w:tc>
              <w:tc>
                <w:tcPr>
                  <w:tcW w:w="864" w:type="dxa"/>
                  <w:shd w:val="clear" w:color="auto" w:fill="auto"/>
                  <w:vAlign w:val="center"/>
                </w:tcPr>
                <w:p w14:paraId="53ABCCE2">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0.0343</w:t>
                  </w:r>
                </w:p>
              </w:tc>
              <w:tc>
                <w:tcPr>
                  <w:tcW w:w="864" w:type="dxa"/>
                  <w:shd w:val="clear" w:color="auto" w:fill="auto"/>
                  <w:vAlign w:val="center"/>
                </w:tcPr>
                <w:p w14:paraId="7EED5841">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0.0312</w:t>
                  </w:r>
                </w:p>
              </w:tc>
              <w:tc>
                <w:tcPr>
                  <w:tcW w:w="882" w:type="dxa"/>
                  <w:tcBorders>
                    <w:right w:val="nil"/>
                  </w:tcBorders>
                  <w:shd w:val="clear" w:color="auto" w:fill="auto"/>
                  <w:vAlign w:val="center"/>
                </w:tcPr>
                <w:p w14:paraId="14FD2F02">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0.0055</w:t>
                  </w:r>
                </w:p>
              </w:tc>
            </w:tr>
            <w:tr w14:paraId="19A8E1E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9" w:hRule="atLeast"/>
                <w:jc w:val="center"/>
              </w:trPr>
              <w:tc>
                <w:tcPr>
                  <w:tcW w:w="2023" w:type="dxa"/>
                  <w:tcBorders>
                    <w:left w:val="nil"/>
                  </w:tcBorders>
                  <w:shd w:val="clear" w:color="auto" w:fill="auto"/>
                  <w:vAlign w:val="center"/>
                </w:tcPr>
                <w:p w14:paraId="05B3EBF1">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处理措施</w:t>
                  </w:r>
                </w:p>
              </w:tc>
              <w:tc>
                <w:tcPr>
                  <w:tcW w:w="6053" w:type="dxa"/>
                  <w:gridSpan w:val="5"/>
                  <w:tcBorders>
                    <w:right w:val="nil"/>
                  </w:tcBorders>
                  <w:shd w:val="clear" w:color="auto" w:fill="auto"/>
                  <w:vAlign w:val="center"/>
                </w:tcPr>
                <w:p w14:paraId="2B269899">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依托厂区现有的化粪池处理达标后排入市政污水管网，最终进入福清市融元污水处理厂进行处理</w:t>
                  </w:r>
                </w:p>
              </w:tc>
            </w:tr>
            <w:tr w14:paraId="090A234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4" w:hRule="atLeast"/>
                <w:jc w:val="center"/>
              </w:trPr>
              <w:tc>
                <w:tcPr>
                  <w:tcW w:w="2023" w:type="dxa"/>
                  <w:vMerge w:val="restart"/>
                  <w:tcBorders>
                    <w:left w:val="nil"/>
                  </w:tcBorders>
                  <w:shd w:val="clear" w:color="auto" w:fill="auto"/>
                  <w:vAlign w:val="center"/>
                </w:tcPr>
                <w:p w14:paraId="65343C68">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生活污水（156t/a）</w:t>
                  </w:r>
                </w:p>
              </w:tc>
              <w:tc>
                <w:tcPr>
                  <w:tcW w:w="2579" w:type="dxa"/>
                  <w:shd w:val="clear" w:color="auto" w:fill="auto"/>
                  <w:vAlign w:val="center"/>
                </w:tcPr>
                <w:p w14:paraId="2919556D">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化粪池处理效率</w:t>
                  </w:r>
                </w:p>
              </w:tc>
              <w:tc>
                <w:tcPr>
                  <w:tcW w:w="864" w:type="dxa"/>
                  <w:shd w:val="clear" w:color="auto" w:fill="auto"/>
                  <w:vAlign w:val="center"/>
                </w:tcPr>
                <w:p w14:paraId="28E4A4FC">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20.3%</w:t>
                  </w:r>
                </w:p>
              </w:tc>
              <w:tc>
                <w:tcPr>
                  <w:tcW w:w="864" w:type="dxa"/>
                  <w:shd w:val="clear" w:color="auto" w:fill="auto"/>
                  <w:vAlign w:val="center"/>
                </w:tcPr>
                <w:p w14:paraId="5817AEC5">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21.2%</w:t>
                  </w:r>
                </w:p>
              </w:tc>
              <w:tc>
                <w:tcPr>
                  <w:tcW w:w="864" w:type="dxa"/>
                  <w:shd w:val="clear" w:color="auto" w:fill="auto"/>
                  <w:vAlign w:val="center"/>
                </w:tcPr>
                <w:p w14:paraId="5F203C96">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47.0%</w:t>
                  </w:r>
                </w:p>
              </w:tc>
              <w:tc>
                <w:tcPr>
                  <w:tcW w:w="882" w:type="dxa"/>
                  <w:tcBorders>
                    <w:right w:val="nil"/>
                  </w:tcBorders>
                  <w:shd w:val="clear" w:color="auto" w:fill="auto"/>
                  <w:vAlign w:val="center"/>
                </w:tcPr>
                <w:p w14:paraId="0D76D043">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3.1%</w:t>
                  </w:r>
                </w:p>
              </w:tc>
            </w:tr>
            <w:tr w14:paraId="080EC4B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9" w:hRule="atLeast"/>
                <w:jc w:val="center"/>
              </w:trPr>
              <w:tc>
                <w:tcPr>
                  <w:tcW w:w="2023" w:type="dxa"/>
                  <w:vMerge w:val="continue"/>
                  <w:tcBorders>
                    <w:left w:val="nil"/>
                  </w:tcBorders>
                  <w:shd w:val="clear" w:color="auto" w:fill="auto"/>
                  <w:vAlign w:val="center"/>
                </w:tcPr>
                <w:p w14:paraId="64FEB4AB">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p>
              </w:tc>
              <w:tc>
                <w:tcPr>
                  <w:tcW w:w="2579" w:type="dxa"/>
                  <w:shd w:val="clear" w:color="auto" w:fill="auto"/>
                  <w:vAlign w:val="center"/>
                </w:tcPr>
                <w:p w14:paraId="7F791D5B">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经化粪池处理后废水排放浓度（mg/L）</w:t>
                  </w:r>
                </w:p>
              </w:tc>
              <w:tc>
                <w:tcPr>
                  <w:tcW w:w="864" w:type="dxa"/>
                  <w:shd w:val="clear" w:color="auto" w:fill="auto"/>
                  <w:vAlign w:val="center"/>
                </w:tcPr>
                <w:p w14:paraId="74F7E8E7">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318.8</w:t>
                  </w:r>
                </w:p>
              </w:tc>
              <w:tc>
                <w:tcPr>
                  <w:tcW w:w="864" w:type="dxa"/>
                  <w:shd w:val="clear" w:color="auto" w:fill="auto"/>
                  <w:vAlign w:val="center"/>
                </w:tcPr>
                <w:p w14:paraId="520474DE">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173.4</w:t>
                  </w:r>
                </w:p>
              </w:tc>
              <w:tc>
                <w:tcPr>
                  <w:tcW w:w="864" w:type="dxa"/>
                  <w:shd w:val="clear" w:color="auto" w:fill="auto"/>
                  <w:vAlign w:val="center"/>
                </w:tcPr>
                <w:p w14:paraId="0FB447ED">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106</w:t>
                  </w:r>
                </w:p>
              </w:tc>
              <w:tc>
                <w:tcPr>
                  <w:tcW w:w="882" w:type="dxa"/>
                  <w:tcBorders>
                    <w:right w:val="nil"/>
                  </w:tcBorders>
                  <w:shd w:val="clear" w:color="auto" w:fill="auto"/>
                  <w:vAlign w:val="center"/>
                </w:tcPr>
                <w:p w14:paraId="654D5C73">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33.9</w:t>
                  </w:r>
                </w:p>
              </w:tc>
            </w:tr>
            <w:tr w14:paraId="41CFADC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9" w:hRule="atLeast"/>
                <w:jc w:val="center"/>
              </w:trPr>
              <w:tc>
                <w:tcPr>
                  <w:tcW w:w="2023" w:type="dxa"/>
                  <w:vMerge w:val="continue"/>
                  <w:tcBorders>
                    <w:left w:val="nil"/>
                  </w:tcBorders>
                  <w:shd w:val="clear" w:color="auto" w:fill="auto"/>
                  <w:vAlign w:val="center"/>
                </w:tcPr>
                <w:p w14:paraId="5D85D870">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p>
              </w:tc>
              <w:tc>
                <w:tcPr>
                  <w:tcW w:w="2579" w:type="dxa"/>
                  <w:shd w:val="clear" w:color="auto" w:fill="auto"/>
                  <w:vAlign w:val="center"/>
                </w:tcPr>
                <w:p w14:paraId="329CAF3B">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经化粪池处理后废水排放量（t/a）</w:t>
                  </w:r>
                </w:p>
              </w:tc>
              <w:tc>
                <w:tcPr>
                  <w:tcW w:w="864" w:type="dxa"/>
                  <w:shd w:val="clear" w:color="auto" w:fill="auto"/>
                  <w:vAlign w:val="center"/>
                </w:tcPr>
                <w:p w14:paraId="5E366F11">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0.0497</w:t>
                  </w:r>
                </w:p>
              </w:tc>
              <w:tc>
                <w:tcPr>
                  <w:tcW w:w="864" w:type="dxa"/>
                  <w:shd w:val="clear" w:color="auto" w:fill="auto"/>
                  <w:vAlign w:val="center"/>
                </w:tcPr>
                <w:p w14:paraId="79DB6740">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0.0271</w:t>
                  </w:r>
                </w:p>
              </w:tc>
              <w:tc>
                <w:tcPr>
                  <w:tcW w:w="864" w:type="dxa"/>
                  <w:shd w:val="clear" w:color="auto" w:fill="auto"/>
                  <w:vAlign w:val="center"/>
                </w:tcPr>
                <w:p w14:paraId="065D9B4B">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0.0165</w:t>
                  </w:r>
                </w:p>
              </w:tc>
              <w:tc>
                <w:tcPr>
                  <w:tcW w:w="882" w:type="dxa"/>
                  <w:tcBorders>
                    <w:right w:val="nil"/>
                  </w:tcBorders>
                  <w:shd w:val="clear" w:color="auto" w:fill="auto"/>
                  <w:vAlign w:val="center"/>
                </w:tcPr>
                <w:p w14:paraId="5F52F596">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0.0053</w:t>
                  </w:r>
                </w:p>
              </w:tc>
            </w:tr>
            <w:tr w14:paraId="6F8651B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4" w:hRule="atLeast"/>
                <w:jc w:val="center"/>
              </w:trPr>
              <w:tc>
                <w:tcPr>
                  <w:tcW w:w="4602" w:type="dxa"/>
                  <w:gridSpan w:val="2"/>
                  <w:tcBorders>
                    <w:left w:val="nil"/>
                  </w:tcBorders>
                  <w:shd w:val="clear" w:color="auto" w:fill="auto"/>
                  <w:vAlign w:val="center"/>
                </w:tcPr>
                <w:p w14:paraId="339E03B2">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福清市融元污水处理厂纳污指标（mg/L）</w:t>
                  </w:r>
                </w:p>
              </w:tc>
              <w:tc>
                <w:tcPr>
                  <w:tcW w:w="864" w:type="dxa"/>
                  <w:shd w:val="clear" w:color="auto" w:fill="auto"/>
                  <w:vAlign w:val="center"/>
                </w:tcPr>
                <w:p w14:paraId="0F0CAAE3">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w:t>
                  </w:r>
                  <w:r>
                    <w:rPr>
                      <w:rFonts w:hint="eastAsia"/>
                      <w:b w:val="0"/>
                      <w:color w:val="000000"/>
                      <w:szCs w:val="22"/>
                      <w:lang w:val="en-US" w:eastAsia="zh-CN"/>
                    </w:rPr>
                    <w:t>400</w:t>
                  </w:r>
                </w:p>
              </w:tc>
              <w:tc>
                <w:tcPr>
                  <w:tcW w:w="864" w:type="dxa"/>
                  <w:shd w:val="clear" w:color="auto" w:fill="auto"/>
                  <w:vAlign w:val="center"/>
                </w:tcPr>
                <w:p w14:paraId="245AAD6E">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w:t>
                  </w:r>
                  <w:r>
                    <w:rPr>
                      <w:rFonts w:hint="eastAsia"/>
                      <w:b w:val="0"/>
                      <w:color w:val="000000"/>
                      <w:szCs w:val="22"/>
                      <w:lang w:val="en-US" w:eastAsia="zh-CN"/>
                    </w:rPr>
                    <w:t>220</w:t>
                  </w:r>
                </w:p>
              </w:tc>
              <w:tc>
                <w:tcPr>
                  <w:tcW w:w="864" w:type="dxa"/>
                  <w:shd w:val="clear" w:color="auto" w:fill="auto"/>
                  <w:vAlign w:val="center"/>
                </w:tcPr>
                <w:p w14:paraId="234D36FF">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≤2</w:t>
                  </w:r>
                  <w:r>
                    <w:rPr>
                      <w:rFonts w:hint="eastAsia"/>
                      <w:b w:val="0"/>
                      <w:color w:val="000000"/>
                      <w:szCs w:val="22"/>
                      <w:lang w:val="en-US" w:eastAsia="zh-CN"/>
                    </w:rPr>
                    <w:t>80</w:t>
                  </w:r>
                </w:p>
              </w:tc>
              <w:tc>
                <w:tcPr>
                  <w:tcW w:w="882" w:type="dxa"/>
                  <w:tcBorders>
                    <w:right w:val="nil"/>
                  </w:tcBorders>
                  <w:shd w:val="clear" w:color="auto" w:fill="auto"/>
                  <w:vAlign w:val="center"/>
                </w:tcPr>
                <w:p w14:paraId="18AC9C6F">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w:t>
                  </w:r>
                  <w:r>
                    <w:rPr>
                      <w:rFonts w:hint="eastAsia"/>
                      <w:b w:val="0"/>
                      <w:color w:val="000000"/>
                      <w:szCs w:val="22"/>
                      <w:lang w:val="en-US" w:eastAsia="zh-CN"/>
                    </w:rPr>
                    <w:t>37</w:t>
                  </w:r>
                </w:p>
              </w:tc>
            </w:tr>
            <w:tr w14:paraId="2B5E5D5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9" w:hRule="atLeast"/>
                <w:jc w:val="center"/>
              </w:trPr>
              <w:tc>
                <w:tcPr>
                  <w:tcW w:w="4602" w:type="dxa"/>
                  <w:gridSpan w:val="2"/>
                  <w:tcBorders>
                    <w:left w:val="nil"/>
                  </w:tcBorders>
                  <w:shd w:val="clear" w:color="auto" w:fill="auto"/>
                  <w:vAlign w:val="center"/>
                </w:tcPr>
                <w:p w14:paraId="0575356C">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福清市融元污水处理厂尾水排放指标（mg/L）</w:t>
                  </w:r>
                </w:p>
              </w:tc>
              <w:tc>
                <w:tcPr>
                  <w:tcW w:w="864" w:type="dxa"/>
                  <w:shd w:val="clear" w:color="auto" w:fill="auto"/>
                  <w:vAlign w:val="center"/>
                </w:tcPr>
                <w:p w14:paraId="2251ADB4">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w:t>
                  </w:r>
                  <w:r>
                    <w:rPr>
                      <w:rFonts w:hint="eastAsia"/>
                      <w:b w:val="0"/>
                      <w:color w:val="000000"/>
                      <w:szCs w:val="22"/>
                      <w:lang w:val="en-US" w:eastAsia="zh-CN"/>
                    </w:rPr>
                    <w:t>50</w:t>
                  </w:r>
                </w:p>
              </w:tc>
              <w:tc>
                <w:tcPr>
                  <w:tcW w:w="864" w:type="dxa"/>
                  <w:shd w:val="clear" w:color="auto" w:fill="auto"/>
                  <w:vAlign w:val="center"/>
                </w:tcPr>
                <w:p w14:paraId="0C068CB7">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w:t>
                  </w:r>
                  <w:r>
                    <w:rPr>
                      <w:rFonts w:hint="eastAsia"/>
                      <w:b w:val="0"/>
                      <w:color w:val="000000"/>
                      <w:szCs w:val="22"/>
                      <w:lang w:val="en-US" w:eastAsia="zh-CN"/>
                    </w:rPr>
                    <w:t>10</w:t>
                  </w:r>
                </w:p>
              </w:tc>
              <w:tc>
                <w:tcPr>
                  <w:tcW w:w="864" w:type="dxa"/>
                  <w:shd w:val="clear" w:color="auto" w:fill="auto"/>
                  <w:vAlign w:val="center"/>
                </w:tcPr>
                <w:p w14:paraId="5F31297B">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w:t>
                  </w:r>
                  <w:r>
                    <w:rPr>
                      <w:rFonts w:hint="eastAsia"/>
                      <w:b w:val="0"/>
                      <w:color w:val="000000"/>
                      <w:szCs w:val="22"/>
                      <w:lang w:val="en-US" w:eastAsia="zh-CN"/>
                    </w:rPr>
                    <w:t>10</w:t>
                  </w:r>
                </w:p>
              </w:tc>
              <w:tc>
                <w:tcPr>
                  <w:tcW w:w="882" w:type="dxa"/>
                  <w:tcBorders>
                    <w:right w:val="nil"/>
                  </w:tcBorders>
                  <w:shd w:val="clear" w:color="auto" w:fill="auto"/>
                  <w:vAlign w:val="center"/>
                </w:tcPr>
                <w:p w14:paraId="18FF69DD">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default"/>
                      <w:b w:val="0"/>
                      <w:color w:val="000000"/>
                      <w:szCs w:val="22"/>
                    </w:rPr>
                  </w:pPr>
                  <w:r>
                    <w:rPr>
                      <w:rFonts w:hint="default"/>
                      <w:b w:val="0"/>
                      <w:color w:val="000000"/>
                      <w:szCs w:val="22"/>
                      <w:lang w:val="en-US" w:eastAsia="zh-CN"/>
                    </w:rPr>
                    <w:t>≤</w:t>
                  </w:r>
                  <w:r>
                    <w:rPr>
                      <w:rFonts w:hint="eastAsia"/>
                      <w:b w:val="0"/>
                      <w:color w:val="000000"/>
                      <w:szCs w:val="22"/>
                      <w:lang w:val="en-US" w:eastAsia="zh-CN"/>
                    </w:rPr>
                    <w:t>5</w:t>
                  </w:r>
                </w:p>
              </w:tc>
            </w:tr>
            <w:tr w14:paraId="1CE03C4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6" w:hRule="atLeast"/>
                <w:jc w:val="center"/>
              </w:trPr>
              <w:tc>
                <w:tcPr>
                  <w:tcW w:w="4602" w:type="dxa"/>
                  <w:gridSpan w:val="2"/>
                  <w:tcBorders>
                    <w:left w:val="nil"/>
                    <w:bottom w:val="single" w:color="000000" w:sz="12" w:space="0"/>
                  </w:tcBorders>
                  <w:shd w:val="clear" w:color="auto" w:fill="auto"/>
                  <w:vAlign w:val="center"/>
                </w:tcPr>
                <w:p w14:paraId="41C8029D">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排口排放达标分析</w:t>
                  </w:r>
                </w:p>
              </w:tc>
              <w:tc>
                <w:tcPr>
                  <w:tcW w:w="864" w:type="dxa"/>
                  <w:tcBorders>
                    <w:bottom w:val="single" w:color="000000" w:sz="12" w:space="0"/>
                  </w:tcBorders>
                  <w:shd w:val="clear" w:color="auto" w:fill="auto"/>
                  <w:vAlign w:val="center"/>
                </w:tcPr>
                <w:p w14:paraId="48D4F000">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达标</w:t>
                  </w:r>
                </w:p>
              </w:tc>
              <w:tc>
                <w:tcPr>
                  <w:tcW w:w="864" w:type="dxa"/>
                  <w:tcBorders>
                    <w:bottom w:val="single" w:color="000000" w:sz="12" w:space="0"/>
                  </w:tcBorders>
                  <w:shd w:val="clear" w:color="auto" w:fill="auto"/>
                  <w:vAlign w:val="center"/>
                </w:tcPr>
                <w:p w14:paraId="268B4F42">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达标</w:t>
                  </w:r>
                </w:p>
              </w:tc>
              <w:tc>
                <w:tcPr>
                  <w:tcW w:w="864" w:type="dxa"/>
                  <w:tcBorders>
                    <w:bottom w:val="single" w:color="000000" w:sz="12" w:space="0"/>
                  </w:tcBorders>
                  <w:shd w:val="clear" w:color="auto" w:fill="auto"/>
                  <w:vAlign w:val="center"/>
                </w:tcPr>
                <w:p w14:paraId="48223639">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达标</w:t>
                  </w:r>
                </w:p>
              </w:tc>
              <w:tc>
                <w:tcPr>
                  <w:tcW w:w="882" w:type="dxa"/>
                  <w:tcBorders>
                    <w:bottom w:val="single" w:color="000000" w:sz="12" w:space="0"/>
                    <w:right w:val="nil"/>
                  </w:tcBorders>
                  <w:shd w:val="clear" w:color="auto" w:fill="auto"/>
                  <w:vAlign w:val="center"/>
                </w:tcPr>
                <w:p w14:paraId="3CB2C7D8">
                  <w:pPr>
                    <w:pStyle w:val="38"/>
                    <w:keepNext/>
                    <w:keepLines/>
                    <w:pageBreakBefore w:val="0"/>
                    <w:widowControl/>
                    <w:suppressLineNumbers w:val="0"/>
                    <w:kinsoku w:val="0"/>
                    <w:wordWrap/>
                    <w:overflowPunct w:val="0"/>
                    <w:topLinePunct w:val="0"/>
                    <w:autoSpaceDE w:val="0"/>
                    <w:autoSpaceDN w:val="0"/>
                    <w:bidi w:val="0"/>
                    <w:snapToGrid w:val="0"/>
                    <w:spacing w:before="0" w:beforeAutospacing="0" w:after="0" w:afterAutospacing="0"/>
                    <w:ind w:left="0" w:right="0"/>
                    <w:textAlignment w:val="auto"/>
                    <w:rPr>
                      <w:rFonts w:hint="eastAsia"/>
                      <w:b w:val="0"/>
                      <w:color w:val="000000"/>
                      <w:szCs w:val="22"/>
                    </w:rPr>
                  </w:pPr>
                  <w:r>
                    <w:rPr>
                      <w:rFonts w:hint="eastAsia"/>
                      <w:b w:val="0"/>
                      <w:color w:val="000000"/>
                      <w:szCs w:val="22"/>
                      <w:lang w:val="en-US" w:eastAsia="zh-CN"/>
                    </w:rPr>
                    <w:t>达标</w:t>
                  </w:r>
                </w:p>
              </w:tc>
            </w:tr>
          </w:tbl>
          <w:p w14:paraId="09D9DB0A">
            <w:pPr>
              <w:keepNext/>
              <w:keepLines/>
              <w:pageBreakBefore w:val="0"/>
              <w:suppressLineNumbers w:val="0"/>
              <w:kinsoku w:val="0"/>
              <w:wordWrap/>
              <w:overflowPunct w:val="0"/>
              <w:topLinePunct w:val="0"/>
              <w:autoSpaceDE w:val="0"/>
              <w:autoSpaceDN w:val="0"/>
              <w:bidi w:val="0"/>
              <w:snapToGrid w:val="0"/>
              <w:spacing w:before="0" w:beforeAutospacing="0" w:after="0" w:afterAutospacing="0" w:line="360" w:lineRule="auto"/>
              <w:ind w:left="0" w:right="0" w:firstLine="480"/>
              <w:textAlignment w:val="auto"/>
              <w:rPr>
                <w:rFonts w:hint="eastAsia"/>
              </w:rPr>
            </w:pPr>
            <w:r>
              <w:rPr>
                <w:rFonts w:hint="eastAsia"/>
                <w:color w:val="auto"/>
                <w:szCs w:val="21"/>
              </w:rPr>
              <w:t>备注：COD、BOD</w:t>
            </w:r>
            <w:r>
              <w:rPr>
                <w:rFonts w:hint="eastAsia"/>
                <w:color w:val="auto"/>
                <w:szCs w:val="21"/>
                <w:vertAlign w:val="subscript"/>
              </w:rPr>
              <w:t>5</w:t>
            </w:r>
            <w:r>
              <w:rPr>
                <w:rFonts w:hint="eastAsia"/>
                <w:color w:val="auto"/>
                <w:szCs w:val="21"/>
              </w:rPr>
              <w:t>、氨氮的去除率参照《第一次全国污染源普查城镇生活污污染源产排污系数手册》中</w:t>
            </w:r>
            <w:r>
              <w:rPr>
                <w:rFonts w:hint="eastAsia"/>
                <w:color w:val="auto"/>
                <w:szCs w:val="21"/>
                <w:lang w:eastAsia="zh-CN"/>
              </w:rPr>
              <w:t>“</w:t>
            </w:r>
            <w:r>
              <w:rPr>
                <w:rFonts w:hint="eastAsia"/>
                <w:color w:val="auto"/>
                <w:szCs w:val="21"/>
              </w:rPr>
              <w:t>二区一类区生活污水</w:t>
            </w:r>
            <w:r>
              <w:rPr>
                <w:rFonts w:hint="eastAsia"/>
                <w:color w:val="auto"/>
                <w:szCs w:val="21"/>
                <w:lang w:eastAsia="zh-CN"/>
              </w:rPr>
              <w:t>”</w:t>
            </w:r>
            <w:r>
              <w:rPr>
                <w:rFonts w:hint="eastAsia"/>
                <w:color w:val="auto"/>
                <w:szCs w:val="21"/>
              </w:rPr>
              <w:t>经化粪池预处理后的推荐数据，去除效率分别为20.3%、21.2%、3.1%，SS参照刘毅梁发表的《武汉市住宅小区化粪池污染物去除效果调查与分析》中得出的结论</w:t>
            </w:r>
            <w:r>
              <w:rPr>
                <w:rFonts w:hint="eastAsia"/>
                <w:color w:val="auto"/>
                <w:szCs w:val="21"/>
                <w:lang w:eastAsia="zh-CN"/>
              </w:rPr>
              <w:t>，</w:t>
            </w:r>
            <w:r>
              <w:rPr>
                <w:rFonts w:hint="eastAsia"/>
                <w:color w:val="auto"/>
                <w:szCs w:val="21"/>
              </w:rPr>
              <w:t>去除率</w:t>
            </w:r>
            <w:r>
              <w:rPr>
                <w:rFonts w:hint="eastAsia"/>
                <w:color w:val="auto"/>
                <w:szCs w:val="21"/>
                <w:lang w:val="en-US" w:eastAsia="zh-CN"/>
              </w:rPr>
              <w:t>取</w:t>
            </w:r>
            <w:r>
              <w:rPr>
                <w:rFonts w:hint="eastAsia"/>
                <w:color w:val="auto"/>
                <w:szCs w:val="21"/>
              </w:rPr>
              <w:t>47%。</w:t>
            </w:r>
          </w:p>
        </w:tc>
      </w:tr>
      <w:tr w14:paraId="346341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9" w:type="dxa"/>
            <w:noWrap w:val="0"/>
            <w:tcMar>
              <w:left w:w="28" w:type="dxa"/>
              <w:right w:w="28" w:type="dxa"/>
            </w:tcMar>
            <w:vAlign w:val="center"/>
          </w:tcPr>
          <w:p w14:paraId="493A483A">
            <w:pPr>
              <w:pStyle w:val="40"/>
              <w:keepNext w:val="0"/>
              <w:keepLines w:val="0"/>
              <w:suppressLineNumbers w:val="0"/>
              <w:bidi w:val="0"/>
              <w:spacing w:before="0" w:beforeAutospacing="0" w:after="0" w:afterAutospacing="0"/>
              <w:ind w:left="0" w:right="0"/>
              <w:rPr>
                <w:rFonts w:hint="eastAsia"/>
              </w:rPr>
            </w:pPr>
            <w:r>
              <w:rPr>
                <w:rFonts w:hint="eastAsia"/>
              </w:rPr>
              <w:t>运营期环境影响和保护措施</w:t>
            </w:r>
          </w:p>
        </w:tc>
        <w:tc>
          <w:tcPr>
            <w:tcW w:w="8531" w:type="dxa"/>
            <w:vMerge w:val="restart"/>
            <w:noWrap w:val="0"/>
            <w:vAlign w:val="center"/>
          </w:tcPr>
          <w:p w14:paraId="0540D124">
            <w:pPr>
              <w:pStyle w:val="4"/>
              <w:suppressLineNumbers w:val="0"/>
              <w:bidi w:val="0"/>
              <w:spacing w:before="0" w:beforeAutospacing="0" w:after="0" w:afterAutospacing="0"/>
              <w:ind w:left="0" w:right="0"/>
              <w:rPr>
                <w:rFonts w:hint="eastAsia"/>
              </w:rPr>
            </w:pPr>
            <w:r>
              <w:rPr>
                <w:rFonts w:hint="eastAsia"/>
              </w:rPr>
              <w:t>运营期水环境影响及污染防治措施可行性分析</w:t>
            </w:r>
          </w:p>
          <w:p w14:paraId="67038318">
            <w:pPr>
              <w:keepNext w:val="0"/>
              <w:keepLines w:val="0"/>
              <w:suppressLineNumbers w:val="0"/>
              <w:bidi w:val="0"/>
              <w:spacing w:before="0" w:beforeAutospacing="0" w:after="0" w:afterAutospacing="0"/>
              <w:ind w:left="0" w:right="0"/>
              <w:rPr>
                <w:rFonts w:hint="default"/>
                <w:lang w:val="en-US" w:eastAsia="zh-CN"/>
              </w:rPr>
            </w:pPr>
            <w:r>
              <w:rPr>
                <w:rFonts w:hint="eastAsia"/>
                <w:lang w:eastAsia="zh-CN"/>
              </w:rPr>
              <w:t>（</w:t>
            </w:r>
            <w:r>
              <w:rPr>
                <w:rFonts w:hint="eastAsia"/>
                <w:lang w:val="en-US" w:eastAsia="zh-CN"/>
              </w:rPr>
              <w:t>1</w:t>
            </w:r>
            <w:r>
              <w:rPr>
                <w:rFonts w:hint="eastAsia"/>
                <w:lang w:eastAsia="zh-CN"/>
              </w:rPr>
              <w:t>）喷漆废水循环使用可行性分析</w:t>
            </w:r>
          </w:p>
          <w:p w14:paraId="4A4C6295">
            <w:pPr>
              <w:keepNext w:val="0"/>
              <w:keepLines w:val="0"/>
              <w:suppressLineNumbers w:val="0"/>
              <w:bidi w:val="0"/>
              <w:spacing w:before="0" w:beforeAutospacing="0" w:after="0" w:afterAutospacing="0"/>
              <w:ind w:left="0" w:right="0"/>
              <w:rPr>
                <w:rFonts w:hint="eastAsia" w:cs="宋体"/>
                <w:color w:val="auto"/>
                <w:lang w:eastAsia="zh-CN"/>
              </w:rPr>
            </w:pPr>
            <w:r>
              <w:rPr>
                <w:rFonts w:hint="eastAsia"/>
              </w:rPr>
              <w:t>项目配置9台水帘柜并按生产线合理布局，循环水在喷漆过程中通过捕捉漆雾实现污染预处的成熟技</w:t>
            </w:r>
            <w:r>
              <w:rPr>
                <w:rFonts w:hint="eastAsia" w:cs="宋体"/>
                <w:color w:val="auto"/>
              </w:rPr>
              <w:t>术路径，又能大幅减少新鲜水消耗和废水外排；更换的废水因可能沾染漆雾污染物，按危险废物规范暂存并委托有资质单位处置，</w:t>
            </w:r>
            <w:r>
              <w:rPr>
                <w:rFonts w:hint="eastAsia" w:cs="宋体"/>
                <w:color w:val="auto"/>
                <w:lang w:val="en-US" w:eastAsia="zh-CN"/>
              </w:rPr>
              <w:t>符合</w:t>
            </w:r>
            <w:r>
              <w:rPr>
                <w:rFonts w:hint="eastAsia" w:cs="宋体"/>
                <w:color w:val="auto"/>
              </w:rPr>
              <w:t>《危险废物贮存污染控制标准》（GB18597-2023）要求，避免了直接排放对水体的污染风险。理，经蒸发损耗补充新鲜水、</w:t>
            </w:r>
            <w:r>
              <w:rPr>
                <w:rFonts w:hint="eastAsia" w:cs="宋体"/>
                <w:color w:val="auto"/>
                <w:lang w:val="en-US" w:eastAsia="zh-CN"/>
              </w:rPr>
              <w:t>一年</w:t>
            </w:r>
            <w:r>
              <w:rPr>
                <w:rFonts w:hint="eastAsia" w:cs="宋体"/>
                <w:color w:val="auto"/>
              </w:rPr>
              <w:t>一次全量更换的运行模式，既符合涂装行业废水循环利用</w:t>
            </w:r>
            <w:r>
              <w:rPr>
                <w:rFonts w:hint="eastAsia" w:cs="宋体"/>
                <w:color w:val="auto"/>
                <w:lang w:eastAsia="zh-CN"/>
              </w:rPr>
              <w:t>。</w:t>
            </w:r>
          </w:p>
          <w:p w14:paraId="7F3A5ED1">
            <w:pPr>
              <w:keepNext w:val="0"/>
              <w:keepLines w:val="0"/>
              <w:suppressLineNumbers w:val="0"/>
              <w:bidi w:val="0"/>
              <w:spacing w:before="0" w:beforeAutospacing="0" w:after="0" w:afterAutospacing="0"/>
              <w:ind w:left="0" w:right="0"/>
              <w:rPr>
                <w:rFonts w:hint="eastAsia"/>
                <w:b w:val="0"/>
                <w:bCs w:val="0"/>
                <w:iCs w:val="0"/>
              </w:rPr>
            </w:pPr>
            <w:r>
              <w:rPr>
                <w:rFonts w:hint="eastAsia"/>
                <w:b w:val="0"/>
                <w:bCs w:val="0"/>
                <w:iCs w:val="0"/>
              </w:rPr>
              <w:t>（</w:t>
            </w:r>
            <w:r>
              <w:rPr>
                <w:rFonts w:hint="eastAsia"/>
                <w:b w:val="0"/>
                <w:bCs w:val="0"/>
                <w:iCs w:val="0"/>
                <w:lang w:val="en-US" w:eastAsia="zh-CN"/>
              </w:rPr>
              <w:t>2</w:t>
            </w:r>
            <w:r>
              <w:rPr>
                <w:rFonts w:hint="eastAsia"/>
                <w:b w:val="0"/>
                <w:bCs w:val="0"/>
                <w:iCs w:val="0"/>
              </w:rPr>
              <w:t>）化粪池治理措施可行性分析</w:t>
            </w:r>
          </w:p>
          <w:p w14:paraId="4F107252">
            <w:pPr>
              <w:keepNext w:val="0"/>
              <w:keepLines w:val="0"/>
              <w:suppressLineNumbers w:val="0"/>
              <w:bidi w:val="0"/>
              <w:spacing w:before="0" w:beforeAutospacing="0" w:after="0" w:afterAutospacing="0"/>
              <w:ind w:left="0" w:right="0"/>
              <w:rPr>
                <w:rFonts w:hint="eastAsia"/>
                <w:b w:val="0"/>
                <w:bCs w:val="0"/>
                <w:iCs w:val="0"/>
              </w:rPr>
            </w:pPr>
            <w:r>
              <w:rPr>
                <w:rFonts w:hint="eastAsia"/>
                <w:b w:val="0"/>
                <w:bCs w:val="0"/>
                <w:iCs w:val="0"/>
              </w:rPr>
              <w:t>三级化粪池是化粪池的一种，由一级池中部通过管道上弯转入下一级池中进行二次净化，再由二次净化后的粪水再导入下一级再次净化，这样经过三次净化后就已全部化尽为水。</w:t>
            </w:r>
          </w:p>
          <w:p w14:paraId="584346A8">
            <w:pPr>
              <w:keepNext w:val="0"/>
              <w:keepLines w:val="0"/>
              <w:suppressLineNumbers w:val="0"/>
              <w:spacing w:before="0" w:beforeAutospacing="0" w:after="0" w:afterAutospacing="0"/>
              <w:ind w:left="0" w:right="0" w:firstLine="480" w:firstLineChars="200"/>
              <w:jc w:val="both"/>
              <w:rPr>
                <w:rFonts w:hint="eastAsia"/>
                <w:b w:val="0"/>
                <w:bCs w:val="0"/>
                <w:iCs w:val="0"/>
                <w:color w:val="auto"/>
              </w:rPr>
            </w:pPr>
            <w:r>
              <w:rPr>
                <w:rFonts w:hint="eastAsia"/>
                <w:b w:val="0"/>
                <w:bCs w:val="0"/>
                <w:iCs w:val="0"/>
                <w:color w:val="auto"/>
              </w:rPr>
              <w:t>三级化粪池原理：新鲜粪便由进粪口进入第一池，池内粪便开始发酵分解、因比重不同粪液可自然分为三层，上层为糊状粪皮，下层为块状或颗状粪渣，中层为比较澄清的粪液。在上层粪皮和下层粪渣中含细菌和寄生虫卵最多，中层含虫卵最少，初步发酵的中层粪液经过粪管溢流至第二池，而将大部分未经充分发酵的粪皮和粪渣阻留在第一池内继续发酵。流入第二池的粪液进一步发酵分解，虫卵继续下沉，病原体逐渐死亡，粪液得到进一步无害化，产生的粪皮和粪厚度比第一池显著减少。流入第三池的粪液一般已经腐熟，其中病菌和寄生虫卵已基本杀灭。第三池功能主要起储存已基本无害化的粪液作用。</w:t>
            </w:r>
          </w:p>
          <w:p w14:paraId="4E461764">
            <w:pPr>
              <w:keepNext w:val="0"/>
              <w:keepLines w:val="0"/>
              <w:suppressLineNumbers w:val="0"/>
              <w:spacing w:before="0" w:beforeAutospacing="0" w:after="0" w:afterAutospacing="0"/>
              <w:ind w:left="0" w:right="0" w:firstLine="480" w:firstLineChars="200"/>
              <w:jc w:val="both"/>
              <w:rPr>
                <w:rFonts w:hint="eastAsia"/>
                <w:b w:val="0"/>
                <w:bCs w:val="0"/>
                <w:iCs w:val="0"/>
                <w:color w:val="auto"/>
              </w:rPr>
            </w:pPr>
            <w:r>
              <w:rPr>
                <w:rFonts w:hint="eastAsia"/>
                <w:b w:val="0"/>
                <w:bCs w:val="0"/>
                <w:iCs w:val="0"/>
                <w:color w:val="auto"/>
              </w:rPr>
              <w:t>本项目生活污水经园区内化粪池处理后污染物能达到《污水综合排放标准》（GB8978-1996）表4中三级排放标准（其中氨氮参照执行《污水排入城镇下水道水质标准》（GB/T31962-2015）表1中B级标准），所以该措施可行。</w:t>
            </w:r>
          </w:p>
          <w:p w14:paraId="7F1E3DAC">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（2）生活污水</w:t>
            </w:r>
            <w:r>
              <w:rPr>
                <w:rFonts w:hint="default"/>
                <w:lang w:val="en-US" w:eastAsia="zh-CN"/>
              </w:rPr>
              <w:t>依托集中污水处理厂的可行性分析</w:t>
            </w:r>
          </w:p>
          <w:p w14:paraId="1D1995E7">
            <w:pPr>
              <w:keepNext w:val="0"/>
              <w:keepLines w:val="0"/>
              <w:suppressLineNumbers w:val="0"/>
              <w:bidi w:val="0"/>
              <w:spacing w:before="0" w:beforeAutospacing="0" w:after="0" w:afterAutospacing="0"/>
              <w:ind w:left="0" w:right="0"/>
              <w:rPr>
                <w:rFonts w:hint="eastAsia"/>
              </w:rPr>
            </w:pPr>
            <w:r>
              <w:rPr>
                <w:rFonts w:hint="eastAsia"/>
              </w:rPr>
              <w:t>项目生活污水经处理达标后通过厂区污水总排放口</w:t>
            </w:r>
            <w:r>
              <w:rPr>
                <w:rFonts w:hint="default"/>
              </w:rPr>
              <w:t>排入市政污水管网，送往</w:t>
            </w:r>
            <w:r>
              <w:rPr>
                <w:rFonts w:hint="eastAsia"/>
              </w:rPr>
              <w:t>福清市融元污水处理厂</w:t>
            </w:r>
            <w:r>
              <w:rPr>
                <w:rFonts w:hint="default"/>
              </w:rPr>
              <w:t>集中处理</w:t>
            </w:r>
            <w:r>
              <w:rPr>
                <w:rFonts w:hint="eastAsia"/>
              </w:rPr>
              <w:t>，属于间接排放，根据</w:t>
            </w:r>
            <w:r>
              <w:rPr>
                <w:rFonts w:hint="default"/>
              </w:rPr>
              <w:t>《建设项目环境影响报告表编制技术指南</w:t>
            </w:r>
            <w:r>
              <w:rPr>
                <w:rFonts w:hint="eastAsia"/>
                <w:lang w:eastAsia="zh-CN"/>
              </w:rPr>
              <w:t>（</w:t>
            </w:r>
            <w:r>
              <w:rPr>
                <w:rFonts w:hint="default"/>
              </w:rPr>
              <w:t>污染影响类</w:t>
            </w:r>
            <w:r>
              <w:rPr>
                <w:rFonts w:hint="eastAsia"/>
                <w:lang w:eastAsia="zh-CN"/>
              </w:rPr>
              <w:t>）（</w:t>
            </w:r>
            <w:r>
              <w:rPr>
                <w:rFonts w:hint="default"/>
              </w:rPr>
              <w:t>试行</w:t>
            </w:r>
            <w:r>
              <w:rPr>
                <w:rFonts w:hint="eastAsia"/>
                <w:lang w:eastAsia="zh-CN"/>
              </w:rPr>
              <w:t>）</w:t>
            </w:r>
            <w:r>
              <w:rPr>
                <w:rFonts w:hint="default"/>
              </w:rPr>
              <w:t>》</w:t>
            </w:r>
            <w:r>
              <w:rPr>
                <w:rFonts w:hint="eastAsia"/>
                <w:lang w:eastAsia="zh-CN"/>
              </w:rPr>
              <w:t>（</w:t>
            </w:r>
            <w:r>
              <w:rPr>
                <w:rFonts w:hint="default"/>
              </w:rPr>
              <w:t>环办环评〔2020〕33号</w:t>
            </w:r>
            <w:r>
              <w:rPr>
                <w:rFonts w:hint="eastAsia"/>
                <w:lang w:eastAsia="zh-CN"/>
              </w:rPr>
              <w:t>）</w:t>
            </w:r>
            <w:r>
              <w:rPr>
                <w:rFonts w:hint="default"/>
              </w:rPr>
              <w:t>要求</w:t>
            </w:r>
            <w:r>
              <w:rPr>
                <w:rFonts w:hint="eastAsia"/>
              </w:rPr>
              <w:t>，废水间接排放的建设项目应从处理能力、处理工艺、设计进出水水质等方面，分析依托集中污水处理厂的可行性。</w:t>
            </w:r>
          </w:p>
          <w:p w14:paraId="509E19BB">
            <w:pPr>
              <w:keepNext w:val="0"/>
              <w:keepLines w:val="0"/>
              <w:suppressLineNumbers w:val="0"/>
              <w:bidi w:val="0"/>
              <w:spacing w:before="0" w:beforeAutospacing="0" w:after="0" w:afterAutospacing="0"/>
              <w:ind w:left="0" w:right="0"/>
              <w:rPr>
                <w:rFonts w:hint="default"/>
              </w:rPr>
            </w:pPr>
            <w:r>
              <w:rPr>
                <w:rFonts w:hint="eastAsia"/>
                <w:lang w:eastAsia="zh-CN"/>
              </w:rPr>
              <w:t>（</w:t>
            </w:r>
            <w:r>
              <w:rPr>
                <w:rFonts w:hint="eastAsia"/>
              </w:rPr>
              <w:t>1</w:t>
            </w:r>
            <w:r>
              <w:rPr>
                <w:rFonts w:hint="eastAsia"/>
                <w:lang w:eastAsia="zh-CN"/>
              </w:rPr>
              <w:t>）</w:t>
            </w:r>
            <w:r>
              <w:rPr>
                <w:rFonts w:hint="eastAsia"/>
              </w:rPr>
              <w:t>福清市融元污水处理厂基本情况</w:t>
            </w:r>
          </w:p>
          <w:p w14:paraId="2934C473">
            <w:pPr>
              <w:keepNext w:val="0"/>
              <w:keepLines w:val="0"/>
              <w:suppressLineNumbers w:val="0"/>
              <w:bidi w:val="0"/>
              <w:spacing w:before="0" w:beforeAutospacing="0" w:after="0" w:afterAutospacing="0"/>
              <w:ind w:left="0" w:right="0"/>
              <w:rPr>
                <w:rFonts w:hint="default"/>
              </w:rPr>
            </w:pPr>
            <w:r>
              <w:rPr>
                <w:rFonts w:hint="eastAsia"/>
              </w:rPr>
              <w:t>①设计进出水水质</w:t>
            </w:r>
          </w:p>
          <w:p w14:paraId="36078D00">
            <w:pPr>
              <w:keepNext w:val="0"/>
              <w:keepLines w:val="0"/>
              <w:suppressLineNumbers w:val="0"/>
              <w:spacing w:before="0" w:beforeAutospacing="0" w:after="0" w:afterAutospacing="0" w:line="360" w:lineRule="auto"/>
              <w:ind w:left="0" w:right="0" w:firstLine="480" w:firstLineChars="200"/>
              <w:rPr>
                <w:rFonts w:hint="eastAsia"/>
                <w:color w:val="auto"/>
                <w:sz w:val="24"/>
                <w:szCs w:val="24"/>
              </w:rPr>
            </w:pPr>
            <w:r>
              <w:rPr>
                <w:rFonts w:hint="eastAsia"/>
                <w:color w:val="auto"/>
                <w:sz w:val="24"/>
                <w:szCs w:val="24"/>
              </w:rPr>
              <w:t>根据《福清市融元污水处理厂提标及改造工程环境影响报告书</w:t>
            </w:r>
            <w:r>
              <w:rPr>
                <w:rFonts w:hint="eastAsia"/>
                <w:color w:val="auto"/>
                <w:sz w:val="24"/>
                <w:szCs w:val="24"/>
                <w:lang w:eastAsia="zh-CN"/>
              </w:rPr>
              <w:t>（</w:t>
            </w:r>
            <w:r>
              <w:rPr>
                <w:rFonts w:hint="eastAsia"/>
                <w:color w:val="auto"/>
                <w:sz w:val="24"/>
                <w:szCs w:val="24"/>
              </w:rPr>
              <w:t>报批稿</w:t>
            </w:r>
            <w:r>
              <w:rPr>
                <w:rFonts w:hint="eastAsia"/>
                <w:color w:val="auto"/>
                <w:sz w:val="24"/>
                <w:szCs w:val="24"/>
                <w:lang w:eastAsia="zh-CN"/>
              </w:rPr>
              <w:t>）</w:t>
            </w:r>
            <w:r>
              <w:rPr>
                <w:rFonts w:hint="eastAsia"/>
                <w:color w:val="auto"/>
                <w:sz w:val="24"/>
                <w:szCs w:val="24"/>
              </w:rPr>
              <w:t>》可知，福清市融元污水处理厂进出水水质见表4.</w:t>
            </w:r>
            <w:r>
              <w:rPr>
                <w:rFonts w:hint="eastAsia"/>
                <w:color w:val="auto"/>
                <w:sz w:val="24"/>
                <w:szCs w:val="24"/>
                <w:lang w:val="en-US" w:eastAsia="zh-CN"/>
              </w:rPr>
              <w:t>1</w:t>
            </w:r>
            <w:r>
              <w:rPr>
                <w:rFonts w:hint="eastAsia"/>
                <w:color w:val="auto"/>
                <w:sz w:val="24"/>
                <w:szCs w:val="24"/>
              </w:rPr>
              <w:t>-</w:t>
            </w:r>
            <w:r>
              <w:rPr>
                <w:rFonts w:hint="eastAsia"/>
                <w:color w:val="auto"/>
                <w:sz w:val="24"/>
                <w:szCs w:val="24"/>
                <w:lang w:val="en-US" w:eastAsia="zh-CN"/>
              </w:rPr>
              <w:t>2</w:t>
            </w:r>
            <w:r>
              <w:rPr>
                <w:rFonts w:hint="eastAsia"/>
                <w:color w:val="auto"/>
                <w:sz w:val="24"/>
                <w:szCs w:val="24"/>
              </w:rPr>
              <w:t>。</w:t>
            </w:r>
          </w:p>
          <w:p w14:paraId="3994FB26">
            <w:pPr>
              <w:pStyle w:val="39"/>
              <w:keepNext w:val="0"/>
              <w:keepLines w:val="0"/>
              <w:suppressLineNumbers w:val="0"/>
              <w:bidi w:val="0"/>
              <w:spacing w:before="0" w:beforeAutospacing="0" w:after="0" w:afterAutospacing="0"/>
              <w:ind w:left="0" w:right="0"/>
              <w:rPr>
                <w:rFonts w:hint="eastAsia" w:eastAsia="宋体"/>
                <w:lang w:eastAsia="zh-CN"/>
              </w:rPr>
            </w:pPr>
            <w:r>
              <w:rPr>
                <w:rFonts w:hint="eastAsia"/>
              </w:rPr>
              <w:t>表4.</w:t>
            </w:r>
            <w:r>
              <w:rPr>
                <w:rFonts w:hint="eastAsia"/>
                <w:lang w:val="en-US" w:eastAsia="zh-CN"/>
              </w:rPr>
              <w:t>1</w:t>
            </w:r>
            <w:r>
              <w:rPr>
                <w:rFonts w:hint="eastAsia"/>
              </w:rPr>
              <w:t>-</w:t>
            </w:r>
            <w:r>
              <w:rPr>
                <w:rFonts w:hint="eastAsia"/>
                <w:lang w:val="en-US" w:eastAsia="zh-CN"/>
              </w:rPr>
              <w:t>2</w:t>
            </w:r>
            <w:r>
              <w:rPr>
                <w:rFonts w:hint="eastAsia"/>
              </w:rPr>
              <w:t xml:space="preserve">   </w:t>
            </w:r>
            <w:r>
              <w:rPr>
                <w:rFonts w:hint="eastAsia"/>
                <w:lang w:eastAsia="zh-CN"/>
              </w:rPr>
              <w:t>污水处理厂</w:t>
            </w:r>
            <w:r>
              <w:rPr>
                <w:rFonts w:hint="eastAsia"/>
              </w:rPr>
              <w:t>进出水水质标准</w:t>
            </w:r>
            <w:r>
              <w:rPr>
                <w:rFonts w:hint="eastAsia"/>
                <w:lang w:eastAsia="zh-CN"/>
              </w:rPr>
              <w:t>（</w:t>
            </w:r>
            <w:r>
              <w:rPr>
                <w:rFonts w:hint="eastAsia"/>
              </w:rPr>
              <w:t>mg/L  pH除外</w:t>
            </w:r>
            <w:r>
              <w:rPr>
                <w:rFonts w:hint="eastAsia"/>
                <w:lang w:eastAsia="zh-CN"/>
              </w:rPr>
              <w:t>）</w:t>
            </w:r>
          </w:p>
          <w:tbl>
            <w:tblPr>
              <w:tblStyle w:val="2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60"/>
              <w:gridCol w:w="1291"/>
              <w:gridCol w:w="1050"/>
              <w:gridCol w:w="950"/>
              <w:gridCol w:w="1013"/>
              <w:gridCol w:w="937"/>
              <w:gridCol w:w="937"/>
              <w:gridCol w:w="838"/>
            </w:tblGrid>
            <w:tr w14:paraId="35CF1E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0" w:type="dxa"/>
                  <w:noWrap w:val="0"/>
                  <w:vAlign w:val="center"/>
                </w:tcPr>
                <w:p w14:paraId="21EFF8F2">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水质指标</w:t>
                  </w:r>
                </w:p>
              </w:tc>
              <w:tc>
                <w:tcPr>
                  <w:tcW w:w="1291" w:type="dxa"/>
                  <w:noWrap w:val="0"/>
                  <w:vAlign w:val="center"/>
                </w:tcPr>
                <w:p w14:paraId="4E5319FD">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pH</w:t>
                  </w:r>
                </w:p>
              </w:tc>
              <w:tc>
                <w:tcPr>
                  <w:tcW w:w="1050" w:type="dxa"/>
                  <w:noWrap w:val="0"/>
                  <w:vAlign w:val="center"/>
                </w:tcPr>
                <w:p w14:paraId="73AC2E3D">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COD</w:t>
                  </w:r>
                </w:p>
              </w:tc>
              <w:tc>
                <w:tcPr>
                  <w:tcW w:w="950" w:type="dxa"/>
                  <w:noWrap w:val="0"/>
                  <w:vAlign w:val="center"/>
                </w:tcPr>
                <w:p w14:paraId="5C0F18EA">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BOD</w:t>
                  </w:r>
                  <w:r>
                    <w:rPr>
                      <w:rFonts w:hint="eastAsia"/>
                      <w:szCs w:val="22"/>
                      <w:vertAlign w:val="subscript"/>
                    </w:rPr>
                    <w:t>5</w:t>
                  </w:r>
                </w:p>
              </w:tc>
              <w:tc>
                <w:tcPr>
                  <w:tcW w:w="1013" w:type="dxa"/>
                  <w:noWrap w:val="0"/>
                  <w:vAlign w:val="center"/>
                </w:tcPr>
                <w:p w14:paraId="5C0FF832">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SS</w:t>
                  </w:r>
                </w:p>
              </w:tc>
              <w:tc>
                <w:tcPr>
                  <w:tcW w:w="937" w:type="dxa"/>
                  <w:noWrap w:val="0"/>
                  <w:vAlign w:val="center"/>
                </w:tcPr>
                <w:p w14:paraId="70797118">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NH</w:t>
                  </w:r>
                  <w:r>
                    <w:rPr>
                      <w:rFonts w:hint="eastAsia"/>
                      <w:szCs w:val="22"/>
                      <w:vertAlign w:val="subscript"/>
                    </w:rPr>
                    <w:t>3</w:t>
                  </w:r>
                  <w:r>
                    <w:rPr>
                      <w:rFonts w:hint="eastAsia"/>
                      <w:szCs w:val="22"/>
                    </w:rPr>
                    <w:t>-N</w:t>
                  </w:r>
                </w:p>
              </w:tc>
              <w:tc>
                <w:tcPr>
                  <w:tcW w:w="937" w:type="dxa"/>
                  <w:noWrap w:val="0"/>
                  <w:vAlign w:val="center"/>
                </w:tcPr>
                <w:p w14:paraId="637EC899">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TN</w:t>
                  </w:r>
                </w:p>
              </w:tc>
              <w:tc>
                <w:tcPr>
                  <w:tcW w:w="838" w:type="dxa"/>
                  <w:noWrap w:val="0"/>
                  <w:vAlign w:val="center"/>
                </w:tcPr>
                <w:p w14:paraId="1FE74C03">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TP</w:t>
                  </w:r>
                </w:p>
              </w:tc>
            </w:tr>
            <w:tr w14:paraId="528DF9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0" w:type="dxa"/>
                  <w:noWrap w:val="0"/>
                  <w:vAlign w:val="center"/>
                </w:tcPr>
                <w:p w14:paraId="1F66D9DC">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进水水质</w:t>
                  </w:r>
                </w:p>
              </w:tc>
              <w:tc>
                <w:tcPr>
                  <w:tcW w:w="1291" w:type="dxa"/>
                  <w:noWrap w:val="0"/>
                  <w:vAlign w:val="center"/>
                </w:tcPr>
                <w:p w14:paraId="791896FA">
                  <w:pPr>
                    <w:pStyle w:val="38"/>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rPr>
                    <w:t>6~9</w:t>
                  </w:r>
                  <w:r>
                    <w:rPr>
                      <w:rFonts w:hint="eastAsia"/>
                      <w:szCs w:val="22"/>
                      <w:lang w:eastAsia="zh-CN"/>
                    </w:rPr>
                    <w:t>（</w:t>
                  </w:r>
                  <w:r>
                    <w:rPr>
                      <w:rFonts w:hint="eastAsia"/>
                      <w:szCs w:val="22"/>
                    </w:rPr>
                    <w:t>无量纲</w:t>
                  </w:r>
                  <w:r>
                    <w:rPr>
                      <w:rFonts w:hint="eastAsia"/>
                      <w:szCs w:val="22"/>
                      <w:lang w:eastAsia="zh-CN"/>
                    </w:rPr>
                    <w:t>）</w:t>
                  </w:r>
                </w:p>
              </w:tc>
              <w:tc>
                <w:tcPr>
                  <w:tcW w:w="1050" w:type="dxa"/>
                  <w:noWrap w:val="0"/>
                  <w:vAlign w:val="center"/>
                </w:tcPr>
                <w:p w14:paraId="6AB97653">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≤400</w:t>
                  </w:r>
                </w:p>
              </w:tc>
              <w:tc>
                <w:tcPr>
                  <w:tcW w:w="950" w:type="dxa"/>
                  <w:noWrap w:val="0"/>
                  <w:vAlign w:val="center"/>
                </w:tcPr>
                <w:p w14:paraId="719A3625">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≤220</w:t>
                  </w:r>
                </w:p>
              </w:tc>
              <w:tc>
                <w:tcPr>
                  <w:tcW w:w="1013" w:type="dxa"/>
                  <w:noWrap w:val="0"/>
                  <w:vAlign w:val="center"/>
                </w:tcPr>
                <w:p w14:paraId="6F6753A1">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≤280</w:t>
                  </w:r>
                </w:p>
              </w:tc>
              <w:tc>
                <w:tcPr>
                  <w:tcW w:w="937" w:type="dxa"/>
                  <w:noWrap w:val="0"/>
                  <w:vAlign w:val="center"/>
                </w:tcPr>
                <w:p w14:paraId="113127FC">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≤37</w:t>
                  </w:r>
                </w:p>
              </w:tc>
              <w:tc>
                <w:tcPr>
                  <w:tcW w:w="937" w:type="dxa"/>
                  <w:noWrap w:val="0"/>
                  <w:vAlign w:val="center"/>
                </w:tcPr>
                <w:p w14:paraId="0ABC8D06">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≤54</w:t>
                  </w:r>
                </w:p>
              </w:tc>
              <w:tc>
                <w:tcPr>
                  <w:tcW w:w="838" w:type="dxa"/>
                  <w:noWrap w:val="0"/>
                  <w:vAlign w:val="center"/>
                </w:tcPr>
                <w:p w14:paraId="7FBCA8FE">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≤4</w:t>
                  </w:r>
                </w:p>
              </w:tc>
            </w:tr>
            <w:tr w14:paraId="7FF432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0" w:type="dxa"/>
                  <w:noWrap w:val="0"/>
                  <w:vAlign w:val="center"/>
                </w:tcPr>
                <w:p w14:paraId="1DE765D9">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出水标准</w:t>
                  </w:r>
                </w:p>
              </w:tc>
              <w:tc>
                <w:tcPr>
                  <w:tcW w:w="1291" w:type="dxa"/>
                  <w:noWrap w:val="0"/>
                  <w:vAlign w:val="center"/>
                </w:tcPr>
                <w:p w14:paraId="4721E306">
                  <w:pPr>
                    <w:pStyle w:val="38"/>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rPr>
                    <w:t>6~9</w:t>
                  </w:r>
                  <w:r>
                    <w:rPr>
                      <w:rFonts w:hint="eastAsia"/>
                      <w:szCs w:val="22"/>
                      <w:lang w:eastAsia="zh-CN"/>
                    </w:rPr>
                    <w:t>（</w:t>
                  </w:r>
                  <w:r>
                    <w:rPr>
                      <w:rFonts w:hint="eastAsia"/>
                      <w:szCs w:val="22"/>
                    </w:rPr>
                    <w:t>无量纲</w:t>
                  </w:r>
                  <w:r>
                    <w:rPr>
                      <w:rFonts w:hint="eastAsia"/>
                      <w:szCs w:val="22"/>
                      <w:lang w:eastAsia="zh-CN"/>
                    </w:rPr>
                    <w:t>）</w:t>
                  </w:r>
                </w:p>
              </w:tc>
              <w:tc>
                <w:tcPr>
                  <w:tcW w:w="1050" w:type="dxa"/>
                  <w:noWrap w:val="0"/>
                  <w:vAlign w:val="center"/>
                </w:tcPr>
                <w:p w14:paraId="671A44F6">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≤50</w:t>
                  </w:r>
                </w:p>
              </w:tc>
              <w:tc>
                <w:tcPr>
                  <w:tcW w:w="950" w:type="dxa"/>
                  <w:noWrap w:val="0"/>
                  <w:vAlign w:val="center"/>
                </w:tcPr>
                <w:p w14:paraId="086999CD">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≤10</w:t>
                  </w:r>
                </w:p>
              </w:tc>
              <w:tc>
                <w:tcPr>
                  <w:tcW w:w="1013" w:type="dxa"/>
                  <w:noWrap w:val="0"/>
                  <w:vAlign w:val="center"/>
                </w:tcPr>
                <w:p w14:paraId="0C8F5700">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≤10</w:t>
                  </w:r>
                </w:p>
              </w:tc>
              <w:tc>
                <w:tcPr>
                  <w:tcW w:w="937" w:type="dxa"/>
                  <w:noWrap w:val="0"/>
                  <w:vAlign w:val="center"/>
                </w:tcPr>
                <w:p w14:paraId="06E2B5A6">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≤5</w:t>
                  </w:r>
                </w:p>
              </w:tc>
              <w:tc>
                <w:tcPr>
                  <w:tcW w:w="937" w:type="dxa"/>
                  <w:noWrap w:val="0"/>
                  <w:vAlign w:val="center"/>
                </w:tcPr>
                <w:p w14:paraId="0C84078F">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≤15</w:t>
                  </w:r>
                </w:p>
              </w:tc>
              <w:tc>
                <w:tcPr>
                  <w:tcW w:w="838" w:type="dxa"/>
                  <w:noWrap w:val="0"/>
                  <w:vAlign w:val="center"/>
                </w:tcPr>
                <w:p w14:paraId="73A60170">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≤0.5</w:t>
                  </w:r>
                </w:p>
              </w:tc>
            </w:tr>
          </w:tbl>
          <w:p w14:paraId="534DD522">
            <w:pPr>
              <w:keepNext w:val="0"/>
              <w:keepLines w:val="0"/>
              <w:suppressLineNumbers w:val="0"/>
              <w:bidi w:val="0"/>
              <w:spacing w:before="0" w:beforeAutospacing="0" w:after="0" w:afterAutospacing="0"/>
              <w:ind w:left="0" w:right="0"/>
              <w:rPr>
                <w:rFonts w:hint="default"/>
              </w:rPr>
            </w:pPr>
            <w:r>
              <w:rPr>
                <w:rFonts w:hint="default"/>
              </w:rPr>
              <w:t>②处理工艺</w:t>
            </w:r>
          </w:p>
          <w:p w14:paraId="76AF9837">
            <w:pPr>
              <w:keepNext w:val="0"/>
              <w:keepLines w:val="0"/>
              <w:suppressLineNumbers w:val="0"/>
              <w:bidi w:val="0"/>
              <w:spacing w:before="0" w:beforeAutospacing="0" w:after="0" w:afterAutospacing="0"/>
              <w:ind w:left="0" w:right="0"/>
              <w:rPr>
                <w:rFonts w:hint="default"/>
              </w:rPr>
            </w:pPr>
            <w:r>
              <w:rPr>
                <w:rFonts w:hint="default"/>
              </w:rPr>
              <w:t>污水处理工艺流程详见图</w:t>
            </w:r>
            <w:r>
              <w:rPr>
                <w:rFonts w:hint="eastAsia"/>
              </w:rPr>
              <w:t>4</w:t>
            </w:r>
            <w:r>
              <w:rPr>
                <w:rFonts w:hint="eastAsia"/>
                <w:lang w:val="en-US" w:eastAsia="zh-CN"/>
              </w:rPr>
              <w:t>.1</w:t>
            </w:r>
            <w:r>
              <w:rPr>
                <w:rFonts w:hint="eastAsia"/>
              </w:rPr>
              <w:t>-1</w:t>
            </w:r>
            <w:r>
              <w:rPr>
                <w:rFonts w:hint="default"/>
              </w:rPr>
              <w:t>。</w:t>
            </w:r>
          </w:p>
          <w:p w14:paraId="0116758C">
            <w:pPr>
              <w:pStyle w:val="15"/>
              <w:keepNext w:val="0"/>
              <w:keepLines w:val="0"/>
              <w:suppressLineNumbers w:val="0"/>
              <w:bidi w:val="0"/>
              <w:spacing w:before="0" w:beforeAutospacing="0" w:after="0" w:afterAutospacing="0"/>
              <w:ind w:left="0" w:right="0"/>
              <w:jc w:val="center"/>
              <w:rPr>
                <w:color w:val="auto"/>
              </w:rPr>
            </w:pPr>
            <w:r>
              <w:rPr>
                <w:rFonts w:hint="eastAsia" w:ascii="Times New Roman" w:hAnsi="Times New Roman" w:eastAsia="宋体" w:cs="Times New Roman"/>
                <w:b w:val="0"/>
                <w:bCs w:val="0"/>
                <w:strike w:val="0"/>
                <w:dstrike w:val="0"/>
                <w:color w:val="auto"/>
                <w:szCs w:val="24"/>
                <w:highlight w:val="none"/>
                <w:lang w:val="en-US" w:eastAsia="zh-CN"/>
              </w:rPr>
              <w:object>
                <v:shape id="_x0000_i1025" o:spt="75" type="#_x0000_t75" style="height:231pt;width:358.4pt;" o:ole="t" filled="f" o:preferrelative="t" stroked="f" coordsize="21600,21600">
                  <v:path/>
                  <v:fill on="f" focussize="0,0"/>
                  <v:stroke on="f"/>
                  <v:imagedata r:id="rId21" o:title=""/>
                  <o:lock v:ext="edit" aspectratio="t"/>
                  <w10:wrap type="none"/>
                  <w10:anchorlock/>
                </v:shape>
                <o:OLEObject Type="Embed" ProgID="Visio.Drawing.11" ShapeID="_x0000_i1025" DrawAspect="Content" ObjectID="_1468075725" r:id="rId20">
                  <o:LockedField>false</o:LockedField>
                </o:OLEObject>
              </w:object>
            </w:r>
          </w:p>
          <w:p w14:paraId="3767D91A">
            <w:pPr>
              <w:pStyle w:val="39"/>
              <w:keepNext w:val="0"/>
              <w:keepLines w:val="0"/>
              <w:suppressLineNumbers w:val="0"/>
              <w:bidi w:val="0"/>
              <w:spacing w:before="0" w:beforeAutospacing="0" w:after="0" w:afterAutospacing="0"/>
              <w:ind w:left="0" w:right="0"/>
              <w:rPr>
                <w:rFonts w:hint="eastAsia"/>
                <w:b/>
                <w:color w:val="auto"/>
                <w:szCs w:val="28"/>
              </w:rPr>
            </w:pPr>
            <w:r>
              <w:rPr>
                <w:rFonts w:hint="default"/>
                <w:lang w:val="en-US" w:eastAsia="zh-CN"/>
              </w:rPr>
              <w:t>图4.</w:t>
            </w:r>
            <w:r>
              <w:rPr>
                <w:rFonts w:hint="eastAsia"/>
                <w:lang w:val="en-US" w:eastAsia="zh-CN"/>
              </w:rPr>
              <w:t>1-1</w:t>
            </w:r>
            <w:r>
              <w:rPr>
                <w:rFonts w:hint="default"/>
                <w:lang w:val="en-US" w:eastAsia="zh-CN"/>
              </w:rPr>
              <w:t xml:space="preserve"> </w:t>
            </w:r>
            <w:r>
              <w:rPr>
                <w:rFonts w:hint="eastAsia"/>
                <w:lang w:val="en-US" w:eastAsia="zh-CN"/>
              </w:rPr>
              <w:t>福清融元污水处理厂处理</w:t>
            </w:r>
            <w:r>
              <w:rPr>
                <w:rFonts w:hint="default"/>
                <w:lang w:val="en-US" w:eastAsia="zh-CN"/>
              </w:rPr>
              <w:t>污水处理流程图</w:t>
            </w:r>
          </w:p>
          <w:p w14:paraId="0E97D077">
            <w:pPr>
              <w:keepNext w:val="0"/>
              <w:keepLines w:val="0"/>
              <w:suppressLineNumbers w:val="0"/>
              <w:bidi w:val="0"/>
              <w:spacing w:before="0" w:beforeAutospacing="0" w:after="0" w:afterAutospacing="0"/>
              <w:ind w:left="0" w:right="0"/>
              <w:rPr>
                <w:rFonts w:hint="eastAsia"/>
              </w:rPr>
            </w:pPr>
            <w:r>
              <w:rPr>
                <w:rFonts w:hint="eastAsia"/>
                <w:lang w:eastAsia="zh-CN"/>
              </w:rPr>
              <w:t>（</w:t>
            </w:r>
            <w:r>
              <w:rPr>
                <w:rFonts w:hint="eastAsia"/>
              </w:rPr>
              <w:t>2</w:t>
            </w:r>
            <w:r>
              <w:rPr>
                <w:rFonts w:hint="eastAsia"/>
                <w:lang w:eastAsia="zh-CN"/>
              </w:rPr>
              <w:t>）</w:t>
            </w:r>
            <w:r>
              <w:rPr>
                <w:rFonts w:hint="eastAsia"/>
              </w:rPr>
              <w:t>依托可行性分析</w:t>
            </w:r>
          </w:p>
          <w:p w14:paraId="0471A256">
            <w:pPr>
              <w:keepNext w:val="0"/>
              <w:keepLines w:val="0"/>
              <w:suppressLineNumbers w:val="0"/>
              <w:bidi w:val="0"/>
              <w:spacing w:before="0" w:beforeAutospacing="0" w:after="0" w:afterAutospacing="0"/>
              <w:ind w:left="0" w:right="0"/>
              <w:rPr>
                <w:rFonts w:hint="eastAsia"/>
              </w:rPr>
            </w:pPr>
            <w:r>
              <w:rPr>
                <w:rFonts w:hint="eastAsia"/>
              </w:rPr>
              <w:t>①接管可行性</w:t>
            </w:r>
          </w:p>
          <w:p w14:paraId="746CD99B">
            <w:pPr>
              <w:keepNext w:val="0"/>
              <w:keepLines w:val="0"/>
              <w:suppressLineNumbers w:val="0"/>
              <w:bidi w:val="0"/>
              <w:spacing w:before="0" w:beforeAutospacing="0" w:after="0" w:afterAutospacing="0"/>
              <w:ind w:left="0" w:right="0"/>
              <w:rPr>
                <w:rFonts w:hint="default"/>
              </w:rPr>
            </w:pPr>
            <w:r>
              <w:rPr>
                <w:rFonts w:hint="eastAsia"/>
              </w:rPr>
              <w:t>福清市融元污水处理厂</w:t>
            </w:r>
            <w:r>
              <w:rPr>
                <w:rFonts w:hint="default"/>
              </w:rPr>
              <w:t>主要负责</w:t>
            </w:r>
            <w:r>
              <w:rPr>
                <w:rFonts w:hint="eastAsia"/>
              </w:rPr>
              <w:t>城关区和洪宽区</w:t>
            </w:r>
            <w:r>
              <w:rPr>
                <w:rFonts w:hint="eastAsia"/>
                <w:lang w:eastAsia="zh-CN"/>
              </w:rPr>
              <w:t>（</w:t>
            </w:r>
            <w:r>
              <w:rPr>
                <w:rFonts w:hint="eastAsia"/>
              </w:rPr>
              <w:t>增加京东方和东旭光电项目</w:t>
            </w:r>
            <w:r>
              <w:rPr>
                <w:rFonts w:hint="eastAsia"/>
                <w:lang w:eastAsia="zh-CN"/>
              </w:rPr>
              <w:t>）</w:t>
            </w:r>
            <w:r>
              <w:rPr>
                <w:rFonts w:hint="eastAsia"/>
              </w:rPr>
              <w:t>的生活污水和工业污水。</w:t>
            </w:r>
            <w:r>
              <w:rPr>
                <w:rFonts w:hint="default"/>
              </w:rPr>
              <w:t>本项目位于</w:t>
            </w:r>
            <w:r>
              <w:rPr>
                <w:rFonts w:hint="eastAsia"/>
                <w:lang w:val="en-US" w:eastAsia="zh-CN"/>
              </w:rPr>
              <w:t>福清融侨经济技术开发区（租赁福清洪添科技有限公司车间2第3层）</w:t>
            </w:r>
            <w:r>
              <w:rPr>
                <w:rFonts w:hint="default"/>
              </w:rPr>
              <w:t>，属于</w:t>
            </w:r>
            <w:r>
              <w:rPr>
                <w:rFonts w:hint="eastAsia"/>
              </w:rPr>
              <w:t>福清市融元污水处理厂</w:t>
            </w:r>
            <w:r>
              <w:rPr>
                <w:rFonts w:hint="default"/>
              </w:rPr>
              <w:t>服务范围内，根据现场勘查，目前</w:t>
            </w:r>
            <w:r>
              <w:rPr>
                <w:rFonts w:hint="eastAsia"/>
                <w:lang w:val="en-US" w:eastAsia="zh-CN"/>
              </w:rPr>
              <w:t>项目所在地的</w:t>
            </w:r>
            <w:r>
              <w:rPr>
                <w:rFonts w:hint="default"/>
              </w:rPr>
              <w:t>市政污水管网已经铺设完成并已经投入正常运行，本项目出租方</w:t>
            </w:r>
            <w:r>
              <w:rPr>
                <w:rFonts w:hint="eastAsia"/>
                <w:lang w:eastAsia="zh-CN"/>
              </w:rPr>
              <w:t>福清洪添科技有限公司</w:t>
            </w:r>
            <w:r>
              <w:rPr>
                <w:rFonts w:hint="default"/>
              </w:rPr>
              <w:t>厂区污水总排口已经接入市政污水管网。</w:t>
            </w:r>
          </w:p>
          <w:p w14:paraId="0A38E1D9">
            <w:pPr>
              <w:keepNext w:val="0"/>
              <w:keepLines w:val="0"/>
              <w:suppressLineNumbers w:val="0"/>
              <w:bidi w:val="0"/>
              <w:spacing w:before="0" w:beforeAutospacing="0" w:after="0" w:afterAutospacing="0"/>
              <w:ind w:left="0" w:right="0"/>
              <w:rPr>
                <w:rFonts w:hint="default"/>
              </w:rPr>
            </w:pPr>
            <w:r>
              <w:rPr>
                <w:rFonts w:hint="default"/>
              </w:rPr>
              <w:t>②</w:t>
            </w:r>
            <w:r>
              <w:rPr>
                <w:rFonts w:hint="eastAsia"/>
              </w:rPr>
              <w:t>水质负荷</w:t>
            </w:r>
          </w:p>
          <w:p w14:paraId="1DC893E4">
            <w:pPr>
              <w:keepNext w:val="0"/>
              <w:keepLines w:val="0"/>
              <w:suppressLineNumbers w:val="0"/>
              <w:bidi w:val="0"/>
              <w:spacing w:before="0" w:beforeAutospacing="0" w:after="0" w:afterAutospacing="0"/>
              <w:ind w:left="0" w:right="0"/>
              <w:rPr>
                <w:rFonts w:hint="default"/>
              </w:rPr>
            </w:pPr>
            <w:r>
              <w:rPr>
                <w:rFonts w:hint="eastAsia"/>
              </w:rPr>
              <w:t>项目生活污水经化粪池预处理达标后通过厂区污水总排放口</w:t>
            </w:r>
            <w:r>
              <w:rPr>
                <w:rFonts w:hint="default"/>
              </w:rPr>
              <w:t>排入市政污水管网，送往</w:t>
            </w:r>
            <w:r>
              <w:rPr>
                <w:rFonts w:hint="eastAsia"/>
              </w:rPr>
              <w:t>福清市融元污水处理厂</w:t>
            </w:r>
            <w:r>
              <w:rPr>
                <w:rFonts w:hint="default"/>
              </w:rPr>
              <w:t>集中处理</w:t>
            </w:r>
            <w:r>
              <w:rPr>
                <w:rFonts w:hint="eastAsia"/>
              </w:rPr>
              <w:t>，</w:t>
            </w:r>
            <w:r>
              <w:rPr>
                <w:rFonts w:hint="default"/>
              </w:rPr>
              <w:t>根据工程分析</w:t>
            </w:r>
            <w:r>
              <w:rPr>
                <w:rFonts w:hint="eastAsia"/>
              </w:rPr>
              <w:t>预测可知，</w:t>
            </w:r>
            <w:r>
              <w:rPr>
                <w:rFonts w:hint="default"/>
              </w:rPr>
              <w:t>项目</w:t>
            </w:r>
            <w:r>
              <w:rPr>
                <w:rFonts w:hint="eastAsia"/>
              </w:rPr>
              <w:t>综合废水</w:t>
            </w:r>
            <w:r>
              <w:rPr>
                <w:rFonts w:hint="default"/>
              </w:rPr>
              <w:t>排入市政污水管网内污染物排放浓度情况表</w:t>
            </w:r>
            <w:r>
              <w:rPr>
                <w:rFonts w:hint="eastAsia"/>
              </w:rPr>
              <w:t>4.</w:t>
            </w:r>
            <w:r>
              <w:rPr>
                <w:rFonts w:hint="eastAsia"/>
                <w:lang w:val="en-US" w:eastAsia="zh-CN"/>
              </w:rPr>
              <w:t>1</w:t>
            </w:r>
            <w:r>
              <w:rPr>
                <w:rFonts w:hint="eastAsia"/>
              </w:rPr>
              <w:t>-</w:t>
            </w:r>
            <w:r>
              <w:rPr>
                <w:rFonts w:hint="eastAsia"/>
                <w:lang w:val="en-US" w:eastAsia="zh-CN"/>
              </w:rPr>
              <w:t>3</w:t>
            </w:r>
            <w:r>
              <w:rPr>
                <w:rFonts w:hint="default"/>
              </w:rPr>
              <w:t>。</w:t>
            </w:r>
          </w:p>
          <w:p w14:paraId="47BE31F5">
            <w:pPr>
              <w:pStyle w:val="39"/>
              <w:keepNext w:val="0"/>
              <w:keepLines w:val="0"/>
              <w:suppressLineNumbers w:val="0"/>
              <w:bidi w:val="0"/>
              <w:spacing w:before="0" w:beforeAutospacing="0" w:after="0" w:afterAutospacing="0"/>
              <w:ind w:left="0" w:right="0"/>
              <w:rPr>
                <w:rFonts w:hint="default"/>
              </w:rPr>
            </w:pPr>
            <w:r>
              <w:rPr>
                <w:rFonts w:hint="default"/>
              </w:rPr>
              <w:t>表4.</w:t>
            </w:r>
            <w:r>
              <w:rPr>
                <w:rFonts w:hint="default"/>
                <w:lang w:val="en-US" w:eastAsia="zh-CN"/>
              </w:rPr>
              <w:t>1</w:t>
            </w:r>
            <w:r>
              <w:rPr>
                <w:rFonts w:hint="default"/>
              </w:rPr>
              <w:t>-</w:t>
            </w:r>
            <w:r>
              <w:rPr>
                <w:rFonts w:hint="default"/>
                <w:lang w:val="en-US" w:eastAsia="zh-CN"/>
              </w:rPr>
              <w:t>3</w:t>
            </w:r>
            <w:r>
              <w:rPr>
                <w:rFonts w:hint="default"/>
              </w:rPr>
              <w:t xml:space="preserve">  本项目厂区污水总排放口综合废水排放情况一览表</w:t>
            </w:r>
          </w:p>
          <w:tbl>
            <w:tblPr>
              <w:tblStyle w:val="29"/>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58"/>
              <w:gridCol w:w="1660"/>
              <w:gridCol w:w="1660"/>
              <w:gridCol w:w="1660"/>
              <w:gridCol w:w="1659"/>
            </w:tblGrid>
            <w:tr w14:paraId="455B54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8" w:type="dxa"/>
                  <w:noWrap w:val="0"/>
                  <w:vAlign w:val="center"/>
                </w:tcPr>
                <w:p w14:paraId="1E8D13C7">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污染物种类</w:t>
                  </w:r>
                </w:p>
              </w:tc>
              <w:tc>
                <w:tcPr>
                  <w:tcW w:w="1660" w:type="dxa"/>
                  <w:noWrap w:val="0"/>
                  <w:vAlign w:val="center"/>
                </w:tcPr>
                <w:p w14:paraId="61749E33">
                  <w:pPr>
                    <w:pStyle w:val="38"/>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rPr>
                    <w:t>排放浓度</w:t>
                  </w:r>
                  <w:r>
                    <w:rPr>
                      <w:rFonts w:hint="eastAsia"/>
                      <w:szCs w:val="22"/>
                      <w:lang w:eastAsia="zh-CN"/>
                    </w:rPr>
                    <w:t>（</w:t>
                  </w:r>
                  <w:r>
                    <w:rPr>
                      <w:rFonts w:hint="eastAsia"/>
                      <w:szCs w:val="22"/>
                    </w:rPr>
                    <w:t>mg/L</w:t>
                  </w:r>
                  <w:r>
                    <w:rPr>
                      <w:rFonts w:hint="eastAsia"/>
                      <w:szCs w:val="22"/>
                      <w:lang w:eastAsia="zh-CN"/>
                    </w:rPr>
                    <w:t>）</w:t>
                  </w:r>
                </w:p>
              </w:tc>
              <w:tc>
                <w:tcPr>
                  <w:tcW w:w="1660" w:type="dxa"/>
                  <w:noWrap w:val="0"/>
                  <w:vAlign w:val="center"/>
                </w:tcPr>
                <w:p w14:paraId="6DC4F40B">
                  <w:pPr>
                    <w:pStyle w:val="38"/>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rPr>
                    <w:t>允许排放标准</w:t>
                  </w:r>
                  <w:r>
                    <w:rPr>
                      <w:rFonts w:hint="eastAsia"/>
                      <w:szCs w:val="22"/>
                      <w:lang w:eastAsia="zh-CN"/>
                    </w:rPr>
                    <w:t>（</w:t>
                  </w:r>
                  <w:r>
                    <w:rPr>
                      <w:rFonts w:hint="eastAsia"/>
                      <w:szCs w:val="22"/>
                    </w:rPr>
                    <w:t>mg/L</w:t>
                  </w:r>
                  <w:r>
                    <w:rPr>
                      <w:rFonts w:hint="eastAsia"/>
                      <w:szCs w:val="22"/>
                      <w:lang w:eastAsia="zh-CN"/>
                    </w:rPr>
                    <w:t>）</w:t>
                  </w:r>
                </w:p>
              </w:tc>
              <w:tc>
                <w:tcPr>
                  <w:tcW w:w="1660" w:type="dxa"/>
                  <w:noWrap w:val="0"/>
                  <w:vAlign w:val="center"/>
                </w:tcPr>
                <w:p w14:paraId="7A919C19">
                  <w:pPr>
                    <w:pStyle w:val="38"/>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lang w:eastAsia="zh-CN"/>
                    </w:rPr>
                    <w:t>污水处理厂</w:t>
                  </w:r>
                  <w:r>
                    <w:rPr>
                      <w:rFonts w:hint="eastAsia"/>
                      <w:szCs w:val="22"/>
                    </w:rPr>
                    <w:t>进水水质</w:t>
                  </w:r>
                  <w:r>
                    <w:rPr>
                      <w:rFonts w:hint="eastAsia"/>
                      <w:szCs w:val="22"/>
                      <w:lang w:eastAsia="zh-CN"/>
                    </w:rPr>
                    <w:t>（</w:t>
                  </w:r>
                  <w:r>
                    <w:rPr>
                      <w:rFonts w:hint="eastAsia"/>
                      <w:szCs w:val="22"/>
                    </w:rPr>
                    <w:t>mg/L</w:t>
                  </w:r>
                  <w:r>
                    <w:rPr>
                      <w:rFonts w:hint="eastAsia"/>
                      <w:szCs w:val="22"/>
                      <w:lang w:eastAsia="zh-CN"/>
                    </w:rPr>
                    <w:t>）</w:t>
                  </w:r>
                </w:p>
              </w:tc>
              <w:tc>
                <w:tcPr>
                  <w:tcW w:w="1659" w:type="dxa"/>
                  <w:noWrap w:val="0"/>
                  <w:vAlign w:val="center"/>
                </w:tcPr>
                <w:p w14:paraId="505A51F4">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达标情况</w:t>
                  </w:r>
                </w:p>
              </w:tc>
            </w:tr>
            <w:tr w14:paraId="3AB3B5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8" w:type="dxa"/>
                  <w:noWrap w:val="0"/>
                  <w:vAlign w:val="center"/>
                </w:tcPr>
                <w:p w14:paraId="613B615E">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pH</w:t>
                  </w:r>
                </w:p>
              </w:tc>
              <w:tc>
                <w:tcPr>
                  <w:tcW w:w="1660" w:type="dxa"/>
                  <w:noWrap w:val="0"/>
                  <w:vAlign w:val="center"/>
                </w:tcPr>
                <w:p w14:paraId="370E3E21">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6-9</w:t>
                  </w:r>
                  <w:r>
                    <w:rPr>
                      <w:rFonts w:hint="eastAsia"/>
                      <w:szCs w:val="22"/>
                      <w:lang w:eastAsia="zh-CN"/>
                    </w:rPr>
                    <w:t>（</w:t>
                  </w:r>
                  <w:r>
                    <w:rPr>
                      <w:rFonts w:hint="eastAsia"/>
                      <w:szCs w:val="22"/>
                    </w:rPr>
                    <w:t>无量纲</w:t>
                  </w:r>
                  <w:r>
                    <w:rPr>
                      <w:rFonts w:hint="eastAsia"/>
                      <w:szCs w:val="22"/>
                      <w:lang w:eastAsia="zh-CN"/>
                    </w:rPr>
                    <w:t>）</w:t>
                  </w:r>
                </w:p>
              </w:tc>
              <w:tc>
                <w:tcPr>
                  <w:tcW w:w="1660" w:type="dxa"/>
                  <w:noWrap w:val="0"/>
                  <w:vAlign w:val="center"/>
                </w:tcPr>
                <w:p w14:paraId="091A26FF">
                  <w:pPr>
                    <w:pStyle w:val="38"/>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rPr>
                    <w:t>6-9</w:t>
                  </w:r>
                  <w:r>
                    <w:rPr>
                      <w:rFonts w:hint="eastAsia"/>
                      <w:szCs w:val="22"/>
                      <w:lang w:eastAsia="zh-CN"/>
                    </w:rPr>
                    <w:t>（</w:t>
                  </w:r>
                  <w:r>
                    <w:rPr>
                      <w:rFonts w:hint="eastAsia"/>
                      <w:szCs w:val="22"/>
                    </w:rPr>
                    <w:t>无量纲</w:t>
                  </w:r>
                  <w:r>
                    <w:rPr>
                      <w:rFonts w:hint="eastAsia"/>
                      <w:szCs w:val="22"/>
                      <w:lang w:eastAsia="zh-CN"/>
                    </w:rPr>
                    <w:t>）</w:t>
                  </w:r>
                </w:p>
              </w:tc>
              <w:tc>
                <w:tcPr>
                  <w:tcW w:w="1660" w:type="dxa"/>
                  <w:noWrap w:val="0"/>
                  <w:vAlign w:val="center"/>
                </w:tcPr>
                <w:p w14:paraId="0CB86DCF">
                  <w:pPr>
                    <w:pStyle w:val="38"/>
                    <w:keepNext w:val="0"/>
                    <w:keepLines w:val="0"/>
                    <w:widowControl/>
                    <w:suppressLineNumbers w:val="0"/>
                    <w:bidi w:val="0"/>
                    <w:spacing w:before="0" w:beforeAutospacing="0" w:after="0" w:afterAutospacing="0"/>
                    <w:ind w:left="0" w:right="0"/>
                    <w:rPr>
                      <w:rFonts w:hint="eastAsia" w:eastAsia="宋体"/>
                      <w:szCs w:val="22"/>
                      <w:lang w:eastAsia="zh-CN"/>
                    </w:rPr>
                  </w:pPr>
                  <w:r>
                    <w:rPr>
                      <w:rFonts w:hint="eastAsia"/>
                      <w:szCs w:val="22"/>
                    </w:rPr>
                    <w:t>6-9</w:t>
                  </w:r>
                  <w:r>
                    <w:rPr>
                      <w:rFonts w:hint="eastAsia"/>
                      <w:szCs w:val="22"/>
                      <w:lang w:eastAsia="zh-CN"/>
                    </w:rPr>
                    <w:t>（</w:t>
                  </w:r>
                  <w:r>
                    <w:rPr>
                      <w:rFonts w:hint="eastAsia"/>
                      <w:szCs w:val="22"/>
                    </w:rPr>
                    <w:t>无量纲</w:t>
                  </w:r>
                  <w:r>
                    <w:rPr>
                      <w:rFonts w:hint="eastAsia"/>
                      <w:szCs w:val="22"/>
                      <w:lang w:eastAsia="zh-CN"/>
                    </w:rPr>
                    <w:t>）</w:t>
                  </w:r>
                </w:p>
              </w:tc>
              <w:tc>
                <w:tcPr>
                  <w:tcW w:w="1659" w:type="dxa"/>
                  <w:noWrap w:val="0"/>
                  <w:vAlign w:val="center"/>
                </w:tcPr>
                <w:p w14:paraId="38FB659E">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达标</w:t>
                  </w:r>
                </w:p>
              </w:tc>
            </w:tr>
            <w:tr w14:paraId="47FB00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8" w:type="dxa"/>
                  <w:noWrap w:val="0"/>
                  <w:vAlign w:val="center"/>
                </w:tcPr>
                <w:p w14:paraId="5419688A">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COD</w:t>
                  </w:r>
                </w:p>
              </w:tc>
              <w:tc>
                <w:tcPr>
                  <w:tcW w:w="1660" w:type="dxa"/>
                  <w:noWrap w:val="0"/>
                  <w:vAlign w:val="center"/>
                </w:tcPr>
                <w:p w14:paraId="38F9D134">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318.8</w:t>
                  </w:r>
                </w:p>
              </w:tc>
              <w:tc>
                <w:tcPr>
                  <w:tcW w:w="1660" w:type="dxa"/>
                  <w:noWrap w:val="0"/>
                  <w:vAlign w:val="center"/>
                </w:tcPr>
                <w:p w14:paraId="14ED4560">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500</w:t>
                  </w:r>
                </w:p>
              </w:tc>
              <w:tc>
                <w:tcPr>
                  <w:tcW w:w="1660" w:type="dxa"/>
                  <w:noWrap w:val="0"/>
                  <w:vAlign w:val="center"/>
                </w:tcPr>
                <w:p w14:paraId="5C496B28">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400</w:t>
                  </w:r>
                </w:p>
              </w:tc>
              <w:tc>
                <w:tcPr>
                  <w:tcW w:w="1659" w:type="dxa"/>
                  <w:noWrap w:val="0"/>
                  <w:vAlign w:val="center"/>
                </w:tcPr>
                <w:p w14:paraId="123D2269">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达标</w:t>
                  </w:r>
                </w:p>
              </w:tc>
            </w:tr>
            <w:tr w14:paraId="58D8B7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8" w:type="dxa"/>
                  <w:noWrap w:val="0"/>
                  <w:vAlign w:val="center"/>
                </w:tcPr>
                <w:p w14:paraId="3243974A">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BOD</w:t>
                  </w:r>
                  <w:r>
                    <w:rPr>
                      <w:rFonts w:hint="eastAsia"/>
                      <w:szCs w:val="22"/>
                      <w:vertAlign w:val="subscript"/>
                    </w:rPr>
                    <w:t>5</w:t>
                  </w:r>
                </w:p>
              </w:tc>
              <w:tc>
                <w:tcPr>
                  <w:tcW w:w="1660" w:type="dxa"/>
                  <w:noWrap w:val="0"/>
                  <w:vAlign w:val="center"/>
                </w:tcPr>
                <w:p w14:paraId="590E711E">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173.4</w:t>
                  </w:r>
                </w:p>
              </w:tc>
              <w:tc>
                <w:tcPr>
                  <w:tcW w:w="1660" w:type="dxa"/>
                  <w:noWrap w:val="0"/>
                  <w:vAlign w:val="center"/>
                </w:tcPr>
                <w:p w14:paraId="0453D621">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300</w:t>
                  </w:r>
                </w:p>
              </w:tc>
              <w:tc>
                <w:tcPr>
                  <w:tcW w:w="1660" w:type="dxa"/>
                  <w:noWrap w:val="0"/>
                  <w:vAlign w:val="center"/>
                </w:tcPr>
                <w:p w14:paraId="62AE4F18">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220</w:t>
                  </w:r>
                </w:p>
              </w:tc>
              <w:tc>
                <w:tcPr>
                  <w:tcW w:w="1659" w:type="dxa"/>
                  <w:noWrap w:val="0"/>
                  <w:vAlign w:val="center"/>
                </w:tcPr>
                <w:p w14:paraId="52624898">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达标</w:t>
                  </w:r>
                </w:p>
              </w:tc>
            </w:tr>
            <w:tr w14:paraId="59D8F2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8" w:type="dxa"/>
                  <w:noWrap w:val="0"/>
                  <w:vAlign w:val="center"/>
                </w:tcPr>
                <w:p w14:paraId="39CE7A86">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SS</w:t>
                  </w:r>
                </w:p>
              </w:tc>
              <w:tc>
                <w:tcPr>
                  <w:tcW w:w="1660" w:type="dxa"/>
                  <w:noWrap w:val="0"/>
                  <w:vAlign w:val="center"/>
                </w:tcPr>
                <w:p w14:paraId="0F7323E9">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106</w:t>
                  </w:r>
                </w:p>
              </w:tc>
              <w:tc>
                <w:tcPr>
                  <w:tcW w:w="1660" w:type="dxa"/>
                  <w:noWrap w:val="0"/>
                  <w:vAlign w:val="center"/>
                </w:tcPr>
                <w:p w14:paraId="3B5DD1C4">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400</w:t>
                  </w:r>
                </w:p>
              </w:tc>
              <w:tc>
                <w:tcPr>
                  <w:tcW w:w="1660" w:type="dxa"/>
                  <w:noWrap w:val="0"/>
                  <w:vAlign w:val="center"/>
                </w:tcPr>
                <w:p w14:paraId="17440202">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280</w:t>
                  </w:r>
                </w:p>
              </w:tc>
              <w:tc>
                <w:tcPr>
                  <w:tcW w:w="1659" w:type="dxa"/>
                  <w:noWrap w:val="0"/>
                  <w:vAlign w:val="center"/>
                </w:tcPr>
                <w:p w14:paraId="1C71EC07">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达标</w:t>
                  </w:r>
                </w:p>
              </w:tc>
            </w:tr>
            <w:tr w14:paraId="6A5B5E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8" w:type="dxa"/>
                  <w:noWrap w:val="0"/>
                  <w:vAlign w:val="center"/>
                </w:tcPr>
                <w:p w14:paraId="4DA79D5C">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NH</w:t>
                  </w:r>
                  <w:r>
                    <w:rPr>
                      <w:rFonts w:hint="eastAsia"/>
                      <w:szCs w:val="22"/>
                      <w:vertAlign w:val="subscript"/>
                    </w:rPr>
                    <w:t>3</w:t>
                  </w:r>
                  <w:r>
                    <w:rPr>
                      <w:rFonts w:hint="eastAsia"/>
                      <w:szCs w:val="22"/>
                    </w:rPr>
                    <w:t>-N</w:t>
                  </w:r>
                </w:p>
              </w:tc>
              <w:tc>
                <w:tcPr>
                  <w:tcW w:w="1660" w:type="dxa"/>
                  <w:noWrap w:val="0"/>
                  <w:vAlign w:val="center"/>
                </w:tcPr>
                <w:p w14:paraId="14E05918">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33.9</w:t>
                  </w:r>
                </w:p>
              </w:tc>
              <w:tc>
                <w:tcPr>
                  <w:tcW w:w="1660" w:type="dxa"/>
                  <w:noWrap w:val="0"/>
                  <w:vAlign w:val="center"/>
                </w:tcPr>
                <w:p w14:paraId="1CF79E0A">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45</w:t>
                  </w:r>
                </w:p>
              </w:tc>
              <w:tc>
                <w:tcPr>
                  <w:tcW w:w="1660" w:type="dxa"/>
                  <w:noWrap w:val="0"/>
                  <w:vAlign w:val="center"/>
                </w:tcPr>
                <w:p w14:paraId="2E215D8B">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37</w:t>
                  </w:r>
                </w:p>
              </w:tc>
              <w:tc>
                <w:tcPr>
                  <w:tcW w:w="1659" w:type="dxa"/>
                  <w:noWrap w:val="0"/>
                  <w:vAlign w:val="center"/>
                </w:tcPr>
                <w:p w14:paraId="040DE21D">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达标</w:t>
                  </w:r>
                </w:p>
              </w:tc>
            </w:tr>
          </w:tbl>
          <w:p w14:paraId="1B585209">
            <w:pPr>
              <w:keepNext w:val="0"/>
              <w:keepLines w:val="0"/>
              <w:suppressLineNumbers w:val="0"/>
              <w:bidi w:val="0"/>
              <w:spacing w:before="0" w:beforeAutospacing="0" w:after="0" w:afterAutospacing="0"/>
              <w:ind w:left="0" w:right="0"/>
              <w:rPr>
                <w:rFonts w:hint="default"/>
              </w:rPr>
            </w:pPr>
            <w:r>
              <w:rPr>
                <w:rFonts w:hint="default"/>
              </w:rPr>
              <w:t>根据上表所列数据，本项目</w:t>
            </w:r>
            <w:r>
              <w:rPr>
                <w:rFonts w:hint="eastAsia"/>
                <w:lang w:val="en-US" w:eastAsia="zh-CN"/>
              </w:rPr>
              <w:t>生活污水</w:t>
            </w:r>
            <w:r>
              <w:rPr>
                <w:rFonts w:hint="default"/>
              </w:rPr>
              <w:t>主要污染物排放浓度均能满足《污水综合排放标准》</w:t>
            </w:r>
            <w:r>
              <w:rPr>
                <w:rFonts w:hint="eastAsia"/>
                <w:lang w:eastAsia="zh-CN"/>
              </w:rPr>
              <w:t>（</w:t>
            </w:r>
            <w:r>
              <w:rPr>
                <w:rFonts w:hint="default"/>
              </w:rPr>
              <w:t>GB8978-1996</w:t>
            </w:r>
            <w:r>
              <w:rPr>
                <w:rFonts w:hint="eastAsia"/>
                <w:lang w:eastAsia="zh-CN"/>
              </w:rPr>
              <w:t>）</w:t>
            </w:r>
            <w:r>
              <w:rPr>
                <w:rFonts w:hint="default"/>
              </w:rPr>
              <w:t>表4三级标准及《污水排入城镇下水道水质标准》</w:t>
            </w:r>
            <w:r>
              <w:rPr>
                <w:rFonts w:hint="eastAsia"/>
                <w:lang w:eastAsia="zh-CN"/>
              </w:rPr>
              <w:t>（</w:t>
            </w:r>
            <w:r>
              <w:rPr>
                <w:rFonts w:hint="default"/>
              </w:rPr>
              <w:t>GB/T 31962-2015</w:t>
            </w:r>
            <w:r>
              <w:rPr>
                <w:rFonts w:hint="eastAsia"/>
                <w:lang w:eastAsia="zh-CN"/>
              </w:rPr>
              <w:t>）</w:t>
            </w:r>
            <w:r>
              <w:rPr>
                <w:rFonts w:hint="default"/>
              </w:rPr>
              <w:t>表1中B级标准限值</w:t>
            </w:r>
            <w:r>
              <w:rPr>
                <w:rFonts w:hint="eastAsia"/>
              </w:rPr>
              <w:t>，也可以符合</w:t>
            </w:r>
            <w:r>
              <w:rPr>
                <w:rFonts w:hint="eastAsia"/>
                <w:lang w:eastAsia="zh-CN"/>
              </w:rPr>
              <w:t>污水处理厂</w:t>
            </w:r>
            <w:r>
              <w:rPr>
                <w:rFonts w:hint="eastAsia"/>
              </w:rPr>
              <w:t>进水水质要求</w:t>
            </w:r>
            <w:r>
              <w:rPr>
                <w:rFonts w:hint="default"/>
              </w:rPr>
              <w:t>。</w:t>
            </w:r>
          </w:p>
          <w:p w14:paraId="23063476">
            <w:pPr>
              <w:keepNext w:val="0"/>
              <w:keepLines w:val="0"/>
              <w:suppressLineNumbers w:val="0"/>
              <w:bidi w:val="0"/>
              <w:spacing w:before="0" w:beforeAutospacing="0" w:after="0" w:afterAutospacing="0"/>
              <w:ind w:left="0" w:right="0"/>
              <w:rPr>
                <w:rFonts w:hint="default"/>
              </w:rPr>
            </w:pPr>
            <w:r>
              <w:rPr>
                <w:rFonts w:hint="default"/>
              </w:rPr>
              <w:t>项目</w:t>
            </w:r>
            <w:r>
              <w:rPr>
                <w:rFonts w:hint="eastAsia"/>
              </w:rPr>
              <w:t>生活污水</w:t>
            </w:r>
            <w:r>
              <w:rPr>
                <w:rFonts w:hint="default"/>
              </w:rPr>
              <w:t>不涉及有毒有害污染物，不涉及持久性、重金属，也不含有腐蚀成分，因此，从水质方面分析，</w:t>
            </w:r>
            <w:r>
              <w:rPr>
                <w:rFonts w:hint="eastAsia"/>
              </w:rPr>
              <w:t>福清市融元污水处理厂</w:t>
            </w:r>
            <w:r>
              <w:rPr>
                <w:rFonts w:hint="default"/>
              </w:rPr>
              <w:t>可接纳项目</w:t>
            </w:r>
            <w:r>
              <w:rPr>
                <w:rFonts w:hint="eastAsia"/>
                <w:lang w:val="en-US" w:eastAsia="zh-CN"/>
              </w:rPr>
              <w:t>生活污水</w:t>
            </w:r>
            <w:r>
              <w:rPr>
                <w:rFonts w:hint="default"/>
              </w:rPr>
              <w:t>，不会对</w:t>
            </w:r>
            <w:r>
              <w:rPr>
                <w:rFonts w:hint="eastAsia"/>
                <w:lang w:eastAsia="zh-CN"/>
              </w:rPr>
              <w:t>污水处理厂</w:t>
            </w:r>
            <w:r>
              <w:rPr>
                <w:rFonts w:hint="default"/>
              </w:rPr>
              <w:t>水质负荷造成冲击。</w:t>
            </w:r>
          </w:p>
          <w:p w14:paraId="52F9B64D">
            <w:pPr>
              <w:keepNext w:val="0"/>
              <w:keepLines w:val="0"/>
              <w:suppressLineNumbers w:val="0"/>
              <w:bidi w:val="0"/>
              <w:spacing w:before="0" w:beforeAutospacing="0" w:after="0" w:afterAutospacing="0"/>
              <w:ind w:left="0" w:right="0"/>
              <w:rPr>
                <w:rFonts w:hint="eastAsia"/>
              </w:rPr>
            </w:pPr>
            <w:r>
              <w:rPr>
                <w:rFonts w:hint="default"/>
              </w:rPr>
              <w:t>③</w:t>
            </w:r>
            <w:r>
              <w:rPr>
                <w:rFonts w:hint="eastAsia"/>
              </w:rPr>
              <w:t>水量负荷</w:t>
            </w:r>
          </w:p>
          <w:p w14:paraId="689E3B10">
            <w:pPr>
              <w:keepNext w:val="0"/>
              <w:keepLines w:val="0"/>
              <w:suppressLineNumbers w:val="0"/>
              <w:bidi w:val="0"/>
              <w:spacing w:before="0" w:beforeAutospacing="0" w:after="0" w:afterAutospacing="0"/>
              <w:ind w:left="0" w:right="0"/>
              <w:rPr>
                <w:rFonts w:hint="default"/>
              </w:rPr>
            </w:pPr>
            <w:r>
              <w:rPr>
                <w:rFonts w:hint="eastAsia"/>
              </w:rPr>
              <w:t>福清市融元污水处理厂现状</w:t>
            </w:r>
            <w:r>
              <w:rPr>
                <w:rFonts w:hint="default"/>
              </w:rPr>
              <w:t>设计总处理规模为</w:t>
            </w:r>
            <w:r>
              <w:rPr>
                <w:rFonts w:hint="eastAsia"/>
              </w:rPr>
              <w:t>12</w:t>
            </w:r>
            <w:r>
              <w:rPr>
                <w:rFonts w:hint="default"/>
              </w:rPr>
              <w:t>万t/d，根据调查，目前福清市融元污水处理厂日平均处理规模约为11.85万m</w:t>
            </w:r>
            <w:r>
              <w:rPr>
                <w:rFonts w:hint="default"/>
                <w:vertAlign w:val="superscript"/>
              </w:rPr>
              <w:t>3</w:t>
            </w:r>
            <w:r>
              <w:rPr>
                <w:rFonts w:hint="default"/>
              </w:rPr>
              <w:t>/d</w:t>
            </w:r>
            <w:r>
              <w:rPr>
                <w:rFonts w:hint="eastAsia"/>
                <w:lang w:eastAsia="zh-CN"/>
              </w:rPr>
              <w:t>，</w:t>
            </w:r>
            <w:r>
              <w:rPr>
                <w:rFonts w:hint="eastAsia"/>
              </w:rPr>
              <w:t>剩余处理能力</w:t>
            </w:r>
            <w:r>
              <w:rPr>
                <w:rFonts w:hint="default"/>
              </w:rPr>
              <w:t>1500m³/d。</w:t>
            </w:r>
            <w:r>
              <w:rPr>
                <w:rFonts w:hint="eastAsia"/>
              </w:rPr>
              <w:t>本</w:t>
            </w:r>
            <w:r>
              <w:rPr>
                <w:rFonts w:hint="default"/>
              </w:rPr>
              <w:t>项目生活污水排放量</w:t>
            </w:r>
            <w:r>
              <w:rPr>
                <w:rFonts w:hint="eastAsia"/>
                <w:lang w:val="en-US" w:eastAsia="zh-CN"/>
              </w:rPr>
              <w:t>0.52</w:t>
            </w:r>
            <w:r>
              <w:rPr>
                <w:rFonts w:hint="default"/>
              </w:rPr>
              <w:t>t/d，仅占</w:t>
            </w:r>
            <w:r>
              <w:rPr>
                <w:rFonts w:hint="eastAsia"/>
              </w:rPr>
              <w:t>福清市融元污水处理厂剩余</w:t>
            </w:r>
            <w:r>
              <w:rPr>
                <w:rFonts w:hint="default"/>
              </w:rPr>
              <w:t>处理</w:t>
            </w:r>
            <w:r>
              <w:rPr>
                <w:rFonts w:hint="eastAsia"/>
              </w:rPr>
              <w:t>规模</w:t>
            </w:r>
            <w:r>
              <w:rPr>
                <w:rFonts w:hint="default"/>
              </w:rPr>
              <w:t>的</w:t>
            </w:r>
            <w:r>
              <w:rPr>
                <w:rFonts w:hint="eastAsia"/>
                <w:lang w:val="en-US" w:eastAsia="zh-CN"/>
              </w:rPr>
              <w:t>0.0003</w:t>
            </w:r>
            <w:r>
              <w:rPr>
                <w:rFonts w:hint="default"/>
              </w:rPr>
              <w:t>%，</w:t>
            </w:r>
            <w:r>
              <w:rPr>
                <w:rFonts w:hint="eastAsia"/>
              </w:rPr>
              <w:t>污水处理厂采用</w:t>
            </w:r>
            <w:r>
              <w:rPr>
                <w:rFonts w:hint="eastAsia"/>
                <w:lang w:eastAsia="zh-CN"/>
              </w:rPr>
              <w:t>“</w:t>
            </w:r>
            <w:r>
              <w:rPr>
                <w:rFonts w:hint="eastAsia"/>
              </w:rPr>
              <w:t>处理+二级生化处理+深化处理</w:t>
            </w:r>
            <w:r>
              <w:rPr>
                <w:rFonts w:hint="eastAsia"/>
                <w:lang w:eastAsia="zh-CN"/>
              </w:rPr>
              <w:t>”</w:t>
            </w:r>
            <w:r>
              <w:rPr>
                <w:rFonts w:hint="eastAsia"/>
              </w:rPr>
              <w:t>，属于城镇污水处理厂通用工艺，因此，从处理能力及处理工艺分析</w:t>
            </w:r>
            <w:r>
              <w:rPr>
                <w:rFonts w:hint="default"/>
              </w:rPr>
              <w:t>，</w:t>
            </w:r>
            <w:r>
              <w:rPr>
                <w:rFonts w:hint="eastAsia"/>
              </w:rPr>
              <w:t>福清市融元污水处理厂</w:t>
            </w:r>
            <w:r>
              <w:rPr>
                <w:rFonts w:hint="default"/>
              </w:rPr>
              <w:t>可接纳项目废水排放量，不会对</w:t>
            </w:r>
            <w:r>
              <w:rPr>
                <w:rFonts w:hint="eastAsia"/>
                <w:lang w:eastAsia="zh-CN"/>
              </w:rPr>
              <w:t>污水处理厂</w:t>
            </w:r>
            <w:r>
              <w:rPr>
                <w:rFonts w:hint="default"/>
              </w:rPr>
              <w:t>水量负荷造成冲击。</w:t>
            </w:r>
          </w:p>
          <w:p w14:paraId="7D1B3F7B">
            <w:pPr>
              <w:keepNext w:val="0"/>
              <w:keepLines w:val="0"/>
              <w:suppressLineNumbers w:val="0"/>
              <w:bidi w:val="0"/>
              <w:spacing w:before="0" w:beforeAutospacing="0" w:after="0" w:afterAutospacing="0"/>
              <w:ind w:left="0" w:right="0"/>
              <w:rPr>
                <w:rFonts w:hint="default"/>
              </w:rPr>
            </w:pPr>
            <w:r>
              <w:rPr>
                <w:rFonts w:hint="default"/>
              </w:rPr>
              <w:t>根据上述分析，</w:t>
            </w:r>
            <w:r>
              <w:rPr>
                <w:rFonts w:hint="eastAsia"/>
              </w:rPr>
              <w:t>项目生活污水经化粪池预处理达标后通过厂区污水总排放口</w:t>
            </w:r>
            <w:r>
              <w:rPr>
                <w:rFonts w:hint="default"/>
              </w:rPr>
              <w:t>排入市政污水管网，</w:t>
            </w:r>
            <w:r>
              <w:rPr>
                <w:rFonts w:hint="eastAsia"/>
              </w:rPr>
              <w:t>最终</w:t>
            </w:r>
            <w:r>
              <w:rPr>
                <w:rFonts w:hint="default"/>
              </w:rPr>
              <w:t>送往</w:t>
            </w:r>
            <w:r>
              <w:rPr>
                <w:rFonts w:hint="eastAsia"/>
              </w:rPr>
              <w:t>福清市融元污水处理厂</w:t>
            </w:r>
            <w:r>
              <w:rPr>
                <w:rFonts w:hint="default"/>
              </w:rPr>
              <w:t>集中处理</w:t>
            </w:r>
            <w:r>
              <w:rPr>
                <w:rFonts w:hint="eastAsia"/>
              </w:rPr>
              <w:t>，</w:t>
            </w:r>
            <w:r>
              <w:rPr>
                <w:rFonts w:hint="default"/>
              </w:rPr>
              <w:t>项目废水水质、水量</w:t>
            </w:r>
            <w:r>
              <w:rPr>
                <w:rFonts w:hint="eastAsia"/>
              </w:rPr>
              <w:t>均</w:t>
            </w:r>
            <w:r>
              <w:rPr>
                <w:rFonts w:hint="default"/>
              </w:rPr>
              <w:t>不会对污水处理厂造成负荷冲击，项目污水不直接排入地表水体，因此几乎不会对区域地表水环境产生直接不利影响。</w:t>
            </w:r>
          </w:p>
          <w:p w14:paraId="1449C60A">
            <w:pPr>
              <w:pStyle w:val="3"/>
              <w:keepNext w:val="0"/>
              <w:keepLines w:val="0"/>
              <w:suppressLineNumbers w:val="0"/>
              <w:bidi w:val="0"/>
              <w:spacing w:before="0" w:beforeAutospacing="0" w:after="0" w:afterAutospacing="0"/>
              <w:ind w:left="0" w:right="0"/>
              <w:rPr>
                <w:rFonts w:hint="eastAsia"/>
              </w:rPr>
            </w:pPr>
            <w:r>
              <w:rPr>
                <w:rFonts w:hint="eastAsia"/>
              </w:rPr>
              <w:t>运营期大气环境影响分析和污染防治措施</w:t>
            </w:r>
          </w:p>
          <w:p w14:paraId="1DFC7E37">
            <w:pPr>
              <w:pStyle w:val="4"/>
              <w:suppressLineNumbers w:val="0"/>
              <w:bidi w:val="0"/>
              <w:spacing w:before="0" w:beforeAutospacing="0" w:after="0" w:afterAutospacing="0"/>
              <w:ind w:left="0" w:right="0"/>
              <w:rPr>
                <w:rFonts w:hint="eastAsia"/>
              </w:rPr>
            </w:pPr>
            <w:r>
              <w:rPr>
                <w:rFonts w:hint="eastAsia"/>
              </w:rPr>
              <w:t>运营期废气源强核算</w:t>
            </w:r>
          </w:p>
          <w:p w14:paraId="60422E6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olor w:val="auto"/>
                <w:sz w:val="24"/>
                <w:szCs w:val="24"/>
                <w:lang w:val="en-US" w:eastAsia="zh-CN"/>
              </w:rPr>
            </w:pPr>
            <w:r>
              <w:rPr>
                <w:rFonts w:hint="eastAsia"/>
                <w:color w:val="auto"/>
                <w:kern w:val="0"/>
              </w:rPr>
              <w:t>本项目运营期产生的</w:t>
            </w:r>
            <w:r>
              <w:rPr>
                <w:rFonts w:hint="eastAsia"/>
                <w:bCs/>
                <w:color w:val="auto"/>
              </w:rPr>
              <w:t>颗粒物主要来自喷漆工序（漆雾）</w:t>
            </w:r>
            <w:r>
              <w:rPr>
                <w:rFonts w:hint="eastAsia"/>
                <w:bCs/>
                <w:color w:val="auto"/>
                <w:lang w:val="en-US" w:eastAsia="zh-CN"/>
              </w:rPr>
              <w:t>及打磨工序</w:t>
            </w:r>
            <w:r>
              <w:rPr>
                <w:rFonts w:hint="eastAsia"/>
                <w:bCs/>
                <w:color w:val="auto"/>
              </w:rPr>
              <w:t>；</w:t>
            </w:r>
            <w:r>
              <w:rPr>
                <w:rFonts w:hint="eastAsia"/>
                <w:bCs/>
                <w:color w:val="auto"/>
                <w:lang w:val="en-US" w:eastAsia="zh-CN"/>
              </w:rPr>
              <w:t>喷漆、烘干及加烤</w:t>
            </w:r>
            <w:r>
              <w:rPr>
                <w:rFonts w:hint="eastAsia"/>
                <w:color w:val="auto"/>
              </w:rPr>
              <w:t>产生的污染物因子为非甲烷总烃。</w:t>
            </w:r>
          </w:p>
          <w:p w14:paraId="0D4FEF8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color w:val="auto"/>
                <w:sz w:val="24"/>
                <w:szCs w:val="24"/>
                <w:lang w:val="en-US" w:eastAsia="zh-CN"/>
              </w:rPr>
            </w:pPr>
            <w:r>
              <w:rPr>
                <w:rFonts w:hint="eastAsia" w:ascii="Times New Roman" w:hAnsi="Times New Roman" w:eastAsia="宋体"/>
                <w:color w:val="auto"/>
                <w:sz w:val="24"/>
                <w:szCs w:val="24"/>
                <w:lang w:val="en-US" w:eastAsia="zh-CN"/>
              </w:rPr>
              <w:t>（1）打磨废气</w:t>
            </w:r>
          </w:p>
          <w:p w14:paraId="21D6FA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olor w:val="auto"/>
                <w:sz w:val="24"/>
                <w:szCs w:val="24"/>
                <w:lang w:val="en-US" w:eastAsia="zh-CN"/>
              </w:rPr>
            </w:pPr>
            <w:r>
              <w:rPr>
                <w:rFonts w:hint="eastAsia" w:ascii="宋体" w:hAnsi="宋体" w:eastAsia="宋体" w:cs="宋体"/>
                <w:color w:val="auto"/>
                <w:sz w:val="24"/>
                <w:szCs w:val="24"/>
                <w:lang w:val="en-US" w:eastAsia="zh-CN"/>
              </w:rPr>
              <w:t>项目压铸铝在打磨过程中会产生粉尘，这些粉尘主要成分为金属。</w:t>
            </w:r>
            <w:r>
              <w:rPr>
                <w:rFonts w:hint="eastAsia" w:ascii="宋体" w:hAnsi="宋体" w:eastAsia="宋体" w:cs="宋体"/>
                <w:color w:val="auto"/>
                <w:sz w:val="24"/>
                <w:szCs w:val="24"/>
              </w:rPr>
              <w:t>根据</w:t>
            </w:r>
            <w:r>
              <w:rPr>
                <w:rFonts w:hint="eastAsia" w:ascii="宋体" w:hAnsi="宋体" w:cs="宋体"/>
                <w:color w:val="auto"/>
                <w:sz w:val="24"/>
                <w:szCs w:val="24"/>
                <w:lang w:val="en-US" w:eastAsia="zh-CN"/>
              </w:rPr>
              <w:t>现有项目</w:t>
            </w:r>
            <w:r>
              <w:rPr>
                <w:rFonts w:hint="eastAsia" w:ascii="宋体" w:hAnsi="宋体" w:eastAsia="宋体" w:cs="宋体"/>
                <w:color w:val="auto"/>
                <w:sz w:val="24"/>
                <w:szCs w:val="24"/>
              </w:rPr>
              <w:t>情况，</w:t>
            </w:r>
            <w:r>
              <w:rPr>
                <w:rFonts w:hint="eastAsia" w:ascii="宋体" w:hAnsi="宋体" w:eastAsia="宋体" w:cs="宋体"/>
                <w:color w:val="auto"/>
                <w:sz w:val="24"/>
                <w:szCs w:val="24"/>
                <w:lang w:val="en-US" w:eastAsia="zh-CN"/>
              </w:rPr>
              <w:t>打磨</w:t>
            </w:r>
            <w:r>
              <w:rPr>
                <w:rFonts w:hint="eastAsia" w:ascii="宋体" w:hAnsi="宋体" w:eastAsia="宋体" w:cs="宋体"/>
                <w:color w:val="auto"/>
                <w:sz w:val="24"/>
                <w:szCs w:val="24"/>
              </w:rPr>
              <w:t>过程产生的金属粉尘量极少</w:t>
            </w:r>
            <w:r>
              <w:rPr>
                <w:rFonts w:hint="eastAsia" w:ascii="宋体" w:hAnsi="宋体" w:cs="宋体"/>
                <w:color w:val="auto"/>
                <w:sz w:val="24"/>
                <w:szCs w:val="24"/>
                <w:lang w:eastAsia="zh-CN"/>
              </w:rPr>
              <w:t>且</w:t>
            </w:r>
            <w:r>
              <w:rPr>
                <w:rFonts w:hint="eastAsia" w:ascii="宋体" w:hAnsi="宋体" w:eastAsia="宋体" w:cs="宋体"/>
                <w:color w:val="auto"/>
                <w:sz w:val="24"/>
                <w:szCs w:val="24"/>
              </w:rPr>
              <w:t>此部分金属</w:t>
            </w:r>
            <w:r>
              <w:rPr>
                <w:rFonts w:hint="eastAsia" w:ascii="宋体" w:hAnsi="宋体" w:eastAsia="宋体" w:cs="宋体"/>
                <w:color w:val="auto"/>
                <w:sz w:val="24"/>
                <w:szCs w:val="24"/>
                <w:lang w:val="en-US" w:eastAsia="zh-CN"/>
              </w:rPr>
              <w:t>粒径</w:t>
            </w:r>
            <w:r>
              <w:rPr>
                <w:rFonts w:hint="eastAsia" w:ascii="宋体" w:hAnsi="宋体" w:eastAsia="宋体" w:cs="宋体"/>
                <w:color w:val="auto"/>
                <w:sz w:val="24"/>
                <w:szCs w:val="24"/>
              </w:rPr>
              <w:t>较大，基本沉降在工位旁，</w:t>
            </w:r>
            <w:r>
              <w:rPr>
                <w:rFonts w:hint="eastAsia" w:ascii="Times New Roman" w:hAnsi="Times New Roman" w:eastAsia="宋体" w:cs="Times New Roman"/>
                <w:b w:val="0"/>
                <w:bCs w:val="0"/>
                <w:color w:val="auto"/>
                <w:sz w:val="24"/>
                <w:szCs w:val="24"/>
                <w:highlight w:val="none"/>
                <w:lang w:val="en-US" w:eastAsia="zh-CN"/>
              </w:rPr>
              <w:t>故本评价</w:t>
            </w:r>
            <w:r>
              <w:rPr>
                <w:rFonts w:hint="eastAsia" w:cs="Times New Roman"/>
                <w:b w:val="0"/>
                <w:bCs w:val="0"/>
                <w:color w:val="auto"/>
                <w:sz w:val="24"/>
                <w:szCs w:val="24"/>
                <w:highlight w:val="none"/>
                <w:lang w:val="en-US" w:eastAsia="zh-CN"/>
              </w:rPr>
              <w:t>仅对打磨工序产生的颗粒物进行定性分析，</w:t>
            </w:r>
            <w:r>
              <w:rPr>
                <w:rFonts w:hint="eastAsia" w:ascii="Times New Roman" w:hAnsi="Times New Roman" w:eastAsia="宋体" w:cs="Times New Roman"/>
                <w:b w:val="0"/>
                <w:bCs w:val="0"/>
                <w:color w:val="auto"/>
                <w:sz w:val="24"/>
                <w:szCs w:val="24"/>
                <w:highlight w:val="none"/>
                <w:lang w:val="en-US" w:eastAsia="zh-CN"/>
              </w:rPr>
              <w:t>不对其进行定量分析。</w:t>
            </w:r>
            <w:r>
              <w:rPr>
                <w:rFonts w:hint="eastAsia" w:ascii="宋体" w:hAnsi="宋体" w:cs="宋体"/>
                <w:color w:val="auto"/>
                <w:sz w:val="24"/>
                <w:szCs w:val="24"/>
                <w:lang w:val="en-US" w:eastAsia="zh-CN"/>
              </w:rPr>
              <w:t>本评价</w:t>
            </w:r>
            <w:r>
              <w:rPr>
                <w:rFonts w:hint="eastAsia" w:ascii="宋体" w:hAnsi="宋体" w:eastAsia="宋体" w:cs="宋体"/>
                <w:color w:val="auto"/>
                <w:sz w:val="24"/>
                <w:szCs w:val="24"/>
              </w:rPr>
              <w:t>项目</w:t>
            </w:r>
            <w:r>
              <w:rPr>
                <w:rFonts w:hint="eastAsia" w:ascii="宋体" w:hAnsi="宋体" w:eastAsia="宋体" w:cs="宋体"/>
                <w:color w:val="auto"/>
                <w:sz w:val="24"/>
                <w:szCs w:val="24"/>
                <w:lang w:val="en-US" w:eastAsia="zh-CN"/>
              </w:rPr>
              <w:t>设置密闭打磨房，打磨工序密闭</w:t>
            </w:r>
            <w:r>
              <w:rPr>
                <w:rFonts w:hint="eastAsia" w:ascii="宋体" w:hAnsi="宋体" w:eastAsia="宋体" w:cs="宋体"/>
                <w:color w:val="auto"/>
                <w:sz w:val="24"/>
                <w:szCs w:val="24"/>
              </w:rPr>
              <w:t>以减少粉尘外逸对外环境的影响。</w:t>
            </w:r>
          </w:p>
          <w:p w14:paraId="3E1810C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baseline"/>
              <w:rPr>
                <w:rFonts w:hint="default" w:ascii="Times New Roman" w:hAnsi="Times New Roman" w:eastAsia="宋体" w:cs="Times New Roman"/>
                <w:color w:val="auto"/>
                <w:sz w:val="24"/>
                <w:szCs w:val="24"/>
                <w:lang w:val="en-US" w:eastAsia="zh-CN"/>
              </w:rPr>
            </w:pPr>
            <w:r>
              <w:rPr>
                <w:rFonts w:hint="eastAsia" w:ascii="Times New Roman" w:hAnsi="Times New Roman" w:eastAsia="宋体"/>
                <w:color w:val="auto"/>
                <w:sz w:val="24"/>
                <w:szCs w:val="24"/>
                <w:lang w:val="en-US" w:eastAsia="zh-CN"/>
              </w:rPr>
              <w:t>（2</w:t>
            </w:r>
            <w:r>
              <w:rPr>
                <w:rFonts w:hint="default" w:ascii="Times New Roman" w:hAnsi="Times New Roman" w:eastAsia="宋体" w:cs="Times New Roman"/>
                <w:color w:val="auto"/>
                <w:sz w:val="24"/>
                <w:szCs w:val="24"/>
                <w:lang w:val="en-US" w:eastAsia="zh-CN"/>
              </w:rPr>
              <w:t>）喷漆</w:t>
            </w:r>
            <w:r>
              <w:rPr>
                <w:rFonts w:hint="eastAsia" w:cs="Times New Roman"/>
                <w:color w:val="auto"/>
                <w:sz w:val="24"/>
                <w:szCs w:val="24"/>
                <w:lang w:val="en-US" w:eastAsia="zh-CN"/>
              </w:rPr>
              <w:t>、烘干及加烤</w:t>
            </w:r>
            <w:r>
              <w:rPr>
                <w:rFonts w:hint="default" w:ascii="Times New Roman" w:hAnsi="Times New Roman" w:eastAsia="宋体" w:cs="Times New Roman"/>
                <w:color w:val="auto"/>
                <w:sz w:val="24"/>
                <w:szCs w:val="24"/>
                <w:lang w:val="en-US" w:eastAsia="zh-CN"/>
              </w:rPr>
              <w:t>废气</w:t>
            </w:r>
          </w:p>
          <w:p w14:paraId="0BA3C038">
            <w:pPr>
              <w:keepNext w:val="0"/>
              <w:keepLines w:val="0"/>
              <w:suppressLineNumbers w:val="0"/>
              <w:bidi w:val="0"/>
              <w:spacing w:before="0" w:beforeAutospacing="0" w:after="0" w:afterAutospacing="0"/>
              <w:ind w:left="0" w:right="0"/>
              <w:rPr>
                <w:rFonts w:hint="eastAsia"/>
              </w:rPr>
            </w:pPr>
            <w:r>
              <w:rPr>
                <w:rFonts w:hint="eastAsia"/>
              </w:rPr>
              <w:t>本项目拟设</w:t>
            </w:r>
            <w:r>
              <w:rPr>
                <w:rFonts w:hint="eastAsia"/>
                <w:lang w:val="en-US" w:eastAsia="zh-CN"/>
              </w:rPr>
              <w:t>9</w:t>
            </w:r>
            <w:r>
              <w:rPr>
                <w:rFonts w:hint="eastAsia"/>
              </w:rPr>
              <w:t>台水帘柜，</w:t>
            </w:r>
            <w:r>
              <w:rPr>
                <w:rFonts w:hint="eastAsia"/>
                <w:lang w:val="en-US" w:eastAsia="zh-CN"/>
              </w:rPr>
              <w:t>每条生产线配置3台水帘柜，</w:t>
            </w:r>
            <w:r>
              <w:rPr>
                <w:rFonts w:hint="eastAsia"/>
              </w:rPr>
              <w:t>根据产品种类使用不同的涂料对半成品进行喷漆</w:t>
            </w:r>
            <w:r>
              <w:rPr>
                <w:rFonts w:hint="eastAsia"/>
                <w:lang w:eastAsia="zh-CN"/>
              </w:rPr>
              <w:t>，</w:t>
            </w:r>
            <w:r>
              <w:rPr>
                <w:rFonts w:hint="eastAsia"/>
              </w:rPr>
              <w:t>使用油性漆或水性漆</w:t>
            </w:r>
            <w:r>
              <w:rPr>
                <w:rFonts w:hint="eastAsia"/>
                <w:lang w:eastAsia="zh-CN"/>
              </w:rPr>
              <w:t>（</w:t>
            </w:r>
            <w:r>
              <w:rPr>
                <w:rFonts w:hint="eastAsia"/>
                <w:lang w:val="en-US" w:eastAsia="zh-CN"/>
              </w:rPr>
              <w:t>加入稀释剂调配后</w:t>
            </w:r>
            <w:r>
              <w:rPr>
                <w:rFonts w:hint="eastAsia"/>
                <w:lang w:eastAsia="zh-CN"/>
              </w:rPr>
              <w:t>）</w:t>
            </w:r>
            <w:r>
              <w:rPr>
                <w:rFonts w:hint="eastAsia"/>
              </w:rPr>
              <w:t>在喷漆工序中会产生一定的漆雾。根据《涂装工艺与设备》（化学工业出版社），喷涂距离在15~20cm，附着效率约为65%～75%，本次附着效率按70%计算。</w:t>
            </w:r>
          </w:p>
          <w:p w14:paraId="19A701A2">
            <w:pPr>
              <w:pStyle w:val="39"/>
              <w:keepNext w:val="0"/>
              <w:keepLines w:val="0"/>
              <w:suppressLineNumbers w:val="0"/>
              <w:bidi w:val="0"/>
              <w:spacing w:before="0" w:beforeAutospacing="0" w:after="0" w:afterAutospacing="0"/>
              <w:ind w:left="0" w:right="0"/>
              <w:rPr>
                <w:rFonts w:hint="eastAsia"/>
              </w:rPr>
            </w:pPr>
            <w:r>
              <w:rPr>
                <w:rFonts w:hint="eastAsia"/>
              </w:rPr>
              <w:t>表4.2-1  本项目</w:t>
            </w:r>
            <w:r>
              <w:rPr>
                <w:rFonts w:hint="default" w:ascii="Times New Roman" w:hAnsi="Times New Roman" w:eastAsia="宋体" w:cs="Times New Roman"/>
                <w:color w:val="auto"/>
                <w:sz w:val="24"/>
                <w:szCs w:val="24"/>
                <w:lang w:val="en-US" w:eastAsia="zh-CN"/>
              </w:rPr>
              <w:t>涂料中</w:t>
            </w:r>
            <w:r>
              <w:rPr>
                <w:rFonts w:hint="eastAsia" w:cs="Times New Roman"/>
                <w:color w:val="auto"/>
                <w:sz w:val="24"/>
                <w:szCs w:val="24"/>
                <w:lang w:val="en-US" w:eastAsia="zh-CN"/>
              </w:rPr>
              <w:t>漆雾及挥发</w:t>
            </w:r>
            <w:r>
              <w:rPr>
                <w:rFonts w:hint="default" w:ascii="Times New Roman" w:hAnsi="Times New Roman" w:eastAsia="宋体" w:cs="Times New Roman"/>
                <w:color w:val="auto"/>
                <w:sz w:val="24"/>
                <w:szCs w:val="24"/>
                <w:lang w:val="en-US" w:eastAsia="zh-CN"/>
              </w:rPr>
              <w:t>成分</w:t>
            </w:r>
            <w:r>
              <w:rPr>
                <w:rFonts w:hint="eastAsia"/>
              </w:rPr>
              <w:t>产生情况表</w:t>
            </w:r>
          </w:p>
          <w:tbl>
            <w:tblPr>
              <w:tblStyle w:val="29"/>
              <w:tblW w:w="4997" w:type="pct"/>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20"/>
              <w:gridCol w:w="740"/>
              <w:gridCol w:w="674"/>
              <w:gridCol w:w="757"/>
              <w:gridCol w:w="642"/>
              <w:gridCol w:w="954"/>
              <w:gridCol w:w="774"/>
              <w:gridCol w:w="1103"/>
              <w:gridCol w:w="817"/>
              <w:gridCol w:w="930"/>
            </w:tblGrid>
            <w:tr w14:paraId="0C19345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53" w:type="pct"/>
                  <w:vMerge w:val="restart"/>
                  <w:tcBorders>
                    <w:top w:val="single" w:color="000000" w:sz="12" w:space="0"/>
                    <w:left w:val="nil"/>
                    <w:tl2br w:val="nil"/>
                  </w:tcBorders>
                  <w:shd w:val="clear" w:color="auto" w:fill="auto"/>
                  <w:vAlign w:val="center"/>
                </w:tcPr>
                <w:p w14:paraId="79D4A74B">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物料名称</w:t>
                  </w:r>
                </w:p>
              </w:tc>
              <w:tc>
                <w:tcPr>
                  <w:tcW w:w="445" w:type="pct"/>
                  <w:vMerge w:val="restart"/>
                  <w:tcBorders>
                    <w:top w:val="single" w:color="000000" w:sz="12" w:space="0"/>
                  </w:tcBorders>
                  <w:shd w:val="clear" w:color="auto" w:fill="auto"/>
                  <w:vAlign w:val="center"/>
                </w:tcPr>
                <w:p w14:paraId="2DADDA62">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使用量（t/a）</w:t>
                  </w:r>
                </w:p>
              </w:tc>
              <w:tc>
                <w:tcPr>
                  <w:tcW w:w="405" w:type="pct"/>
                  <w:vMerge w:val="restart"/>
                  <w:tcBorders>
                    <w:top w:val="single" w:color="000000" w:sz="12" w:space="0"/>
                  </w:tcBorders>
                  <w:shd w:val="clear" w:color="auto" w:fill="auto"/>
                  <w:vAlign w:val="center"/>
                </w:tcPr>
                <w:p w14:paraId="481AA7FC">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喷漆效率</w:t>
                  </w:r>
                </w:p>
              </w:tc>
              <w:tc>
                <w:tcPr>
                  <w:tcW w:w="455" w:type="pct"/>
                  <w:vMerge w:val="restart"/>
                  <w:tcBorders>
                    <w:top w:val="single" w:color="000000" w:sz="12" w:space="0"/>
                  </w:tcBorders>
                  <w:shd w:val="clear" w:color="auto" w:fill="auto"/>
                  <w:vAlign w:val="center"/>
                </w:tcPr>
                <w:p w14:paraId="2E3661A3">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未附着量（t/a）</w:t>
                  </w:r>
                </w:p>
              </w:tc>
              <w:tc>
                <w:tcPr>
                  <w:tcW w:w="386" w:type="pct"/>
                  <w:vMerge w:val="restart"/>
                  <w:tcBorders>
                    <w:top w:val="single" w:color="000000" w:sz="12" w:space="0"/>
                  </w:tcBorders>
                  <w:shd w:val="clear" w:color="auto" w:fill="auto"/>
                  <w:vAlign w:val="center"/>
                </w:tcPr>
                <w:p w14:paraId="2C56689F">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固含量</w:t>
                  </w:r>
                </w:p>
              </w:tc>
              <w:tc>
                <w:tcPr>
                  <w:tcW w:w="574" w:type="pct"/>
                  <w:vMerge w:val="restart"/>
                  <w:tcBorders>
                    <w:top w:val="single" w:color="000000" w:sz="12" w:space="0"/>
                  </w:tcBorders>
                  <w:shd w:val="clear" w:color="auto" w:fill="auto"/>
                  <w:vAlign w:val="center"/>
                </w:tcPr>
                <w:p w14:paraId="06B38BA5">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漆雾产生量（t/a）</w:t>
                  </w:r>
                </w:p>
              </w:tc>
              <w:tc>
                <w:tcPr>
                  <w:tcW w:w="465" w:type="pct"/>
                  <w:vMerge w:val="restart"/>
                  <w:tcBorders>
                    <w:top w:val="single" w:color="000000" w:sz="12" w:space="0"/>
                  </w:tcBorders>
                  <w:shd w:val="clear" w:color="auto" w:fill="auto"/>
                  <w:vAlign w:val="center"/>
                </w:tcPr>
                <w:p w14:paraId="1F8A881C">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挥发分含量</w:t>
                  </w:r>
                </w:p>
              </w:tc>
              <w:tc>
                <w:tcPr>
                  <w:tcW w:w="1713" w:type="pct"/>
                  <w:gridSpan w:val="3"/>
                  <w:tcBorders>
                    <w:top w:val="single" w:color="000000" w:sz="12" w:space="0"/>
                    <w:right w:val="nil"/>
                  </w:tcBorders>
                  <w:shd w:val="clear" w:color="auto" w:fill="auto"/>
                  <w:vAlign w:val="center"/>
                </w:tcPr>
                <w:p w14:paraId="21CAFF94">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挥发分（非甲烷总烃）（t/a）</w:t>
                  </w:r>
                </w:p>
              </w:tc>
            </w:tr>
            <w:tr w14:paraId="73EC7BC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53" w:type="pct"/>
                  <w:vMerge w:val="continue"/>
                  <w:tcBorders>
                    <w:left w:val="nil"/>
                  </w:tcBorders>
                  <w:shd w:val="clear" w:color="auto" w:fill="auto"/>
                  <w:vAlign w:val="center"/>
                </w:tcPr>
                <w:p w14:paraId="1E8C78DE">
                  <w:pPr>
                    <w:pStyle w:val="38"/>
                    <w:keepNext w:val="0"/>
                    <w:keepLines w:val="0"/>
                    <w:widowControl/>
                    <w:suppressLineNumbers w:val="0"/>
                    <w:bidi w:val="0"/>
                    <w:spacing w:before="0" w:beforeAutospacing="0" w:after="0" w:afterAutospacing="0"/>
                    <w:ind w:left="0" w:right="0"/>
                    <w:rPr>
                      <w:rFonts w:hint="eastAsia"/>
                      <w:b w:val="0"/>
                      <w:color w:val="000000"/>
                      <w:szCs w:val="22"/>
                    </w:rPr>
                  </w:pPr>
                </w:p>
              </w:tc>
              <w:tc>
                <w:tcPr>
                  <w:tcW w:w="445" w:type="pct"/>
                  <w:vMerge w:val="continue"/>
                  <w:shd w:val="clear" w:color="auto" w:fill="auto"/>
                  <w:vAlign w:val="center"/>
                </w:tcPr>
                <w:p w14:paraId="389115F3">
                  <w:pPr>
                    <w:pStyle w:val="38"/>
                    <w:keepNext w:val="0"/>
                    <w:keepLines w:val="0"/>
                    <w:widowControl/>
                    <w:suppressLineNumbers w:val="0"/>
                    <w:bidi w:val="0"/>
                    <w:spacing w:before="0" w:beforeAutospacing="0" w:after="0" w:afterAutospacing="0"/>
                    <w:ind w:left="0" w:right="0"/>
                    <w:rPr>
                      <w:rFonts w:hint="eastAsia"/>
                      <w:b w:val="0"/>
                      <w:color w:val="000000"/>
                      <w:szCs w:val="22"/>
                    </w:rPr>
                  </w:pPr>
                </w:p>
              </w:tc>
              <w:tc>
                <w:tcPr>
                  <w:tcW w:w="405" w:type="pct"/>
                  <w:vMerge w:val="continue"/>
                  <w:shd w:val="clear" w:color="auto" w:fill="auto"/>
                  <w:vAlign w:val="center"/>
                </w:tcPr>
                <w:p w14:paraId="72591917">
                  <w:pPr>
                    <w:pStyle w:val="38"/>
                    <w:keepNext w:val="0"/>
                    <w:keepLines w:val="0"/>
                    <w:widowControl/>
                    <w:suppressLineNumbers w:val="0"/>
                    <w:bidi w:val="0"/>
                    <w:spacing w:before="0" w:beforeAutospacing="0" w:after="0" w:afterAutospacing="0"/>
                    <w:ind w:left="0" w:right="0"/>
                    <w:rPr>
                      <w:rFonts w:hint="eastAsia"/>
                      <w:b w:val="0"/>
                      <w:color w:val="000000"/>
                      <w:szCs w:val="22"/>
                    </w:rPr>
                  </w:pPr>
                </w:p>
              </w:tc>
              <w:tc>
                <w:tcPr>
                  <w:tcW w:w="455" w:type="pct"/>
                  <w:vMerge w:val="continue"/>
                  <w:shd w:val="clear" w:color="auto" w:fill="auto"/>
                  <w:vAlign w:val="center"/>
                </w:tcPr>
                <w:p w14:paraId="79304118">
                  <w:pPr>
                    <w:pStyle w:val="38"/>
                    <w:keepNext w:val="0"/>
                    <w:keepLines w:val="0"/>
                    <w:widowControl/>
                    <w:suppressLineNumbers w:val="0"/>
                    <w:bidi w:val="0"/>
                    <w:spacing w:before="0" w:beforeAutospacing="0" w:after="0" w:afterAutospacing="0"/>
                    <w:ind w:left="0" w:right="0"/>
                    <w:rPr>
                      <w:rFonts w:hint="eastAsia"/>
                      <w:b w:val="0"/>
                      <w:color w:val="000000"/>
                      <w:szCs w:val="22"/>
                    </w:rPr>
                  </w:pPr>
                </w:p>
              </w:tc>
              <w:tc>
                <w:tcPr>
                  <w:tcW w:w="386" w:type="pct"/>
                  <w:vMerge w:val="continue"/>
                  <w:shd w:val="clear" w:color="auto" w:fill="auto"/>
                  <w:vAlign w:val="center"/>
                </w:tcPr>
                <w:p w14:paraId="6D1CF800">
                  <w:pPr>
                    <w:pStyle w:val="38"/>
                    <w:keepNext w:val="0"/>
                    <w:keepLines w:val="0"/>
                    <w:widowControl/>
                    <w:suppressLineNumbers w:val="0"/>
                    <w:bidi w:val="0"/>
                    <w:spacing w:before="0" w:beforeAutospacing="0" w:after="0" w:afterAutospacing="0"/>
                    <w:ind w:left="0" w:right="0"/>
                    <w:rPr>
                      <w:rFonts w:hint="eastAsia"/>
                      <w:b w:val="0"/>
                      <w:color w:val="000000"/>
                      <w:szCs w:val="22"/>
                    </w:rPr>
                  </w:pPr>
                </w:p>
              </w:tc>
              <w:tc>
                <w:tcPr>
                  <w:tcW w:w="574" w:type="pct"/>
                  <w:vMerge w:val="continue"/>
                  <w:shd w:val="clear" w:color="auto" w:fill="auto"/>
                  <w:vAlign w:val="center"/>
                </w:tcPr>
                <w:p w14:paraId="6E94DDC8">
                  <w:pPr>
                    <w:pStyle w:val="38"/>
                    <w:keepNext w:val="0"/>
                    <w:keepLines w:val="0"/>
                    <w:widowControl/>
                    <w:suppressLineNumbers w:val="0"/>
                    <w:bidi w:val="0"/>
                    <w:spacing w:before="0" w:beforeAutospacing="0" w:after="0" w:afterAutospacing="0"/>
                    <w:ind w:left="0" w:right="0"/>
                    <w:rPr>
                      <w:rFonts w:hint="eastAsia"/>
                      <w:b w:val="0"/>
                      <w:color w:val="000000"/>
                      <w:szCs w:val="22"/>
                    </w:rPr>
                  </w:pPr>
                </w:p>
              </w:tc>
              <w:tc>
                <w:tcPr>
                  <w:tcW w:w="465" w:type="pct"/>
                  <w:vMerge w:val="continue"/>
                  <w:shd w:val="clear" w:color="auto" w:fill="auto"/>
                  <w:vAlign w:val="center"/>
                </w:tcPr>
                <w:p w14:paraId="1069237D">
                  <w:pPr>
                    <w:pStyle w:val="38"/>
                    <w:keepNext w:val="0"/>
                    <w:keepLines w:val="0"/>
                    <w:widowControl/>
                    <w:suppressLineNumbers w:val="0"/>
                    <w:bidi w:val="0"/>
                    <w:spacing w:before="0" w:beforeAutospacing="0" w:after="0" w:afterAutospacing="0"/>
                    <w:ind w:left="0" w:right="0"/>
                    <w:rPr>
                      <w:rFonts w:hint="eastAsia"/>
                      <w:b w:val="0"/>
                      <w:color w:val="000000"/>
                      <w:szCs w:val="22"/>
                    </w:rPr>
                  </w:pPr>
                </w:p>
              </w:tc>
              <w:tc>
                <w:tcPr>
                  <w:tcW w:w="663" w:type="pct"/>
                  <w:shd w:val="clear" w:color="auto" w:fill="auto"/>
                  <w:vAlign w:val="center"/>
                </w:tcPr>
                <w:p w14:paraId="120CF654">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总挥发量</w:t>
                  </w:r>
                </w:p>
              </w:tc>
              <w:tc>
                <w:tcPr>
                  <w:tcW w:w="491" w:type="pct"/>
                  <w:shd w:val="clear" w:color="auto" w:fill="auto"/>
                  <w:noWrap/>
                  <w:vAlign w:val="center"/>
                </w:tcPr>
                <w:p w14:paraId="4EC1A161">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有组织收集</w:t>
                  </w:r>
                </w:p>
              </w:tc>
              <w:tc>
                <w:tcPr>
                  <w:tcW w:w="558" w:type="pct"/>
                  <w:tcBorders>
                    <w:right w:val="nil"/>
                  </w:tcBorders>
                  <w:shd w:val="clear" w:color="auto" w:fill="auto"/>
                  <w:noWrap/>
                  <w:vAlign w:val="center"/>
                </w:tcPr>
                <w:p w14:paraId="05A5283B">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无组织排放</w:t>
                  </w:r>
                </w:p>
              </w:tc>
            </w:tr>
            <w:tr w14:paraId="2443472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553" w:type="pct"/>
                  <w:tcBorders>
                    <w:left w:val="nil"/>
                  </w:tcBorders>
                  <w:shd w:val="clear" w:color="auto" w:fill="auto"/>
                  <w:vAlign w:val="center"/>
                </w:tcPr>
                <w:p w14:paraId="493A835C">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水性漆</w:t>
                  </w:r>
                </w:p>
              </w:tc>
              <w:tc>
                <w:tcPr>
                  <w:tcW w:w="445" w:type="pct"/>
                  <w:shd w:val="clear" w:color="auto" w:fill="auto"/>
                  <w:noWrap/>
                  <w:vAlign w:val="center"/>
                </w:tcPr>
                <w:p w14:paraId="1D919879">
                  <w:pPr>
                    <w:pStyle w:val="38"/>
                    <w:keepNext w:val="0"/>
                    <w:keepLines w:val="0"/>
                    <w:widowControl/>
                    <w:suppressLineNumbers w:val="0"/>
                    <w:bidi w:val="0"/>
                    <w:spacing w:before="0" w:beforeAutospacing="0" w:after="0" w:afterAutospacing="0"/>
                    <w:ind w:left="0" w:right="0"/>
                    <w:rPr>
                      <w:rFonts w:hint="default"/>
                      <w:szCs w:val="22"/>
                      <w:lang w:val="en-US"/>
                    </w:rPr>
                  </w:pPr>
                  <w:r>
                    <w:rPr>
                      <w:rFonts w:hint="default"/>
                      <w:szCs w:val="22"/>
                      <w:lang w:val="en-US" w:eastAsia="zh-CN"/>
                    </w:rPr>
                    <w:t>0.9</w:t>
                  </w:r>
                </w:p>
              </w:tc>
              <w:tc>
                <w:tcPr>
                  <w:tcW w:w="405" w:type="pct"/>
                  <w:shd w:val="clear" w:color="auto" w:fill="auto"/>
                  <w:vAlign w:val="center"/>
                </w:tcPr>
                <w:p w14:paraId="48C2969B">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70%</w:t>
                  </w:r>
                </w:p>
              </w:tc>
              <w:tc>
                <w:tcPr>
                  <w:tcW w:w="767" w:type="dxa"/>
                  <w:shd w:val="clear" w:color="auto" w:fill="auto"/>
                  <w:vAlign w:val="center"/>
                </w:tcPr>
                <w:p w14:paraId="02FD4C74">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0.27</w:t>
                  </w:r>
                </w:p>
              </w:tc>
              <w:tc>
                <w:tcPr>
                  <w:tcW w:w="386" w:type="pct"/>
                  <w:shd w:val="clear" w:color="auto" w:fill="auto"/>
                  <w:vAlign w:val="center"/>
                </w:tcPr>
                <w:p w14:paraId="3A94A73E">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41%</w:t>
                  </w:r>
                </w:p>
              </w:tc>
              <w:tc>
                <w:tcPr>
                  <w:tcW w:w="967" w:type="dxa"/>
                  <w:shd w:val="clear" w:color="auto" w:fill="auto"/>
                  <w:vAlign w:val="center"/>
                </w:tcPr>
                <w:p w14:paraId="34BF61E5">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0.1107</w:t>
                  </w:r>
                </w:p>
              </w:tc>
              <w:tc>
                <w:tcPr>
                  <w:tcW w:w="465" w:type="pct"/>
                  <w:shd w:val="clear" w:color="auto" w:fill="auto"/>
                  <w:vAlign w:val="center"/>
                </w:tcPr>
                <w:p w14:paraId="773F8B80">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w:t>
                  </w:r>
                </w:p>
              </w:tc>
              <w:tc>
                <w:tcPr>
                  <w:tcW w:w="1117" w:type="dxa"/>
                  <w:shd w:val="clear" w:color="auto" w:fill="auto"/>
                  <w:vAlign w:val="center"/>
                </w:tcPr>
                <w:p w14:paraId="366D28CD">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w:t>
                  </w:r>
                </w:p>
              </w:tc>
              <w:tc>
                <w:tcPr>
                  <w:tcW w:w="828" w:type="dxa"/>
                  <w:shd w:val="clear" w:color="auto" w:fill="auto"/>
                  <w:vAlign w:val="center"/>
                </w:tcPr>
                <w:p w14:paraId="6F59AF58">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w:t>
                  </w:r>
                </w:p>
              </w:tc>
              <w:tc>
                <w:tcPr>
                  <w:tcW w:w="940" w:type="dxa"/>
                  <w:tcBorders>
                    <w:right w:val="nil"/>
                  </w:tcBorders>
                  <w:shd w:val="clear" w:color="auto" w:fill="auto"/>
                  <w:vAlign w:val="center"/>
                </w:tcPr>
                <w:p w14:paraId="01AF39F8">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w:t>
                  </w:r>
                </w:p>
              </w:tc>
            </w:tr>
            <w:tr w14:paraId="0FE5965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53" w:type="pct"/>
                  <w:tcBorders>
                    <w:left w:val="nil"/>
                  </w:tcBorders>
                  <w:shd w:val="clear" w:color="auto" w:fill="auto"/>
                  <w:vAlign w:val="center"/>
                </w:tcPr>
                <w:p w14:paraId="4EDAFDC6">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塑胶用油性漆</w:t>
                  </w:r>
                </w:p>
              </w:tc>
              <w:tc>
                <w:tcPr>
                  <w:tcW w:w="445" w:type="pct"/>
                  <w:shd w:val="clear" w:color="auto" w:fill="auto"/>
                  <w:noWrap/>
                  <w:vAlign w:val="center"/>
                </w:tcPr>
                <w:p w14:paraId="7AEE397E">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0.6</w:t>
                  </w:r>
                </w:p>
              </w:tc>
              <w:tc>
                <w:tcPr>
                  <w:tcW w:w="405" w:type="pct"/>
                  <w:shd w:val="clear" w:color="auto" w:fill="auto"/>
                  <w:vAlign w:val="center"/>
                </w:tcPr>
                <w:p w14:paraId="22C00D08">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70%</w:t>
                  </w:r>
                </w:p>
              </w:tc>
              <w:tc>
                <w:tcPr>
                  <w:tcW w:w="767" w:type="dxa"/>
                  <w:shd w:val="clear" w:color="auto" w:fill="auto"/>
                  <w:vAlign w:val="center"/>
                </w:tcPr>
                <w:p w14:paraId="65AEAF93">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0.18</w:t>
                  </w:r>
                </w:p>
              </w:tc>
              <w:tc>
                <w:tcPr>
                  <w:tcW w:w="386" w:type="pct"/>
                  <w:shd w:val="clear" w:color="auto" w:fill="auto"/>
                  <w:vAlign w:val="center"/>
                </w:tcPr>
                <w:p w14:paraId="37C0388C">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65%</w:t>
                  </w:r>
                </w:p>
              </w:tc>
              <w:tc>
                <w:tcPr>
                  <w:tcW w:w="967" w:type="dxa"/>
                  <w:shd w:val="clear" w:color="auto" w:fill="auto"/>
                  <w:vAlign w:val="center"/>
                </w:tcPr>
                <w:p w14:paraId="01D64823">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0.117</w:t>
                  </w:r>
                </w:p>
              </w:tc>
              <w:tc>
                <w:tcPr>
                  <w:tcW w:w="465" w:type="pct"/>
                  <w:shd w:val="clear" w:color="auto" w:fill="auto"/>
                  <w:vAlign w:val="center"/>
                </w:tcPr>
                <w:p w14:paraId="1926701D">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30.3%</w:t>
                  </w:r>
                </w:p>
              </w:tc>
              <w:tc>
                <w:tcPr>
                  <w:tcW w:w="1117" w:type="dxa"/>
                  <w:shd w:val="clear" w:color="auto" w:fill="auto"/>
                  <w:vAlign w:val="center"/>
                </w:tcPr>
                <w:p w14:paraId="06C7B779">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0.1818</w:t>
                  </w:r>
                </w:p>
              </w:tc>
              <w:tc>
                <w:tcPr>
                  <w:tcW w:w="828" w:type="dxa"/>
                  <w:shd w:val="clear" w:color="auto" w:fill="auto"/>
                  <w:vAlign w:val="center"/>
                </w:tcPr>
                <w:p w14:paraId="7196D16F">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0.1636</w:t>
                  </w:r>
                </w:p>
              </w:tc>
              <w:tc>
                <w:tcPr>
                  <w:tcW w:w="940" w:type="dxa"/>
                  <w:tcBorders>
                    <w:right w:val="nil"/>
                  </w:tcBorders>
                  <w:shd w:val="clear" w:color="auto" w:fill="auto"/>
                  <w:vAlign w:val="center"/>
                </w:tcPr>
                <w:p w14:paraId="30E232EE">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0.0182</w:t>
                  </w:r>
                </w:p>
              </w:tc>
            </w:tr>
            <w:tr w14:paraId="2C52AD6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53" w:type="pct"/>
                  <w:tcBorders>
                    <w:left w:val="nil"/>
                  </w:tcBorders>
                  <w:shd w:val="clear" w:color="auto" w:fill="auto"/>
                  <w:vAlign w:val="center"/>
                </w:tcPr>
                <w:p w14:paraId="005C563A">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金属用油性漆</w:t>
                  </w:r>
                </w:p>
              </w:tc>
              <w:tc>
                <w:tcPr>
                  <w:tcW w:w="445" w:type="pct"/>
                  <w:shd w:val="clear" w:color="auto" w:fill="auto"/>
                  <w:noWrap/>
                  <w:vAlign w:val="center"/>
                </w:tcPr>
                <w:p w14:paraId="4DD076F0">
                  <w:pPr>
                    <w:pStyle w:val="38"/>
                    <w:keepNext w:val="0"/>
                    <w:keepLines w:val="0"/>
                    <w:widowControl/>
                    <w:suppressLineNumbers w:val="0"/>
                    <w:bidi w:val="0"/>
                    <w:spacing w:before="0" w:beforeAutospacing="0" w:after="0" w:afterAutospacing="0"/>
                    <w:ind w:left="0" w:right="0"/>
                    <w:rPr>
                      <w:rFonts w:hint="default"/>
                      <w:szCs w:val="22"/>
                      <w:lang w:val="en-US"/>
                    </w:rPr>
                  </w:pPr>
                  <w:r>
                    <w:rPr>
                      <w:rFonts w:hint="default"/>
                      <w:szCs w:val="22"/>
                      <w:lang w:val="en-US" w:eastAsia="zh-CN"/>
                    </w:rPr>
                    <w:t>3.</w:t>
                  </w:r>
                  <w:r>
                    <w:rPr>
                      <w:rFonts w:hint="eastAsia"/>
                      <w:szCs w:val="22"/>
                      <w:lang w:val="en-US" w:eastAsia="zh-CN"/>
                    </w:rPr>
                    <w:t>3</w:t>
                  </w:r>
                </w:p>
              </w:tc>
              <w:tc>
                <w:tcPr>
                  <w:tcW w:w="405" w:type="pct"/>
                  <w:shd w:val="clear" w:color="auto" w:fill="auto"/>
                  <w:vAlign w:val="center"/>
                </w:tcPr>
                <w:p w14:paraId="1A69E457">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70%</w:t>
                  </w:r>
                </w:p>
              </w:tc>
              <w:tc>
                <w:tcPr>
                  <w:tcW w:w="767" w:type="dxa"/>
                  <w:shd w:val="clear" w:color="auto" w:fill="auto"/>
                  <w:vAlign w:val="center"/>
                </w:tcPr>
                <w:p w14:paraId="474B7EDC">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0.99</w:t>
                  </w:r>
                </w:p>
              </w:tc>
              <w:tc>
                <w:tcPr>
                  <w:tcW w:w="386" w:type="pct"/>
                  <w:shd w:val="clear" w:color="auto" w:fill="auto"/>
                  <w:vAlign w:val="center"/>
                </w:tcPr>
                <w:p w14:paraId="7A5C72C0">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61%</w:t>
                  </w:r>
                </w:p>
              </w:tc>
              <w:tc>
                <w:tcPr>
                  <w:tcW w:w="967" w:type="dxa"/>
                  <w:shd w:val="clear" w:color="auto" w:fill="auto"/>
                  <w:vAlign w:val="center"/>
                </w:tcPr>
                <w:p w14:paraId="22430CA9">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0.6039</w:t>
                  </w:r>
                </w:p>
              </w:tc>
              <w:tc>
                <w:tcPr>
                  <w:tcW w:w="465" w:type="pct"/>
                  <w:shd w:val="clear" w:color="auto" w:fill="auto"/>
                  <w:vAlign w:val="center"/>
                </w:tcPr>
                <w:p w14:paraId="3FE9CA46">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31.9%</w:t>
                  </w:r>
                </w:p>
              </w:tc>
              <w:tc>
                <w:tcPr>
                  <w:tcW w:w="1117" w:type="dxa"/>
                  <w:shd w:val="clear" w:color="auto" w:fill="auto"/>
                  <w:vAlign w:val="center"/>
                </w:tcPr>
                <w:p w14:paraId="26038692">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1.0527</w:t>
                  </w:r>
                </w:p>
              </w:tc>
              <w:tc>
                <w:tcPr>
                  <w:tcW w:w="828" w:type="dxa"/>
                  <w:shd w:val="clear" w:color="auto" w:fill="auto"/>
                  <w:vAlign w:val="center"/>
                </w:tcPr>
                <w:p w14:paraId="63A762D7">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0.9474</w:t>
                  </w:r>
                </w:p>
              </w:tc>
              <w:tc>
                <w:tcPr>
                  <w:tcW w:w="940" w:type="dxa"/>
                  <w:tcBorders>
                    <w:right w:val="nil"/>
                  </w:tcBorders>
                  <w:shd w:val="clear" w:color="auto" w:fill="auto"/>
                  <w:vAlign w:val="center"/>
                </w:tcPr>
                <w:p w14:paraId="522A3C30">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0.1053</w:t>
                  </w:r>
                </w:p>
              </w:tc>
            </w:tr>
            <w:tr w14:paraId="64363FC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53" w:type="pct"/>
                  <w:tcBorders>
                    <w:left w:val="nil"/>
                  </w:tcBorders>
                  <w:shd w:val="clear" w:color="auto" w:fill="auto"/>
                  <w:vAlign w:val="center"/>
                </w:tcPr>
                <w:p w14:paraId="58DCDCF8">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稀释剂</w:t>
                  </w:r>
                </w:p>
              </w:tc>
              <w:tc>
                <w:tcPr>
                  <w:tcW w:w="445" w:type="pct"/>
                  <w:shd w:val="clear" w:color="auto" w:fill="auto"/>
                  <w:noWrap/>
                  <w:vAlign w:val="center"/>
                </w:tcPr>
                <w:p w14:paraId="734E9711">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2.1</w:t>
                  </w:r>
                </w:p>
              </w:tc>
              <w:tc>
                <w:tcPr>
                  <w:tcW w:w="405" w:type="pct"/>
                  <w:shd w:val="clear" w:color="auto" w:fill="auto"/>
                  <w:vAlign w:val="center"/>
                </w:tcPr>
                <w:p w14:paraId="14AB6B21">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70%</w:t>
                  </w:r>
                </w:p>
              </w:tc>
              <w:tc>
                <w:tcPr>
                  <w:tcW w:w="767" w:type="dxa"/>
                  <w:shd w:val="clear" w:color="auto" w:fill="auto"/>
                  <w:vAlign w:val="center"/>
                </w:tcPr>
                <w:p w14:paraId="2387F043">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0.63</w:t>
                  </w:r>
                </w:p>
              </w:tc>
              <w:tc>
                <w:tcPr>
                  <w:tcW w:w="386" w:type="pct"/>
                  <w:shd w:val="clear" w:color="auto" w:fill="auto"/>
                  <w:vAlign w:val="center"/>
                </w:tcPr>
                <w:p w14:paraId="586B331F">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w:t>
                  </w:r>
                </w:p>
              </w:tc>
              <w:tc>
                <w:tcPr>
                  <w:tcW w:w="967" w:type="dxa"/>
                  <w:shd w:val="clear" w:color="auto" w:fill="auto"/>
                  <w:vAlign w:val="center"/>
                </w:tcPr>
                <w:p w14:paraId="7518DD6F">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w:t>
                  </w:r>
                </w:p>
              </w:tc>
              <w:tc>
                <w:tcPr>
                  <w:tcW w:w="465" w:type="pct"/>
                  <w:shd w:val="clear" w:color="auto" w:fill="auto"/>
                  <w:vAlign w:val="center"/>
                </w:tcPr>
                <w:p w14:paraId="4F8EB551">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100%</w:t>
                  </w:r>
                </w:p>
              </w:tc>
              <w:tc>
                <w:tcPr>
                  <w:tcW w:w="1117" w:type="dxa"/>
                  <w:shd w:val="clear" w:color="auto" w:fill="auto"/>
                  <w:vAlign w:val="center"/>
                </w:tcPr>
                <w:p w14:paraId="03579491">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2.1</w:t>
                  </w:r>
                </w:p>
              </w:tc>
              <w:tc>
                <w:tcPr>
                  <w:tcW w:w="828" w:type="dxa"/>
                  <w:shd w:val="clear" w:color="auto" w:fill="auto"/>
                  <w:vAlign w:val="center"/>
                </w:tcPr>
                <w:p w14:paraId="51507E75">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1.89</w:t>
                  </w:r>
                </w:p>
              </w:tc>
              <w:tc>
                <w:tcPr>
                  <w:tcW w:w="940" w:type="dxa"/>
                  <w:tcBorders>
                    <w:right w:val="nil"/>
                  </w:tcBorders>
                  <w:shd w:val="clear" w:color="auto" w:fill="auto"/>
                  <w:vAlign w:val="center"/>
                </w:tcPr>
                <w:p w14:paraId="75A0E1CA">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0.21</w:t>
                  </w:r>
                </w:p>
              </w:tc>
            </w:tr>
            <w:tr w14:paraId="3F2E6A3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53" w:type="pct"/>
                  <w:tcBorders>
                    <w:left w:val="nil"/>
                    <w:bottom w:val="single" w:color="000000" w:sz="12" w:space="0"/>
                  </w:tcBorders>
                  <w:shd w:val="clear" w:color="auto" w:fill="auto"/>
                  <w:vAlign w:val="center"/>
                </w:tcPr>
                <w:p w14:paraId="75B6E5B1">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合计</w:t>
                  </w:r>
                </w:p>
              </w:tc>
              <w:tc>
                <w:tcPr>
                  <w:tcW w:w="445" w:type="pct"/>
                  <w:tcBorders>
                    <w:bottom w:val="single" w:color="000000" w:sz="12" w:space="0"/>
                  </w:tcBorders>
                  <w:shd w:val="clear" w:color="auto" w:fill="auto"/>
                  <w:vAlign w:val="center"/>
                </w:tcPr>
                <w:p w14:paraId="10C50494">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4.9</w:t>
                  </w:r>
                </w:p>
              </w:tc>
              <w:tc>
                <w:tcPr>
                  <w:tcW w:w="405" w:type="pct"/>
                  <w:tcBorders>
                    <w:bottom w:val="single" w:color="000000" w:sz="12" w:space="0"/>
                  </w:tcBorders>
                  <w:shd w:val="clear" w:color="auto" w:fill="auto"/>
                  <w:vAlign w:val="center"/>
                </w:tcPr>
                <w:p w14:paraId="1DF972C8">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767" w:type="dxa"/>
                  <w:tcBorders>
                    <w:bottom w:val="single" w:color="000000" w:sz="12" w:space="0"/>
                  </w:tcBorders>
                  <w:shd w:val="clear" w:color="auto" w:fill="auto"/>
                  <w:vAlign w:val="center"/>
                </w:tcPr>
                <w:p w14:paraId="237FFD3B">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1.44</w:t>
                  </w:r>
                </w:p>
              </w:tc>
              <w:tc>
                <w:tcPr>
                  <w:tcW w:w="386" w:type="pct"/>
                  <w:tcBorders>
                    <w:bottom w:val="single" w:color="000000" w:sz="12" w:space="0"/>
                  </w:tcBorders>
                  <w:shd w:val="clear" w:color="auto" w:fill="auto"/>
                  <w:vAlign w:val="center"/>
                </w:tcPr>
                <w:p w14:paraId="3EB215EB">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967" w:type="dxa"/>
                  <w:tcBorders>
                    <w:bottom w:val="single" w:color="000000" w:sz="12" w:space="0"/>
                  </w:tcBorders>
                  <w:shd w:val="clear" w:color="auto" w:fill="auto"/>
                  <w:vAlign w:val="center"/>
                </w:tcPr>
                <w:p w14:paraId="55BA6BDC">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0.8316</w:t>
                  </w:r>
                </w:p>
              </w:tc>
              <w:tc>
                <w:tcPr>
                  <w:tcW w:w="465" w:type="pct"/>
                  <w:tcBorders>
                    <w:bottom w:val="single" w:color="000000" w:sz="12" w:space="0"/>
                  </w:tcBorders>
                  <w:shd w:val="clear" w:color="auto" w:fill="auto"/>
                  <w:vAlign w:val="center"/>
                </w:tcPr>
                <w:p w14:paraId="6ABDB310">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1117" w:type="dxa"/>
                  <w:tcBorders>
                    <w:bottom w:val="single" w:color="000000" w:sz="12" w:space="0"/>
                  </w:tcBorders>
                  <w:shd w:val="clear" w:color="auto" w:fill="auto"/>
                  <w:vAlign w:val="center"/>
                </w:tcPr>
                <w:p w14:paraId="08BC26A4">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1.2345</w:t>
                  </w:r>
                </w:p>
              </w:tc>
              <w:tc>
                <w:tcPr>
                  <w:tcW w:w="828" w:type="dxa"/>
                  <w:tcBorders>
                    <w:bottom w:val="single" w:color="000000" w:sz="12" w:space="0"/>
                  </w:tcBorders>
                  <w:shd w:val="clear" w:color="auto" w:fill="auto"/>
                  <w:vAlign w:val="center"/>
                </w:tcPr>
                <w:p w14:paraId="23FF1937">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1.111</w:t>
                  </w:r>
                </w:p>
              </w:tc>
              <w:tc>
                <w:tcPr>
                  <w:tcW w:w="940" w:type="dxa"/>
                  <w:tcBorders>
                    <w:bottom w:val="single" w:color="000000" w:sz="12" w:space="0"/>
                    <w:right w:val="nil"/>
                  </w:tcBorders>
                  <w:shd w:val="clear" w:color="auto" w:fill="auto"/>
                  <w:vAlign w:val="center"/>
                </w:tcPr>
                <w:p w14:paraId="017C1385">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0.1235</w:t>
                  </w:r>
                </w:p>
              </w:tc>
            </w:tr>
          </w:tbl>
          <w:p w14:paraId="20B2D38D">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szCs w:val="24"/>
                <w:lang w:val="en-US" w:eastAsia="zh-CN"/>
              </w:rPr>
              <w:t>根据原辅料成分分析可知，项目喷漆、烘干</w:t>
            </w:r>
            <w:r>
              <w:rPr>
                <w:rFonts w:hint="eastAsia" w:ascii="Times New Roman" w:hAnsi="Times New Roman" w:eastAsia="宋体" w:cs="Times New Roman"/>
                <w:color w:val="auto"/>
                <w:sz w:val="24"/>
                <w:szCs w:val="24"/>
                <w:lang w:val="en-US" w:eastAsia="zh-CN"/>
              </w:rPr>
              <w:t>、加烤</w:t>
            </w:r>
            <w:r>
              <w:rPr>
                <w:rFonts w:hint="default" w:ascii="Times New Roman" w:hAnsi="Times New Roman" w:eastAsia="宋体" w:cs="Times New Roman"/>
                <w:color w:val="auto"/>
                <w:sz w:val="24"/>
                <w:szCs w:val="24"/>
                <w:lang w:val="en-US" w:eastAsia="zh-CN"/>
              </w:rPr>
              <w:t>工序产生的废气主要为颗粒物和非甲烷总烃。</w:t>
            </w:r>
            <w:r>
              <w:rPr>
                <w:rFonts w:hint="default" w:ascii="Times New Roman" w:hAnsi="Times New Roman" w:cs="Times New Roman"/>
                <w:color w:val="auto"/>
                <w:sz w:val="24"/>
              </w:rPr>
              <w:t>根据本项目</w:t>
            </w:r>
            <w:r>
              <w:rPr>
                <w:rFonts w:hint="default" w:ascii="Times New Roman" w:hAnsi="Times New Roman" w:eastAsia="宋体" w:cs="Times New Roman"/>
                <w:color w:val="auto"/>
                <w:sz w:val="24"/>
                <w:szCs w:val="24"/>
                <w:lang w:val="en-US" w:eastAsia="zh-CN"/>
              </w:rPr>
              <w:t>涂料中</w:t>
            </w:r>
            <w:r>
              <w:rPr>
                <w:rFonts w:hint="eastAsia" w:cs="Times New Roman"/>
                <w:color w:val="auto"/>
                <w:sz w:val="24"/>
                <w:szCs w:val="24"/>
                <w:lang w:val="en-US" w:eastAsia="zh-CN"/>
              </w:rPr>
              <w:t>漆雾及挥发</w:t>
            </w:r>
            <w:r>
              <w:rPr>
                <w:rFonts w:hint="default" w:ascii="Times New Roman" w:hAnsi="Times New Roman" w:eastAsia="宋体" w:cs="Times New Roman"/>
                <w:color w:val="auto"/>
                <w:sz w:val="24"/>
                <w:szCs w:val="24"/>
                <w:lang w:val="en-US" w:eastAsia="zh-CN"/>
              </w:rPr>
              <w:t>成分产生情况</w:t>
            </w:r>
            <w:r>
              <w:rPr>
                <w:rFonts w:hint="eastAsia" w:ascii="Times New Roman" w:hAnsi="Times New Roman" w:eastAsia="宋体" w:cs="Times New Roman"/>
                <w:color w:val="auto"/>
                <w:sz w:val="24"/>
                <w:szCs w:val="24"/>
                <w:lang w:val="en-US" w:eastAsia="zh-CN"/>
              </w:rPr>
              <w:t>表</w:t>
            </w:r>
            <w:r>
              <w:rPr>
                <w:rFonts w:hint="default" w:ascii="Times New Roman" w:hAnsi="Times New Roman" w:cs="Times New Roman"/>
                <w:color w:val="auto"/>
                <w:sz w:val="24"/>
              </w:rPr>
              <w:t>可知，项目喷漆、烘干、加烤废气工序漆雾产生量为</w:t>
            </w:r>
            <w:r>
              <w:rPr>
                <w:rFonts w:hint="eastAsia" w:cs="Times New Roman"/>
                <w:color w:val="auto"/>
                <w:sz w:val="24"/>
                <w:lang w:val="en-US" w:eastAsia="zh-CN"/>
              </w:rPr>
              <w:t>0.8316</w:t>
            </w:r>
            <w:r>
              <w:rPr>
                <w:rFonts w:hint="default" w:ascii="Times New Roman" w:hAnsi="Times New Roman" w:cs="Times New Roman"/>
                <w:color w:val="auto"/>
                <w:sz w:val="24"/>
              </w:rPr>
              <w:t>t/a，</w:t>
            </w:r>
            <w:r>
              <w:rPr>
                <w:rFonts w:hint="eastAsia" w:cs="Times New Roman"/>
                <w:color w:val="auto"/>
                <w:sz w:val="24"/>
                <w:lang w:val="en-US" w:eastAsia="zh-CN"/>
              </w:rPr>
              <w:t>排放速率0.231kg/h，</w:t>
            </w:r>
            <w:r>
              <w:rPr>
                <w:rFonts w:hint="default" w:ascii="Times New Roman" w:hAnsi="Times New Roman" w:cs="Times New Roman"/>
                <w:color w:val="auto"/>
                <w:sz w:val="24"/>
              </w:rPr>
              <w:t>非甲烷总烃产生量为</w:t>
            </w:r>
            <w:r>
              <w:rPr>
                <w:rFonts w:hint="eastAsia" w:cs="Times New Roman"/>
                <w:color w:val="auto"/>
                <w:sz w:val="24"/>
                <w:lang w:val="en-US" w:eastAsia="zh-CN"/>
              </w:rPr>
              <w:t>1.2345</w:t>
            </w:r>
            <w:r>
              <w:rPr>
                <w:rFonts w:hint="default" w:ascii="Times New Roman" w:hAnsi="Times New Roman" w:cs="Times New Roman"/>
                <w:color w:val="auto"/>
                <w:sz w:val="24"/>
              </w:rPr>
              <w:t>t/a</w:t>
            </w:r>
            <w:r>
              <w:rPr>
                <w:rFonts w:hint="eastAsia" w:cs="Times New Roman"/>
                <w:color w:val="auto"/>
                <w:sz w:val="24"/>
                <w:lang w:eastAsia="zh-CN"/>
              </w:rPr>
              <w:t>，</w:t>
            </w:r>
            <w:r>
              <w:rPr>
                <w:rFonts w:hint="eastAsia" w:cs="Times New Roman"/>
                <w:color w:val="auto"/>
                <w:sz w:val="24"/>
                <w:lang w:val="en-US" w:eastAsia="zh-CN"/>
              </w:rPr>
              <w:t>排放速率0.3429kg/h</w:t>
            </w:r>
            <w:r>
              <w:rPr>
                <w:rFonts w:hint="default" w:ascii="Times New Roman" w:hAnsi="Times New Roman" w:cs="Times New Roman"/>
                <w:color w:val="auto"/>
                <w:sz w:val="24"/>
              </w:rPr>
              <w:t>。</w:t>
            </w:r>
          </w:p>
          <w:p w14:paraId="0302278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eastAsia" w:cs="Times New Roman"/>
                <w:color w:val="auto"/>
                <w:sz w:val="24"/>
                <w:lang w:val="en-US" w:eastAsia="zh-CN"/>
              </w:rPr>
              <w:t>本项目</w:t>
            </w:r>
            <w:r>
              <w:rPr>
                <w:rFonts w:hint="default" w:ascii="Times New Roman" w:hAnsi="Times New Roman" w:cs="Times New Roman"/>
                <w:color w:val="auto"/>
                <w:sz w:val="24"/>
              </w:rPr>
              <w:t>喷漆、烘干房及面包炉设备密闭，喷漆工序于操作台完成，配备水帘柜，水帘柜全密闭，烘干废气及加烤废气各自经密闭管道集气收集，与经水帘柜净化后的喷漆废气一起并入</w:t>
            </w:r>
            <w:r>
              <w:rPr>
                <w:rFonts w:hint="eastAsia" w:cs="Times New Roman"/>
                <w:color w:val="auto"/>
                <w:sz w:val="24"/>
                <w:lang w:eastAsia="zh-CN"/>
              </w:rPr>
              <w:t>“</w:t>
            </w:r>
            <w:r>
              <w:rPr>
                <w:rFonts w:hint="default" w:ascii="Times New Roman" w:hAnsi="Times New Roman" w:cs="Times New Roman"/>
                <w:color w:val="auto"/>
                <w:sz w:val="24"/>
              </w:rPr>
              <w:t>过滤棉+</w:t>
            </w:r>
            <w:r>
              <w:rPr>
                <w:rFonts w:hint="eastAsia" w:cs="Times New Roman"/>
                <w:color w:val="auto"/>
                <w:sz w:val="24"/>
                <w:lang w:eastAsia="zh-CN"/>
              </w:rPr>
              <w:t>二级活性炭</w:t>
            </w:r>
            <w:r>
              <w:rPr>
                <w:rFonts w:hint="default" w:ascii="Times New Roman" w:hAnsi="Times New Roman" w:cs="Times New Roman"/>
                <w:color w:val="auto"/>
                <w:sz w:val="24"/>
              </w:rPr>
              <w:t>吸附装置</w:t>
            </w:r>
            <w:r>
              <w:rPr>
                <w:rFonts w:hint="eastAsia" w:cs="Times New Roman"/>
                <w:color w:val="auto"/>
                <w:sz w:val="24"/>
                <w:lang w:eastAsia="zh-CN"/>
              </w:rPr>
              <w:t>”</w:t>
            </w:r>
            <w:r>
              <w:rPr>
                <w:rFonts w:hint="default" w:ascii="Times New Roman" w:hAnsi="Times New Roman" w:cs="Times New Roman"/>
                <w:color w:val="auto"/>
                <w:sz w:val="24"/>
              </w:rPr>
              <w:t>处理达标后通过15m高排气筒（DA001、DA002</w:t>
            </w:r>
            <w:r>
              <w:rPr>
                <w:rFonts w:hint="eastAsia" w:cs="Times New Roman"/>
                <w:color w:val="auto"/>
                <w:sz w:val="24"/>
                <w:lang w:eastAsia="zh-CN"/>
              </w:rPr>
              <w:t>、</w:t>
            </w:r>
            <w:r>
              <w:rPr>
                <w:rFonts w:hint="eastAsia" w:cs="Times New Roman"/>
                <w:color w:val="auto"/>
                <w:sz w:val="24"/>
                <w:lang w:val="en-US" w:eastAsia="zh-CN"/>
              </w:rPr>
              <w:t>DA003</w:t>
            </w:r>
            <w:r>
              <w:rPr>
                <w:rFonts w:hint="default" w:ascii="Times New Roman" w:hAnsi="Times New Roman" w:cs="Times New Roman"/>
                <w:color w:val="auto"/>
                <w:sz w:val="24"/>
              </w:rPr>
              <w:t>）排放，每根排气筒配置一台20000m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/h风量风机，收集效率按90%计。</w:t>
            </w:r>
          </w:p>
          <w:p w14:paraId="0AB5678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水帘柜对喷漆工序产生漆雾的处理效率参考</w:t>
            </w:r>
            <w:r>
              <w:rPr>
                <w:rFonts w:hint="eastAsia" w:cs="Times New Roman"/>
                <w:color w:val="auto"/>
                <w:sz w:val="24"/>
                <w:lang w:val="en-US" w:eastAsia="zh-CN"/>
              </w:rPr>
              <w:t>同类型项目《福清市三合电子科技有限公司年加工铝合金20万套、塑胶件5万套、板金件5万套项目竣工验收监测报告表检测报告》（详见</w:t>
            </w:r>
            <w:r>
              <w:rPr>
                <w:rFonts w:hint="eastAsia" w:cs="Times New Roman"/>
                <w:color w:val="auto"/>
                <w:sz w:val="24"/>
                <w:lang w:val="en-US" w:eastAsia="zh-CN"/>
              </w:rPr>
              <w:fldChar w:fldCharType="begin"/>
            </w:r>
            <w:r>
              <w:rPr>
                <w:rFonts w:hint="eastAsia" w:cs="Times New Roman"/>
                <w:color w:val="auto"/>
                <w:sz w:val="24"/>
                <w:lang w:val="en-US" w:eastAsia="zh-CN"/>
              </w:rPr>
              <w:instrText xml:space="preserve"> REF _Ref24320 \h </w:instrText>
            </w:r>
            <w:r>
              <w:rPr>
                <w:rFonts w:hint="eastAsia" w:cs="Times New Roman"/>
                <w:color w:val="auto"/>
                <w:sz w:val="24"/>
                <w:lang w:val="en-US" w:eastAsia="zh-CN"/>
              </w:rPr>
              <w:fldChar w:fldCharType="separate"/>
            </w:r>
            <w:r>
              <w:rPr>
                <w:rFonts w:hint="eastAsia"/>
              </w:rPr>
              <w:t>附件 16</w:t>
            </w:r>
            <w:r>
              <w:rPr>
                <w:rFonts w:hint="eastAsia" w:cs="Times New Roman"/>
                <w:color w:val="auto"/>
                <w:sz w:val="24"/>
                <w:lang w:val="en-US" w:eastAsia="zh-CN"/>
              </w:rPr>
              <w:fldChar w:fldCharType="end"/>
            </w:r>
            <w:r>
              <w:rPr>
                <w:rFonts w:hint="eastAsia" w:cs="Times New Roman"/>
                <w:color w:val="auto"/>
                <w:sz w:val="24"/>
                <w:lang w:val="en-US" w:eastAsia="zh-CN"/>
              </w:rPr>
              <w:t>），</w:t>
            </w:r>
            <w:r>
              <w:rPr>
                <w:rFonts w:hint="eastAsia" w:ascii="Times New Roman" w:hAnsi="Times New Roman"/>
                <w:sz w:val="24"/>
                <w:szCs w:val="32"/>
                <w:vertAlign w:val="baseline"/>
                <w:lang w:val="en-US" w:eastAsia="zh-CN"/>
              </w:rPr>
              <w:t>颗粒物处理效率为74.52%，非甲烷总烃处理效率为69.66%</w:t>
            </w:r>
            <w:r>
              <w:rPr>
                <w:rFonts w:hint="default" w:ascii="Times New Roman" w:hAnsi="Times New Roman" w:cs="Times New Roman"/>
                <w:color w:val="auto"/>
                <w:sz w:val="24"/>
              </w:rPr>
              <w:t>。</w:t>
            </w:r>
          </w:p>
          <w:p w14:paraId="12541C2A">
            <w:pPr>
              <w:pStyle w:val="26"/>
              <w:keepNext w:val="0"/>
              <w:keepLines w:val="0"/>
              <w:suppressLineNumbers w:val="0"/>
              <w:spacing w:before="0" w:beforeAutospacing="0" w:after="0" w:afterAutospacing="0"/>
              <w:ind w:left="0" w:right="0"/>
              <w:rPr>
                <w:rFonts w:hint="default" w:eastAsia="宋体"/>
                <w:vertAlign w:val="baseline"/>
                <w:lang w:val="en-US" w:eastAsia="zh-CN"/>
              </w:rPr>
            </w:pPr>
            <w:r>
              <w:rPr>
                <w:rFonts w:hint="eastAsia" w:cs="Times New Roman"/>
                <w:color w:val="auto"/>
                <w:sz w:val="24"/>
                <w:lang w:val="en-US" w:eastAsia="zh-CN"/>
              </w:rPr>
              <w:t>本项目</w:t>
            </w:r>
            <w:r>
              <w:rPr>
                <w:rFonts w:hint="default" w:ascii="Times New Roman" w:hAnsi="Times New Roman" w:eastAsia="宋体" w:cs="Times New Roman"/>
                <w:color w:val="auto"/>
                <w:sz w:val="24"/>
                <w:szCs w:val="24"/>
                <w:lang w:val="en-US" w:eastAsia="zh-CN"/>
              </w:rPr>
              <w:t>喷漆</w:t>
            </w:r>
            <w:r>
              <w:rPr>
                <w:rFonts w:hint="eastAsia" w:cs="Times New Roman"/>
                <w:color w:val="auto"/>
                <w:sz w:val="24"/>
                <w:szCs w:val="24"/>
                <w:lang w:val="en-US" w:eastAsia="zh-CN"/>
              </w:rPr>
              <w:t>、烘干及加烤</w:t>
            </w:r>
            <w:r>
              <w:rPr>
                <w:rFonts w:hint="default" w:ascii="Times New Roman" w:hAnsi="Times New Roman" w:eastAsia="宋体" w:cs="Times New Roman"/>
                <w:color w:val="auto"/>
                <w:sz w:val="24"/>
                <w:szCs w:val="24"/>
                <w:lang w:val="en-US" w:eastAsia="zh-CN"/>
              </w:rPr>
              <w:t>废气</w:t>
            </w:r>
            <w:r>
              <w:rPr>
                <w:rFonts w:hint="eastAsia" w:ascii="Times New Roman" w:hAnsi="Times New Roman" w:eastAsia="宋体" w:cs="Times New Roman"/>
                <w:color w:val="auto"/>
                <w:sz w:val="24"/>
                <w:szCs w:val="24"/>
                <w:lang w:val="en-US" w:eastAsia="zh-CN"/>
              </w:rPr>
              <w:t>的非甲烷总烃有组织收集量为</w:t>
            </w:r>
            <w:r>
              <w:rPr>
                <w:rFonts w:hint="eastAsia" w:cs="Times New Roman"/>
                <w:color w:val="auto"/>
                <w:sz w:val="24"/>
                <w:szCs w:val="24"/>
                <w:lang w:val="en-US" w:eastAsia="zh-CN"/>
              </w:rPr>
              <w:t>1.111</w:t>
            </w:r>
            <w:r>
              <w:rPr>
                <w:rFonts w:hint="eastAsia" w:ascii="Times New Roman" w:hAnsi="Times New Roman" w:eastAsia="宋体" w:cs="Times New Roman"/>
                <w:color w:val="auto"/>
                <w:sz w:val="24"/>
                <w:szCs w:val="24"/>
                <w:lang w:val="en-US" w:eastAsia="zh-CN"/>
              </w:rPr>
              <w:t>t/a，无组织排放量</w:t>
            </w:r>
            <w:r>
              <w:rPr>
                <w:rFonts w:hint="eastAsia" w:cs="Times New Roman"/>
                <w:color w:val="auto"/>
                <w:sz w:val="24"/>
                <w:szCs w:val="24"/>
                <w:lang w:val="en-US" w:eastAsia="zh-CN"/>
              </w:rPr>
              <w:t>0.1235</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无组织</w:t>
            </w:r>
            <w:r>
              <w:rPr>
                <w:rFonts w:hint="eastAsia" w:ascii="Times New Roman" w:hAnsi="Times New Roman" w:eastAsia="宋体" w:cs="Times New Roman"/>
                <w:color w:val="auto"/>
                <w:sz w:val="24"/>
                <w:szCs w:val="24"/>
                <w:lang w:val="en-US" w:eastAsia="zh-CN"/>
              </w:rPr>
              <w:t>排放速率</w:t>
            </w:r>
            <w:r>
              <w:rPr>
                <w:rFonts w:hint="eastAsia" w:cs="Times New Roman"/>
                <w:color w:val="auto"/>
                <w:sz w:val="24"/>
                <w:szCs w:val="24"/>
                <w:lang w:val="en-US" w:eastAsia="zh-CN"/>
              </w:rPr>
              <w:t>0.0343kg/h</w:t>
            </w:r>
            <w:r>
              <w:rPr>
                <w:rFonts w:hint="eastAsia" w:ascii="Times New Roman" w:hAnsi="Times New Roman" w:eastAsia="宋体" w:cs="Times New Roman"/>
                <w:color w:val="auto"/>
                <w:sz w:val="24"/>
                <w:szCs w:val="24"/>
                <w:lang w:val="en-US" w:eastAsia="zh-CN"/>
              </w:rPr>
              <w:t>，处理后的有组织排放量为</w:t>
            </w:r>
            <w:r>
              <w:rPr>
                <w:rFonts w:hint="eastAsia" w:cs="Times New Roman"/>
                <w:color w:val="auto"/>
                <w:sz w:val="24"/>
                <w:szCs w:val="24"/>
                <w:lang w:val="en-US" w:eastAsia="zh-CN"/>
              </w:rPr>
              <w:t>0.3371</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有组织</w:t>
            </w:r>
            <w:r>
              <w:rPr>
                <w:rFonts w:hint="eastAsia" w:ascii="Times New Roman" w:hAnsi="Times New Roman" w:eastAsia="宋体" w:cs="Times New Roman"/>
                <w:color w:val="auto"/>
                <w:sz w:val="24"/>
                <w:szCs w:val="24"/>
                <w:lang w:val="en-US" w:eastAsia="zh-CN"/>
              </w:rPr>
              <w:t>排放速率</w:t>
            </w:r>
            <w:r>
              <w:rPr>
                <w:rFonts w:hint="eastAsia" w:cs="Times New Roman"/>
                <w:color w:val="auto"/>
                <w:sz w:val="24"/>
                <w:szCs w:val="24"/>
                <w:lang w:val="en-US" w:eastAsia="zh-CN"/>
              </w:rPr>
              <w:t>0.0936</w:t>
            </w:r>
            <w:r>
              <w:rPr>
                <w:rFonts w:hint="eastAsia" w:ascii="Times New Roman" w:hAnsi="Times New Roman" w:eastAsia="宋体" w:cs="Times New Roman"/>
                <w:color w:val="auto"/>
                <w:sz w:val="24"/>
                <w:szCs w:val="24"/>
                <w:lang w:val="en-US" w:eastAsia="zh-CN"/>
              </w:rPr>
              <w:t>kg/h，排放浓度</w:t>
            </w:r>
            <w:r>
              <w:rPr>
                <w:rFonts w:hint="eastAsia" w:cs="Times New Roman"/>
                <w:color w:val="auto"/>
                <w:sz w:val="24"/>
                <w:szCs w:val="24"/>
                <w:lang w:val="en-US" w:eastAsia="zh-CN"/>
              </w:rPr>
              <w:t>4.6819</w:t>
            </w:r>
            <w:r>
              <w:rPr>
                <w:rFonts w:hint="eastAsia" w:ascii="Times New Roman" w:hAnsi="Times New Roman" w:eastAsia="宋体" w:cs="Times New Roman"/>
                <w:color w:val="auto"/>
                <w:sz w:val="24"/>
                <w:szCs w:val="24"/>
                <w:lang w:val="en-US" w:eastAsia="zh-CN"/>
              </w:rPr>
              <w:t>mg/m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；漆雾（颗粒物）有组织收集量</w:t>
            </w:r>
            <w:r>
              <w:rPr>
                <w:rFonts w:hint="eastAsia" w:cs="Times New Roman"/>
                <w:color w:val="auto"/>
                <w:sz w:val="24"/>
                <w:szCs w:val="24"/>
                <w:vertAlign w:val="baseline"/>
                <w:lang w:val="en-US" w:eastAsia="zh-CN"/>
              </w:rPr>
              <w:t>0.7484</w:t>
            </w:r>
            <w:r>
              <w:rPr>
                <w:rFonts w:hint="eastAsia" w:ascii="Times New Roman" w:hAnsi="Times New Roman" w:eastAsia="宋体" w:cs="Times New Roman"/>
                <w:color w:val="auto"/>
                <w:sz w:val="24"/>
                <w:szCs w:val="24"/>
                <w:vertAlign w:val="baseline"/>
                <w:lang w:val="en-US" w:eastAsia="zh-CN"/>
              </w:rPr>
              <w:t>t/a，无组织排放量</w:t>
            </w:r>
            <w:r>
              <w:rPr>
                <w:rFonts w:hint="eastAsia" w:cs="Times New Roman"/>
                <w:color w:val="auto"/>
                <w:sz w:val="24"/>
                <w:szCs w:val="24"/>
                <w:vertAlign w:val="baseline"/>
                <w:lang w:val="en-US" w:eastAsia="zh-CN"/>
              </w:rPr>
              <w:t>0.0832</w:t>
            </w:r>
            <w:r>
              <w:rPr>
                <w:rFonts w:hint="eastAsia" w:ascii="Times New Roman" w:hAnsi="Times New Roman" w:eastAsia="宋体" w:cs="Times New Roman"/>
                <w:color w:val="auto"/>
                <w:sz w:val="24"/>
                <w:szCs w:val="24"/>
                <w:vertAlign w:val="baseline"/>
                <w:lang w:val="en-US" w:eastAsia="zh-CN"/>
              </w:rPr>
              <w:t>t/a，</w:t>
            </w:r>
            <w:r>
              <w:rPr>
                <w:rFonts w:hint="eastAsia" w:cs="Times New Roman"/>
                <w:color w:val="auto"/>
                <w:sz w:val="24"/>
                <w:szCs w:val="24"/>
                <w:vertAlign w:val="baseline"/>
                <w:lang w:val="en-US" w:eastAsia="zh-CN"/>
              </w:rPr>
              <w:t>无组织</w:t>
            </w:r>
            <w:r>
              <w:rPr>
                <w:rFonts w:hint="eastAsia" w:ascii="Times New Roman" w:hAnsi="Times New Roman" w:eastAsia="宋体" w:cs="Times New Roman"/>
                <w:color w:val="auto"/>
                <w:sz w:val="24"/>
                <w:szCs w:val="24"/>
                <w:vertAlign w:val="baseline"/>
                <w:lang w:val="en-US" w:eastAsia="zh-CN"/>
              </w:rPr>
              <w:t>排放速率</w:t>
            </w:r>
            <w:r>
              <w:rPr>
                <w:rFonts w:hint="eastAsia" w:cs="Times New Roman"/>
                <w:color w:val="auto"/>
                <w:sz w:val="24"/>
                <w:szCs w:val="24"/>
                <w:vertAlign w:val="baseline"/>
                <w:lang w:val="en-US" w:eastAsia="zh-CN"/>
              </w:rPr>
              <w:t>0.0231</w:t>
            </w:r>
            <w:r>
              <w:rPr>
                <w:rFonts w:hint="eastAsia" w:ascii="Times New Roman" w:hAnsi="Times New Roman" w:eastAsia="宋体" w:cs="Times New Roman"/>
                <w:color w:val="auto"/>
                <w:sz w:val="24"/>
                <w:szCs w:val="24"/>
                <w:lang w:val="en-US" w:eastAsia="zh-CN"/>
              </w:rPr>
              <w:t>kg/h</w:t>
            </w:r>
            <w:r>
              <w:rPr>
                <w:rFonts w:hint="eastAsia" w:ascii="Times New Roman" w:hAnsi="Times New Roman" w:eastAsia="宋体" w:cs="Times New Roman"/>
                <w:color w:val="auto"/>
                <w:sz w:val="24"/>
                <w:szCs w:val="24"/>
                <w:vertAlign w:val="baseline"/>
                <w:lang w:val="en-US" w:eastAsia="zh-CN"/>
              </w:rPr>
              <w:t>，处理后的有组织排放量为</w:t>
            </w:r>
            <w:r>
              <w:rPr>
                <w:rFonts w:hint="eastAsia" w:cs="Times New Roman"/>
                <w:color w:val="auto"/>
                <w:sz w:val="24"/>
                <w:szCs w:val="24"/>
                <w:vertAlign w:val="baseline"/>
                <w:lang w:val="en-US" w:eastAsia="zh-CN"/>
              </w:rPr>
              <w:t>0.1909</w:t>
            </w:r>
            <w:r>
              <w:rPr>
                <w:rFonts w:hint="eastAsia" w:ascii="Times New Roman" w:hAnsi="Times New Roman" w:eastAsia="宋体" w:cs="Times New Roman"/>
                <w:color w:val="auto"/>
                <w:sz w:val="24"/>
                <w:szCs w:val="24"/>
                <w:vertAlign w:val="baseline"/>
                <w:lang w:val="en-US" w:eastAsia="zh-CN"/>
              </w:rPr>
              <w:t>t/a，排放速率为</w:t>
            </w:r>
            <w:r>
              <w:rPr>
                <w:rFonts w:hint="eastAsia" w:cs="Times New Roman"/>
                <w:color w:val="auto"/>
                <w:sz w:val="24"/>
                <w:szCs w:val="24"/>
                <w:vertAlign w:val="baseline"/>
                <w:lang w:val="en-US" w:eastAsia="zh-CN"/>
              </w:rPr>
              <w:t>0.053</w:t>
            </w:r>
            <w:r>
              <w:rPr>
                <w:rFonts w:hint="eastAsia" w:ascii="Times New Roman" w:hAnsi="Times New Roman" w:eastAsia="宋体" w:cs="Times New Roman"/>
                <w:color w:val="auto"/>
                <w:sz w:val="24"/>
                <w:szCs w:val="24"/>
                <w:vertAlign w:val="baseline"/>
                <w:lang w:val="en-US" w:eastAsia="zh-CN"/>
              </w:rPr>
              <w:t>kg/h，排放浓度</w:t>
            </w:r>
            <w:r>
              <w:rPr>
                <w:rFonts w:hint="eastAsia" w:cs="Times New Roman"/>
                <w:color w:val="auto"/>
                <w:sz w:val="24"/>
                <w:szCs w:val="24"/>
                <w:vertAlign w:val="baseline"/>
                <w:lang w:val="en-US" w:eastAsia="zh-CN"/>
              </w:rPr>
              <w:t>2.6486</w:t>
            </w:r>
            <w:r>
              <w:rPr>
                <w:rFonts w:hint="eastAsia" w:ascii="Times New Roman" w:hAnsi="Times New Roman" w:eastAsia="宋体" w:cs="Times New Roman"/>
                <w:color w:val="auto"/>
                <w:sz w:val="24"/>
                <w:szCs w:val="24"/>
                <w:vertAlign w:val="baseline"/>
                <w:lang w:val="en-US" w:eastAsia="zh-CN"/>
              </w:rPr>
              <w:t>mg/m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w:t>
            </w:r>
          </w:p>
          <w:p w14:paraId="5593CE33">
            <w:pPr>
              <w:pStyle w:val="15"/>
              <w:keepNext w:val="0"/>
              <w:keepLines w:val="0"/>
              <w:suppressLineNumbers w:val="0"/>
              <w:bidi w:val="0"/>
              <w:spacing w:before="0" w:beforeAutospacing="0" w:after="0" w:afterAutospacing="0"/>
              <w:ind w:left="0" w:right="0"/>
              <w:jc w:val="center"/>
              <w:rPr>
                <w:rFonts w:hint="eastAsia" w:eastAsia="宋体"/>
                <w:color w:val="auto"/>
                <w:szCs w:val="22"/>
                <w:lang w:eastAsia="zh-CN"/>
              </w:rPr>
            </w:pPr>
            <w:r>
              <w:rPr>
                <w:rFonts w:hint="eastAsia"/>
                <w:lang w:eastAsia="zh-CN"/>
              </w:rPr>
              <w:drawing>
                <wp:inline distT="0" distB="0" distL="114300" distR="114300">
                  <wp:extent cx="4837430" cy="1778635"/>
                  <wp:effectExtent l="0" t="0" r="1270" b="12065"/>
                  <wp:docPr id="208" name="F360BE8B-6686-4F3D-AEAF-501FE73E4058-3" descr="C:/Users/Administrator/AppData/Local/Temp/绘图1(7).png绘图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F360BE8B-6686-4F3D-AEAF-501FE73E4058-3" descr="C:/Users/Administrator/AppData/Local/Temp/绘图1(7).png绘图1(7)"/>
                          <pic:cNvPicPr>
                            <a:picLocks noChangeAspect="1"/>
                          </pic:cNvPicPr>
                        </pic:nvPicPr>
                        <pic:blipFill>
                          <a:blip r:embed="rId22"/>
                          <a:stretch>
                            <a:fillRect/>
                          </a:stretch>
                        </pic:blipFill>
                        <pic:spPr>
                          <a:xfrm>
                            <a:off x="0" y="0"/>
                            <a:ext cx="4837430" cy="1778635"/>
                          </a:xfrm>
                          <a:prstGeom prst="rect">
                            <a:avLst/>
                          </a:prstGeom>
                        </pic:spPr>
                      </pic:pic>
                    </a:graphicData>
                  </a:graphic>
                </wp:inline>
              </w:drawing>
            </w:r>
          </w:p>
          <w:p w14:paraId="4E8B9E2C">
            <w:pPr>
              <w:pStyle w:val="39"/>
              <w:keepNext w:val="0"/>
              <w:keepLines w:val="0"/>
              <w:suppressLineNumbers w:val="0"/>
              <w:bidi w:val="0"/>
              <w:spacing w:before="0" w:beforeAutospacing="0" w:after="0" w:afterAutospacing="0"/>
              <w:ind w:left="0" w:right="0"/>
              <w:rPr>
                <w:rFonts w:hint="eastAsia"/>
              </w:rPr>
            </w:pPr>
            <w:r>
              <w:rPr>
                <w:rFonts w:hint="eastAsia"/>
              </w:rPr>
              <w:t>图</w:t>
            </w:r>
            <w:r>
              <w:rPr>
                <w:rFonts w:hint="eastAsia"/>
                <w:lang w:val="en-US" w:eastAsia="zh-CN"/>
              </w:rPr>
              <w:t>4.2-1</w:t>
            </w:r>
            <w:r>
              <w:rPr>
                <w:rFonts w:hint="eastAsia"/>
              </w:rPr>
              <w:t xml:space="preserve"> </w:t>
            </w:r>
            <w:r>
              <w:rPr>
                <w:rFonts w:hint="eastAsia"/>
                <w:lang w:eastAsia="zh-CN"/>
              </w:rPr>
              <w:t>废气漆料</w:t>
            </w:r>
            <w:r>
              <w:rPr>
                <w:rFonts w:hint="eastAsia"/>
              </w:rPr>
              <w:t>平衡图</w:t>
            </w:r>
          </w:p>
          <w:p w14:paraId="3F8FDB08">
            <w:pPr>
              <w:pStyle w:val="39"/>
              <w:keepNext w:val="0"/>
              <w:keepLines w:val="0"/>
              <w:suppressLineNumbers w:val="0"/>
              <w:bidi w:val="0"/>
              <w:spacing w:before="0" w:beforeAutospacing="0" w:after="0" w:afterAutospacing="0"/>
              <w:ind w:left="0" w:right="0"/>
              <w:rPr>
                <w:rFonts w:hint="eastAsia"/>
              </w:rPr>
            </w:pPr>
            <w:r>
              <w:rPr>
                <w:rFonts w:hint="eastAsia" w:cs="Times New Roman"/>
                <w:b/>
                <w:bCs/>
                <w:color w:val="auto"/>
                <w:sz w:val="24"/>
                <w:szCs w:val="24"/>
                <w:highlight w:val="none"/>
                <w:lang w:val="en-US" w:eastAsia="zh-CN"/>
              </w:rPr>
              <w:t xml:space="preserve">表4.2-2 </w:t>
            </w:r>
            <w:r>
              <w:rPr>
                <w:rFonts w:hint="eastAsia" w:ascii="Times New Roman" w:hAnsi="Times New Roman" w:eastAsia="宋体" w:cs="Times New Roman"/>
                <w:b/>
                <w:bCs/>
                <w:color w:val="auto"/>
                <w:sz w:val="24"/>
                <w:szCs w:val="24"/>
                <w:highlight w:val="none"/>
                <w:lang w:val="en-US" w:eastAsia="zh-CN"/>
              </w:rPr>
              <w:t>项目</w:t>
            </w:r>
            <w:r>
              <w:rPr>
                <w:rFonts w:hint="default" w:ascii="Times New Roman" w:hAnsi="Times New Roman" w:eastAsia="宋体" w:cs="Times New Roman"/>
                <w:b/>
                <w:bCs/>
                <w:color w:val="auto"/>
                <w:sz w:val="24"/>
                <w:szCs w:val="24"/>
                <w:highlight w:val="none"/>
                <w:lang w:val="en-US" w:eastAsia="zh-CN"/>
              </w:rPr>
              <w:t>废气污染源源强核算结果及相关参数一览表</w:t>
            </w:r>
          </w:p>
          <w:tbl>
            <w:tblPr>
              <w:tblStyle w:val="29"/>
              <w:tblW w:w="4997" w:type="pct"/>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4"/>
              <w:gridCol w:w="424"/>
              <w:gridCol w:w="318"/>
              <w:gridCol w:w="506"/>
              <w:gridCol w:w="617"/>
              <w:gridCol w:w="627"/>
              <w:gridCol w:w="712"/>
              <w:gridCol w:w="534"/>
              <w:gridCol w:w="424"/>
              <w:gridCol w:w="406"/>
              <w:gridCol w:w="544"/>
              <w:gridCol w:w="712"/>
              <w:gridCol w:w="617"/>
              <w:gridCol w:w="534"/>
              <w:gridCol w:w="910"/>
            </w:tblGrid>
            <w:tr w14:paraId="1EA0994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5" w:hRule="atLeast"/>
              </w:trPr>
              <w:tc>
                <w:tcPr>
                  <w:tcW w:w="255" w:type="pct"/>
                  <w:vMerge w:val="restart"/>
                  <w:tcBorders>
                    <w:top w:val="single" w:color="000000" w:sz="12" w:space="0"/>
                    <w:left w:val="nil"/>
                    <w:tl2br w:val="nil"/>
                  </w:tcBorders>
                  <w:shd w:val="clear" w:color="auto" w:fill="auto"/>
                  <w:vAlign w:val="center"/>
                </w:tcPr>
                <w:p w14:paraId="7A65690C">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污染物来源</w:t>
                  </w:r>
                </w:p>
              </w:tc>
              <w:tc>
                <w:tcPr>
                  <w:tcW w:w="446" w:type="pct"/>
                  <w:gridSpan w:val="2"/>
                  <w:vMerge w:val="restart"/>
                  <w:tcBorders>
                    <w:top w:val="single" w:color="000000" w:sz="12" w:space="0"/>
                  </w:tcBorders>
                  <w:shd w:val="clear" w:color="auto" w:fill="auto"/>
                  <w:vAlign w:val="center"/>
                </w:tcPr>
                <w:p w14:paraId="6B7DE23E">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污染物</w:t>
                  </w:r>
                </w:p>
              </w:tc>
              <w:tc>
                <w:tcPr>
                  <w:tcW w:w="304" w:type="pct"/>
                  <w:vMerge w:val="restart"/>
                  <w:tcBorders>
                    <w:top w:val="single" w:color="000000" w:sz="12" w:space="0"/>
                  </w:tcBorders>
                  <w:shd w:val="clear" w:color="auto" w:fill="auto"/>
                  <w:vAlign w:val="center"/>
                </w:tcPr>
                <w:p w14:paraId="7A3D2792">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产生量</w:t>
                  </w:r>
                  <w:r>
                    <w:rPr>
                      <w:rFonts w:hint="default"/>
                      <w:b w:val="0"/>
                      <w:color w:val="000000"/>
                      <w:szCs w:val="22"/>
                      <w:lang w:val="en-US" w:eastAsia="zh-CN"/>
                    </w:rPr>
                    <w:t>t/a</w:t>
                  </w:r>
                </w:p>
              </w:tc>
              <w:tc>
                <w:tcPr>
                  <w:tcW w:w="371" w:type="pct"/>
                  <w:vMerge w:val="restart"/>
                  <w:tcBorders>
                    <w:top w:val="single" w:color="000000" w:sz="12" w:space="0"/>
                  </w:tcBorders>
                  <w:shd w:val="clear" w:color="auto" w:fill="auto"/>
                  <w:vAlign w:val="center"/>
                </w:tcPr>
                <w:p w14:paraId="2C50FD9B">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排放速率（</w:t>
                  </w:r>
                  <w:r>
                    <w:rPr>
                      <w:rFonts w:hint="default"/>
                      <w:b w:val="0"/>
                      <w:color w:val="000000"/>
                      <w:szCs w:val="22"/>
                      <w:lang w:val="en-US" w:eastAsia="zh-CN"/>
                    </w:rPr>
                    <w:t>kg/h</w:t>
                  </w:r>
                  <w:r>
                    <w:rPr>
                      <w:rFonts w:hint="eastAsia"/>
                      <w:b w:val="0"/>
                      <w:color w:val="000000"/>
                      <w:szCs w:val="22"/>
                      <w:lang w:val="en-US" w:eastAsia="zh-CN"/>
                    </w:rPr>
                    <w:t>）</w:t>
                  </w:r>
                </w:p>
              </w:tc>
              <w:tc>
                <w:tcPr>
                  <w:tcW w:w="1126" w:type="pct"/>
                  <w:gridSpan w:val="3"/>
                  <w:tcBorders>
                    <w:top w:val="single" w:color="000000" w:sz="12" w:space="0"/>
                  </w:tcBorders>
                  <w:shd w:val="clear" w:color="auto" w:fill="auto"/>
                  <w:vAlign w:val="center"/>
                </w:tcPr>
                <w:p w14:paraId="319360C2">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产生源强</w:t>
                  </w:r>
                </w:p>
              </w:tc>
              <w:tc>
                <w:tcPr>
                  <w:tcW w:w="826" w:type="pct"/>
                  <w:gridSpan w:val="3"/>
                  <w:tcBorders>
                    <w:top w:val="single" w:color="000000" w:sz="12" w:space="0"/>
                  </w:tcBorders>
                  <w:shd w:val="clear" w:color="auto" w:fill="auto"/>
                  <w:vAlign w:val="center"/>
                </w:tcPr>
                <w:p w14:paraId="419F86D1">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治理措施</w:t>
                  </w:r>
                </w:p>
              </w:tc>
              <w:tc>
                <w:tcPr>
                  <w:tcW w:w="1120" w:type="pct"/>
                  <w:gridSpan w:val="3"/>
                  <w:tcBorders>
                    <w:top w:val="single" w:color="000000" w:sz="12" w:space="0"/>
                  </w:tcBorders>
                  <w:shd w:val="clear" w:color="auto" w:fill="auto"/>
                  <w:vAlign w:val="center"/>
                </w:tcPr>
                <w:p w14:paraId="1B699FEC">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排放源强</w:t>
                  </w:r>
                </w:p>
              </w:tc>
              <w:tc>
                <w:tcPr>
                  <w:tcW w:w="547" w:type="pct"/>
                  <w:vMerge w:val="restart"/>
                  <w:tcBorders>
                    <w:top w:val="single" w:color="000000" w:sz="12" w:space="0"/>
                    <w:right w:val="nil"/>
                  </w:tcBorders>
                  <w:shd w:val="clear" w:color="auto" w:fill="auto"/>
                  <w:noWrap/>
                  <w:vAlign w:val="center"/>
                </w:tcPr>
                <w:p w14:paraId="0AC8FB84">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排放时间（</w:t>
                  </w:r>
                  <w:r>
                    <w:rPr>
                      <w:rFonts w:hint="default"/>
                      <w:b w:val="0"/>
                      <w:color w:val="000000"/>
                      <w:szCs w:val="22"/>
                      <w:lang w:val="en-US" w:eastAsia="zh-CN"/>
                    </w:rPr>
                    <w:t>h</w:t>
                  </w:r>
                  <w:r>
                    <w:rPr>
                      <w:rFonts w:hint="eastAsia"/>
                      <w:b w:val="0"/>
                      <w:color w:val="000000"/>
                      <w:szCs w:val="22"/>
                      <w:lang w:val="en-US" w:eastAsia="zh-CN"/>
                    </w:rPr>
                    <w:t>）</w:t>
                  </w:r>
                </w:p>
              </w:tc>
            </w:tr>
            <w:tr w14:paraId="054D990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55" w:type="pct"/>
                  <w:vMerge w:val="continue"/>
                  <w:tcBorders>
                    <w:left w:val="nil"/>
                  </w:tcBorders>
                  <w:shd w:val="clear" w:color="auto" w:fill="auto"/>
                  <w:vAlign w:val="center"/>
                </w:tcPr>
                <w:p w14:paraId="04654A7F">
                  <w:pPr>
                    <w:pStyle w:val="38"/>
                    <w:keepNext w:val="0"/>
                    <w:keepLines w:val="0"/>
                    <w:widowControl/>
                    <w:suppressLineNumbers w:val="0"/>
                    <w:bidi w:val="0"/>
                    <w:spacing w:before="0" w:beforeAutospacing="0" w:after="0" w:afterAutospacing="0"/>
                    <w:ind w:left="0" w:right="0"/>
                    <w:rPr>
                      <w:rFonts w:hint="eastAsia"/>
                      <w:b w:val="0"/>
                      <w:color w:val="000000"/>
                      <w:szCs w:val="22"/>
                    </w:rPr>
                  </w:pPr>
                </w:p>
              </w:tc>
              <w:tc>
                <w:tcPr>
                  <w:tcW w:w="446" w:type="pct"/>
                  <w:gridSpan w:val="2"/>
                  <w:vMerge w:val="continue"/>
                  <w:shd w:val="clear" w:color="auto" w:fill="auto"/>
                  <w:vAlign w:val="center"/>
                </w:tcPr>
                <w:p w14:paraId="7185C689">
                  <w:pPr>
                    <w:pStyle w:val="38"/>
                    <w:keepNext w:val="0"/>
                    <w:keepLines w:val="0"/>
                    <w:widowControl/>
                    <w:suppressLineNumbers w:val="0"/>
                    <w:bidi w:val="0"/>
                    <w:spacing w:before="0" w:beforeAutospacing="0" w:after="0" w:afterAutospacing="0"/>
                    <w:ind w:left="0" w:right="0"/>
                    <w:rPr>
                      <w:rFonts w:hint="eastAsia"/>
                      <w:b w:val="0"/>
                      <w:color w:val="000000"/>
                      <w:szCs w:val="22"/>
                    </w:rPr>
                  </w:pPr>
                </w:p>
              </w:tc>
              <w:tc>
                <w:tcPr>
                  <w:tcW w:w="304" w:type="pct"/>
                  <w:vMerge w:val="continue"/>
                  <w:shd w:val="clear" w:color="auto" w:fill="auto"/>
                  <w:vAlign w:val="center"/>
                </w:tcPr>
                <w:p w14:paraId="794E1ACF">
                  <w:pPr>
                    <w:pStyle w:val="38"/>
                    <w:keepNext w:val="0"/>
                    <w:keepLines w:val="0"/>
                    <w:widowControl/>
                    <w:suppressLineNumbers w:val="0"/>
                    <w:bidi w:val="0"/>
                    <w:spacing w:before="0" w:beforeAutospacing="0" w:after="0" w:afterAutospacing="0"/>
                    <w:ind w:left="0" w:right="0"/>
                    <w:rPr>
                      <w:rFonts w:hint="eastAsia"/>
                      <w:b w:val="0"/>
                      <w:color w:val="000000"/>
                      <w:szCs w:val="22"/>
                    </w:rPr>
                  </w:pPr>
                </w:p>
              </w:tc>
              <w:tc>
                <w:tcPr>
                  <w:tcW w:w="371" w:type="pct"/>
                  <w:vMerge w:val="continue"/>
                  <w:shd w:val="clear" w:color="auto" w:fill="auto"/>
                  <w:vAlign w:val="center"/>
                </w:tcPr>
                <w:p w14:paraId="59499A24">
                  <w:pPr>
                    <w:pStyle w:val="38"/>
                    <w:keepNext w:val="0"/>
                    <w:keepLines w:val="0"/>
                    <w:widowControl/>
                    <w:suppressLineNumbers w:val="0"/>
                    <w:bidi w:val="0"/>
                    <w:spacing w:before="0" w:beforeAutospacing="0" w:after="0" w:afterAutospacing="0"/>
                    <w:ind w:left="0" w:right="0"/>
                    <w:rPr>
                      <w:rFonts w:hint="eastAsia"/>
                      <w:b w:val="0"/>
                      <w:color w:val="000000"/>
                      <w:szCs w:val="22"/>
                    </w:rPr>
                  </w:pPr>
                </w:p>
              </w:tc>
              <w:tc>
                <w:tcPr>
                  <w:tcW w:w="377" w:type="pct"/>
                  <w:shd w:val="clear" w:color="auto" w:fill="auto"/>
                  <w:vAlign w:val="center"/>
                </w:tcPr>
                <w:p w14:paraId="570D30CF">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废气量（</w:t>
                  </w:r>
                  <w:r>
                    <w:rPr>
                      <w:rFonts w:hint="default"/>
                      <w:b w:val="0"/>
                      <w:color w:val="000000"/>
                      <w:szCs w:val="22"/>
                      <w:lang w:val="en-US" w:eastAsia="zh-CN"/>
                    </w:rPr>
                    <w:t>m</w:t>
                  </w:r>
                  <w:r>
                    <w:rPr>
                      <w:rFonts w:hint="default"/>
                      <w:b w:val="0"/>
                      <w:color w:val="000000"/>
                      <w:szCs w:val="22"/>
                      <w:vertAlign w:val="superscript"/>
                      <w:lang w:val="en-US" w:eastAsia="zh-CN"/>
                    </w:rPr>
                    <w:t>3</w:t>
                  </w:r>
                  <w:r>
                    <w:rPr>
                      <w:rFonts w:hint="default"/>
                      <w:b w:val="0"/>
                      <w:color w:val="000000"/>
                      <w:szCs w:val="22"/>
                      <w:lang w:val="en-US" w:eastAsia="zh-CN"/>
                    </w:rPr>
                    <w:t>/h</w:t>
                  </w:r>
                  <w:r>
                    <w:rPr>
                      <w:rFonts w:hint="eastAsia"/>
                      <w:b w:val="0"/>
                      <w:color w:val="000000"/>
                      <w:szCs w:val="22"/>
                      <w:lang w:val="en-US" w:eastAsia="zh-CN"/>
                    </w:rPr>
                    <w:t>）</w:t>
                  </w:r>
                </w:p>
              </w:tc>
              <w:tc>
                <w:tcPr>
                  <w:tcW w:w="428" w:type="pct"/>
                  <w:shd w:val="clear" w:color="auto" w:fill="auto"/>
                  <w:vAlign w:val="center"/>
                </w:tcPr>
                <w:p w14:paraId="5871D0CD">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浓度（</w:t>
                  </w:r>
                  <w:r>
                    <w:rPr>
                      <w:rFonts w:hint="default"/>
                      <w:b w:val="0"/>
                      <w:color w:val="000000"/>
                      <w:szCs w:val="22"/>
                      <w:lang w:val="en-US" w:eastAsia="zh-CN"/>
                    </w:rPr>
                    <w:t>mg/m</w:t>
                  </w:r>
                  <w:r>
                    <w:rPr>
                      <w:rFonts w:hint="default"/>
                      <w:b w:val="0"/>
                      <w:color w:val="000000"/>
                      <w:szCs w:val="22"/>
                      <w:vertAlign w:val="superscript"/>
                      <w:lang w:val="en-US" w:eastAsia="zh-CN"/>
                    </w:rPr>
                    <w:t>3</w:t>
                  </w:r>
                  <w:r>
                    <w:rPr>
                      <w:rFonts w:hint="eastAsia"/>
                      <w:b w:val="0"/>
                      <w:color w:val="000000"/>
                      <w:szCs w:val="22"/>
                      <w:lang w:val="en-US" w:eastAsia="zh-CN"/>
                    </w:rPr>
                    <w:t>）</w:t>
                  </w:r>
                </w:p>
              </w:tc>
              <w:tc>
                <w:tcPr>
                  <w:tcW w:w="320" w:type="pct"/>
                  <w:shd w:val="clear" w:color="auto" w:fill="auto"/>
                  <w:vAlign w:val="center"/>
                </w:tcPr>
                <w:p w14:paraId="5C470C0B">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产生量（</w:t>
                  </w:r>
                  <w:r>
                    <w:rPr>
                      <w:rFonts w:hint="default"/>
                      <w:b w:val="0"/>
                      <w:color w:val="000000"/>
                      <w:szCs w:val="22"/>
                      <w:lang w:val="en-US" w:eastAsia="zh-CN"/>
                    </w:rPr>
                    <w:t>t/a</w:t>
                  </w:r>
                  <w:r>
                    <w:rPr>
                      <w:rFonts w:hint="eastAsia"/>
                      <w:b w:val="0"/>
                      <w:color w:val="000000"/>
                      <w:szCs w:val="22"/>
                      <w:lang w:val="en-US" w:eastAsia="zh-CN"/>
                    </w:rPr>
                    <w:t>）</w:t>
                  </w:r>
                </w:p>
              </w:tc>
              <w:tc>
                <w:tcPr>
                  <w:tcW w:w="255" w:type="pct"/>
                  <w:shd w:val="clear" w:color="auto" w:fill="auto"/>
                  <w:vAlign w:val="center"/>
                </w:tcPr>
                <w:p w14:paraId="79ED5BB3">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工艺</w:t>
                  </w:r>
                </w:p>
              </w:tc>
              <w:tc>
                <w:tcPr>
                  <w:tcW w:w="244" w:type="pct"/>
                  <w:shd w:val="clear" w:color="auto" w:fill="auto"/>
                  <w:vAlign w:val="center"/>
                </w:tcPr>
                <w:p w14:paraId="5F3776BC">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收集效率</w:t>
                  </w:r>
                </w:p>
              </w:tc>
              <w:tc>
                <w:tcPr>
                  <w:tcW w:w="326" w:type="pct"/>
                  <w:shd w:val="clear" w:color="auto" w:fill="auto"/>
                  <w:vAlign w:val="center"/>
                </w:tcPr>
                <w:p w14:paraId="10E11CB3">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工艺去除率</w:t>
                  </w:r>
                </w:p>
              </w:tc>
              <w:tc>
                <w:tcPr>
                  <w:tcW w:w="428" w:type="pct"/>
                  <w:shd w:val="clear" w:color="auto" w:fill="auto"/>
                  <w:vAlign w:val="center"/>
                </w:tcPr>
                <w:p w14:paraId="394918B7">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排放浓度（</w:t>
                  </w:r>
                  <w:r>
                    <w:rPr>
                      <w:rFonts w:hint="default"/>
                      <w:b w:val="0"/>
                      <w:color w:val="000000"/>
                      <w:szCs w:val="22"/>
                      <w:lang w:val="en-US" w:eastAsia="zh-CN"/>
                    </w:rPr>
                    <w:t>mg/m</w:t>
                  </w:r>
                  <w:r>
                    <w:rPr>
                      <w:rFonts w:hint="default"/>
                      <w:b w:val="0"/>
                      <w:color w:val="000000"/>
                      <w:szCs w:val="22"/>
                      <w:vertAlign w:val="superscript"/>
                      <w:lang w:val="en-US" w:eastAsia="zh-CN"/>
                    </w:rPr>
                    <w:t>3</w:t>
                  </w:r>
                  <w:r>
                    <w:rPr>
                      <w:rFonts w:hint="eastAsia"/>
                      <w:b w:val="0"/>
                      <w:color w:val="000000"/>
                      <w:szCs w:val="22"/>
                      <w:lang w:val="en-US" w:eastAsia="zh-CN"/>
                    </w:rPr>
                    <w:t>）</w:t>
                  </w:r>
                </w:p>
              </w:tc>
              <w:tc>
                <w:tcPr>
                  <w:tcW w:w="371" w:type="pct"/>
                  <w:shd w:val="clear" w:color="auto" w:fill="auto"/>
                  <w:vAlign w:val="center"/>
                </w:tcPr>
                <w:p w14:paraId="25F13926">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排放速率（</w:t>
                  </w:r>
                  <w:r>
                    <w:rPr>
                      <w:rFonts w:hint="default"/>
                      <w:b w:val="0"/>
                      <w:color w:val="000000"/>
                      <w:szCs w:val="22"/>
                      <w:lang w:val="en-US" w:eastAsia="zh-CN"/>
                    </w:rPr>
                    <w:t>kg/h</w:t>
                  </w:r>
                  <w:r>
                    <w:rPr>
                      <w:rFonts w:hint="eastAsia"/>
                      <w:b w:val="0"/>
                      <w:color w:val="000000"/>
                      <w:szCs w:val="22"/>
                      <w:lang w:val="en-US" w:eastAsia="zh-CN"/>
                    </w:rPr>
                    <w:t>）</w:t>
                  </w:r>
                </w:p>
              </w:tc>
              <w:tc>
                <w:tcPr>
                  <w:tcW w:w="320" w:type="pct"/>
                  <w:shd w:val="clear" w:color="auto" w:fill="auto"/>
                  <w:vAlign w:val="center"/>
                </w:tcPr>
                <w:p w14:paraId="5E506FF5">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排放量（</w:t>
                  </w:r>
                  <w:r>
                    <w:rPr>
                      <w:rFonts w:hint="default"/>
                      <w:b w:val="0"/>
                      <w:color w:val="000000"/>
                      <w:szCs w:val="22"/>
                      <w:lang w:val="en-US" w:eastAsia="zh-CN"/>
                    </w:rPr>
                    <w:t>t/a</w:t>
                  </w:r>
                  <w:r>
                    <w:rPr>
                      <w:rFonts w:hint="eastAsia"/>
                      <w:b w:val="0"/>
                      <w:color w:val="000000"/>
                      <w:szCs w:val="22"/>
                      <w:lang w:val="en-US" w:eastAsia="zh-CN"/>
                    </w:rPr>
                    <w:t>）</w:t>
                  </w:r>
                </w:p>
              </w:tc>
              <w:tc>
                <w:tcPr>
                  <w:tcW w:w="547" w:type="pct"/>
                  <w:vMerge w:val="continue"/>
                  <w:tcBorders>
                    <w:right w:val="nil"/>
                  </w:tcBorders>
                  <w:shd w:val="clear" w:color="auto" w:fill="auto"/>
                  <w:noWrap/>
                  <w:vAlign w:val="center"/>
                </w:tcPr>
                <w:p w14:paraId="2359DE8C">
                  <w:pPr>
                    <w:pStyle w:val="38"/>
                    <w:keepNext w:val="0"/>
                    <w:keepLines w:val="0"/>
                    <w:widowControl/>
                    <w:suppressLineNumbers w:val="0"/>
                    <w:bidi w:val="0"/>
                    <w:spacing w:before="0" w:beforeAutospacing="0" w:after="0" w:afterAutospacing="0"/>
                    <w:ind w:left="0" w:right="0"/>
                    <w:rPr>
                      <w:rFonts w:hint="eastAsia"/>
                      <w:b w:val="0"/>
                      <w:color w:val="000000"/>
                      <w:szCs w:val="22"/>
                    </w:rPr>
                  </w:pPr>
                </w:p>
              </w:tc>
            </w:tr>
            <w:tr w14:paraId="280C019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55" w:type="pct"/>
                  <w:vMerge w:val="restart"/>
                  <w:tcBorders>
                    <w:left w:val="nil"/>
                  </w:tcBorders>
                  <w:shd w:val="clear" w:color="auto" w:fill="auto"/>
                  <w:vAlign w:val="center"/>
                </w:tcPr>
                <w:p w14:paraId="4CF01A2B">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喷漆、烘干、加烤废气</w:t>
                  </w:r>
                </w:p>
              </w:tc>
              <w:tc>
                <w:tcPr>
                  <w:tcW w:w="255" w:type="pct"/>
                  <w:vMerge w:val="restart"/>
                  <w:shd w:val="clear" w:color="auto" w:fill="auto"/>
                  <w:vAlign w:val="center"/>
                </w:tcPr>
                <w:p w14:paraId="724157CE">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非甲烷总烃</w:t>
                  </w:r>
                </w:p>
              </w:tc>
              <w:tc>
                <w:tcPr>
                  <w:tcW w:w="191" w:type="pct"/>
                  <w:shd w:val="clear" w:color="auto" w:fill="auto"/>
                  <w:vAlign w:val="center"/>
                </w:tcPr>
                <w:p w14:paraId="671E9EA1">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有组织</w:t>
                  </w:r>
                </w:p>
              </w:tc>
              <w:tc>
                <w:tcPr>
                  <w:tcW w:w="304" w:type="pct"/>
                  <w:vMerge w:val="restart"/>
                  <w:shd w:val="clear" w:color="auto" w:fill="auto"/>
                  <w:vAlign w:val="center"/>
                </w:tcPr>
                <w:p w14:paraId="77D4EFF0">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1.2345</w:t>
                  </w:r>
                </w:p>
              </w:tc>
              <w:tc>
                <w:tcPr>
                  <w:tcW w:w="371" w:type="pct"/>
                  <w:vMerge w:val="restart"/>
                  <w:shd w:val="clear" w:color="auto" w:fill="auto"/>
                  <w:noWrap/>
                  <w:vAlign w:val="center"/>
                </w:tcPr>
                <w:p w14:paraId="14F1F75B">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0.3429</w:t>
                  </w:r>
                </w:p>
              </w:tc>
              <w:tc>
                <w:tcPr>
                  <w:tcW w:w="377" w:type="pct"/>
                  <w:shd w:val="clear" w:color="auto" w:fill="auto"/>
                  <w:vAlign w:val="center"/>
                </w:tcPr>
                <w:p w14:paraId="1625A9F1">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20000</w:t>
                  </w:r>
                </w:p>
              </w:tc>
              <w:tc>
                <w:tcPr>
                  <w:tcW w:w="428" w:type="pct"/>
                  <w:shd w:val="clear" w:color="auto" w:fill="auto"/>
                  <w:vAlign w:val="center"/>
                </w:tcPr>
                <w:p w14:paraId="2A4F6720">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15.4306</w:t>
                  </w:r>
                </w:p>
              </w:tc>
              <w:tc>
                <w:tcPr>
                  <w:tcW w:w="320" w:type="pct"/>
                  <w:shd w:val="clear" w:color="auto" w:fill="auto"/>
                  <w:vAlign w:val="center"/>
                </w:tcPr>
                <w:p w14:paraId="2F391376">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1.111</w:t>
                  </w:r>
                </w:p>
              </w:tc>
              <w:tc>
                <w:tcPr>
                  <w:tcW w:w="255" w:type="pct"/>
                  <w:vMerge w:val="restart"/>
                  <w:shd w:val="clear" w:color="auto" w:fill="auto"/>
                  <w:vAlign w:val="center"/>
                </w:tcPr>
                <w:p w14:paraId="22D066BE">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水帘柜（喷漆）+过滤棉+二级活性炭吸附装置</w:t>
                  </w:r>
                </w:p>
              </w:tc>
              <w:tc>
                <w:tcPr>
                  <w:tcW w:w="244" w:type="pct"/>
                  <w:shd w:val="clear" w:color="auto" w:fill="auto"/>
                  <w:vAlign w:val="center"/>
                </w:tcPr>
                <w:p w14:paraId="353FE15F">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90%</w:t>
                  </w:r>
                </w:p>
              </w:tc>
              <w:tc>
                <w:tcPr>
                  <w:tcW w:w="326" w:type="pct"/>
                  <w:shd w:val="clear" w:color="auto" w:fill="auto"/>
                  <w:vAlign w:val="center"/>
                </w:tcPr>
                <w:p w14:paraId="412D13FA">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69.66%</w:t>
                  </w:r>
                </w:p>
              </w:tc>
              <w:tc>
                <w:tcPr>
                  <w:tcW w:w="428" w:type="pct"/>
                  <w:shd w:val="clear" w:color="auto" w:fill="auto"/>
                  <w:vAlign w:val="center"/>
                </w:tcPr>
                <w:p w14:paraId="0CA4A3EA">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4.6819</w:t>
                  </w:r>
                </w:p>
              </w:tc>
              <w:tc>
                <w:tcPr>
                  <w:tcW w:w="371" w:type="pct"/>
                  <w:shd w:val="clear" w:color="auto" w:fill="auto"/>
                  <w:vAlign w:val="center"/>
                </w:tcPr>
                <w:p w14:paraId="40283E0D">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0.0936</w:t>
                  </w:r>
                </w:p>
              </w:tc>
              <w:tc>
                <w:tcPr>
                  <w:tcW w:w="320" w:type="pct"/>
                  <w:shd w:val="clear" w:color="auto" w:fill="auto"/>
                  <w:vAlign w:val="center"/>
                </w:tcPr>
                <w:p w14:paraId="7C76C6D3">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0.3371</w:t>
                  </w:r>
                </w:p>
              </w:tc>
              <w:tc>
                <w:tcPr>
                  <w:tcW w:w="547" w:type="pct"/>
                  <w:vMerge w:val="restart"/>
                  <w:tcBorders>
                    <w:right w:val="nil"/>
                  </w:tcBorders>
                  <w:shd w:val="clear" w:color="auto" w:fill="auto"/>
                  <w:noWrap/>
                  <w:vAlign w:val="center"/>
                </w:tcPr>
                <w:p w14:paraId="1B20AE90">
                  <w:pPr>
                    <w:pStyle w:val="38"/>
                    <w:keepNext w:val="0"/>
                    <w:keepLines w:val="0"/>
                    <w:widowControl/>
                    <w:suppressLineNumbers w:val="0"/>
                    <w:bidi w:val="0"/>
                    <w:spacing w:before="0" w:beforeAutospacing="0" w:after="0" w:afterAutospacing="0"/>
                    <w:ind w:left="0" w:right="0"/>
                    <w:rPr>
                      <w:rFonts w:hint="default"/>
                      <w:b w:val="0"/>
                      <w:color w:val="000000"/>
                      <w:szCs w:val="22"/>
                    </w:rPr>
                  </w:pPr>
                  <w:r>
                    <w:rPr>
                      <w:rFonts w:hint="default"/>
                      <w:b w:val="0"/>
                      <w:color w:val="000000"/>
                      <w:szCs w:val="22"/>
                      <w:lang w:val="en-US" w:eastAsia="zh-CN"/>
                    </w:rPr>
                    <w:t>3600</w:t>
                  </w:r>
                </w:p>
              </w:tc>
            </w:tr>
            <w:tr w14:paraId="65EC888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55" w:type="pct"/>
                  <w:vMerge w:val="continue"/>
                  <w:tcBorders>
                    <w:left w:val="nil"/>
                  </w:tcBorders>
                  <w:shd w:val="clear" w:color="auto" w:fill="auto"/>
                  <w:vAlign w:val="center"/>
                </w:tcPr>
                <w:p w14:paraId="3AC17FEC">
                  <w:pPr>
                    <w:pStyle w:val="38"/>
                    <w:keepNext w:val="0"/>
                    <w:keepLines w:val="0"/>
                    <w:widowControl/>
                    <w:suppressLineNumbers w:val="0"/>
                    <w:bidi w:val="0"/>
                    <w:spacing w:before="0" w:beforeAutospacing="0" w:after="0" w:afterAutospacing="0"/>
                    <w:ind w:left="0" w:right="0"/>
                    <w:rPr>
                      <w:rFonts w:hint="eastAsia"/>
                      <w:b w:val="0"/>
                      <w:color w:val="000000"/>
                      <w:szCs w:val="22"/>
                    </w:rPr>
                  </w:pPr>
                </w:p>
              </w:tc>
              <w:tc>
                <w:tcPr>
                  <w:tcW w:w="255" w:type="pct"/>
                  <w:vMerge w:val="continue"/>
                  <w:shd w:val="clear" w:color="auto" w:fill="auto"/>
                  <w:vAlign w:val="center"/>
                </w:tcPr>
                <w:p w14:paraId="3270F4C6">
                  <w:pPr>
                    <w:pStyle w:val="38"/>
                    <w:keepNext w:val="0"/>
                    <w:keepLines w:val="0"/>
                    <w:widowControl/>
                    <w:suppressLineNumbers w:val="0"/>
                    <w:bidi w:val="0"/>
                    <w:spacing w:before="0" w:beforeAutospacing="0" w:after="0" w:afterAutospacing="0"/>
                    <w:ind w:left="0" w:right="0"/>
                    <w:rPr>
                      <w:rFonts w:hint="eastAsia"/>
                      <w:szCs w:val="22"/>
                    </w:rPr>
                  </w:pPr>
                </w:p>
              </w:tc>
              <w:tc>
                <w:tcPr>
                  <w:tcW w:w="191" w:type="pct"/>
                  <w:shd w:val="clear" w:color="auto" w:fill="auto"/>
                  <w:vAlign w:val="center"/>
                </w:tcPr>
                <w:p w14:paraId="758170DA">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无组织</w:t>
                  </w:r>
                </w:p>
              </w:tc>
              <w:tc>
                <w:tcPr>
                  <w:tcW w:w="304" w:type="pct"/>
                  <w:vMerge w:val="continue"/>
                  <w:shd w:val="clear" w:color="auto" w:fill="auto"/>
                  <w:vAlign w:val="center"/>
                </w:tcPr>
                <w:p w14:paraId="265777E8">
                  <w:pPr>
                    <w:pStyle w:val="38"/>
                    <w:keepNext w:val="0"/>
                    <w:keepLines w:val="0"/>
                    <w:widowControl/>
                    <w:suppressLineNumbers w:val="0"/>
                    <w:bidi w:val="0"/>
                    <w:spacing w:before="0" w:beforeAutospacing="0" w:after="0" w:afterAutospacing="0"/>
                    <w:ind w:left="0" w:right="0"/>
                    <w:rPr>
                      <w:rFonts w:hint="default"/>
                      <w:szCs w:val="22"/>
                    </w:rPr>
                  </w:pPr>
                </w:p>
              </w:tc>
              <w:tc>
                <w:tcPr>
                  <w:tcW w:w="371" w:type="pct"/>
                  <w:vMerge w:val="continue"/>
                  <w:shd w:val="clear" w:color="auto" w:fill="auto"/>
                  <w:noWrap/>
                  <w:vAlign w:val="center"/>
                </w:tcPr>
                <w:p w14:paraId="342591B0">
                  <w:pPr>
                    <w:pStyle w:val="38"/>
                    <w:keepNext w:val="0"/>
                    <w:keepLines w:val="0"/>
                    <w:widowControl/>
                    <w:suppressLineNumbers w:val="0"/>
                    <w:bidi w:val="0"/>
                    <w:spacing w:before="0" w:beforeAutospacing="0" w:after="0" w:afterAutospacing="0"/>
                    <w:ind w:left="0" w:right="0"/>
                    <w:rPr>
                      <w:rFonts w:hint="default"/>
                      <w:szCs w:val="22"/>
                    </w:rPr>
                  </w:pPr>
                </w:p>
              </w:tc>
              <w:tc>
                <w:tcPr>
                  <w:tcW w:w="377" w:type="pct"/>
                  <w:shd w:val="clear" w:color="auto" w:fill="auto"/>
                  <w:vAlign w:val="center"/>
                </w:tcPr>
                <w:p w14:paraId="5584785F">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428" w:type="pct"/>
                  <w:shd w:val="clear" w:color="auto" w:fill="auto"/>
                  <w:vAlign w:val="center"/>
                </w:tcPr>
                <w:p w14:paraId="4F83AADF">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320" w:type="pct"/>
                  <w:shd w:val="clear" w:color="auto" w:fill="auto"/>
                  <w:vAlign w:val="center"/>
                </w:tcPr>
                <w:p w14:paraId="319CDDF8">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0.1235</w:t>
                  </w:r>
                </w:p>
              </w:tc>
              <w:tc>
                <w:tcPr>
                  <w:tcW w:w="255" w:type="pct"/>
                  <w:vMerge w:val="continue"/>
                  <w:shd w:val="clear" w:color="auto" w:fill="auto"/>
                  <w:vAlign w:val="center"/>
                </w:tcPr>
                <w:p w14:paraId="22250F2E">
                  <w:pPr>
                    <w:pStyle w:val="38"/>
                    <w:keepNext w:val="0"/>
                    <w:keepLines w:val="0"/>
                    <w:widowControl/>
                    <w:suppressLineNumbers w:val="0"/>
                    <w:bidi w:val="0"/>
                    <w:spacing w:before="0" w:beforeAutospacing="0" w:after="0" w:afterAutospacing="0"/>
                    <w:ind w:left="0" w:right="0"/>
                    <w:rPr>
                      <w:rFonts w:hint="eastAsia"/>
                      <w:szCs w:val="22"/>
                    </w:rPr>
                  </w:pPr>
                </w:p>
              </w:tc>
              <w:tc>
                <w:tcPr>
                  <w:tcW w:w="244" w:type="pct"/>
                  <w:shd w:val="clear" w:color="auto" w:fill="auto"/>
                  <w:vAlign w:val="center"/>
                </w:tcPr>
                <w:p w14:paraId="3E107A76">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326" w:type="pct"/>
                  <w:shd w:val="clear" w:color="auto" w:fill="auto"/>
                  <w:vAlign w:val="center"/>
                </w:tcPr>
                <w:p w14:paraId="26D8E49A">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428" w:type="pct"/>
                  <w:shd w:val="clear" w:color="auto" w:fill="auto"/>
                  <w:vAlign w:val="center"/>
                </w:tcPr>
                <w:p w14:paraId="70280026">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371" w:type="pct"/>
                  <w:shd w:val="clear" w:color="auto" w:fill="auto"/>
                  <w:vAlign w:val="center"/>
                </w:tcPr>
                <w:p w14:paraId="2E4C4753">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0.0343</w:t>
                  </w:r>
                </w:p>
              </w:tc>
              <w:tc>
                <w:tcPr>
                  <w:tcW w:w="320" w:type="pct"/>
                  <w:shd w:val="clear" w:color="auto" w:fill="auto"/>
                  <w:vAlign w:val="center"/>
                </w:tcPr>
                <w:p w14:paraId="6FD2C28F">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0.1235</w:t>
                  </w:r>
                </w:p>
              </w:tc>
              <w:tc>
                <w:tcPr>
                  <w:tcW w:w="547" w:type="pct"/>
                  <w:vMerge w:val="continue"/>
                  <w:tcBorders>
                    <w:right w:val="nil"/>
                  </w:tcBorders>
                  <w:shd w:val="clear" w:color="auto" w:fill="auto"/>
                  <w:noWrap/>
                  <w:vAlign w:val="center"/>
                </w:tcPr>
                <w:p w14:paraId="01622EF5">
                  <w:pPr>
                    <w:pStyle w:val="38"/>
                    <w:keepNext w:val="0"/>
                    <w:keepLines w:val="0"/>
                    <w:widowControl/>
                    <w:suppressLineNumbers w:val="0"/>
                    <w:bidi w:val="0"/>
                    <w:spacing w:before="0" w:beforeAutospacing="0" w:after="0" w:afterAutospacing="0"/>
                    <w:ind w:left="0" w:right="0"/>
                    <w:rPr>
                      <w:rFonts w:hint="default"/>
                      <w:b w:val="0"/>
                      <w:color w:val="000000"/>
                      <w:szCs w:val="22"/>
                    </w:rPr>
                  </w:pPr>
                </w:p>
              </w:tc>
            </w:tr>
            <w:tr w14:paraId="6A4CB1B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55" w:type="pct"/>
                  <w:vMerge w:val="continue"/>
                  <w:tcBorders>
                    <w:left w:val="nil"/>
                  </w:tcBorders>
                  <w:shd w:val="clear" w:color="auto" w:fill="auto"/>
                  <w:vAlign w:val="center"/>
                </w:tcPr>
                <w:p w14:paraId="01523A54">
                  <w:pPr>
                    <w:pStyle w:val="38"/>
                    <w:keepNext w:val="0"/>
                    <w:keepLines w:val="0"/>
                    <w:widowControl/>
                    <w:suppressLineNumbers w:val="0"/>
                    <w:bidi w:val="0"/>
                    <w:spacing w:before="0" w:beforeAutospacing="0" w:after="0" w:afterAutospacing="0"/>
                    <w:ind w:left="0" w:right="0"/>
                    <w:rPr>
                      <w:rFonts w:hint="eastAsia"/>
                      <w:b w:val="0"/>
                      <w:color w:val="000000"/>
                      <w:szCs w:val="22"/>
                    </w:rPr>
                  </w:pPr>
                </w:p>
              </w:tc>
              <w:tc>
                <w:tcPr>
                  <w:tcW w:w="255" w:type="pct"/>
                  <w:vMerge w:val="restart"/>
                  <w:shd w:val="clear" w:color="auto" w:fill="auto"/>
                  <w:vAlign w:val="center"/>
                </w:tcPr>
                <w:p w14:paraId="0CF0F021">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漆雾（颗粒物）</w:t>
                  </w:r>
                </w:p>
              </w:tc>
              <w:tc>
                <w:tcPr>
                  <w:tcW w:w="191" w:type="pct"/>
                  <w:shd w:val="clear" w:color="auto" w:fill="auto"/>
                  <w:vAlign w:val="center"/>
                </w:tcPr>
                <w:p w14:paraId="74280EDD">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有组织</w:t>
                  </w:r>
                </w:p>
              </w:tc>
              <w:tc>
                <w:tcPr>
                  <w:tcW w:w="304" w:type="pct"/>
                  <w:vMerge w:val="restart"/>
                  <w:shd w:val="clear" w:color="auto" w:fill="auto"/>
                  <w:vAlign w:val="center"/>
                </w:tcPr>
                <w:p w14:paraId="75DE64EC">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0.8316</w:t>
                  </w:r>
                </w:p>
              </w:tc>
              <w:tc>
                <w:tcPr>
                  <w:tcW w:w="371" w:type="pct"/>
                  <w:vMerge w:val="restart"/>
                  <w:shd w:val="clear" w:color="auto" w:fill="auto"/>
                  <w:noWrap/>
                  <w:vAlign w:val="center"/>
                </w:tcPr>
                <w:p w14:paraId="56E1DCB1">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0.231</w:t>
                  </w:r>
                </w:p>
              </w:tc>
              <w:tc>
                <w:tcPr>
                  <w:tcW w:w="377" w:type="pct"/>
                  <w:shd w:val="clear" w:color="auto" w:fill="auto"/>
                  <w:vAlign w:val="center"/>
                </w:tcPr>
                <w:p w14:paraId="39B0CA64">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20000</w:t>
                  </w:r>
                </w:p>
              </w:tc>
              <w:tc>
                <w:tcPr>
                  <w:tcW w:w="428" w:type="pct"/>
                  <w:shd w:val="clear" w:color="auto" w:fill="auto"/>
                  <w:vAlign w:val="center"/>
                </w:tcPr>
                <w:p w14:paraId="312C2A85">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10.3944</w:t>
                  </w:r>
                </w:p>
              </w:tc>
              <w:tc>
                <w:tcPr>
                  <w:tcW w:w="320" w:type="pct"/>
                  <w:shd w:val="clear" w:color="auto" w:fill="auto"/>
                  <w:vAlign w:val="center"/>
                </w:tcPr>
                <w:p w14:paraId="5FD7F5AC">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0.7484</w:t>
                  </w:r>
                </w:p>
              </w:tc>
              <w:tc>
                <w:tcPr>
                  <w:tcW w:w="255" w:type="pct"/>
                  <w:vMerge w:val="continue"/>
                  <w:shd w:val="clear" w:color="auto" w:fill="auto"/>
                  <w:vAlign w:val="center"/>
                </w:tcPr>
                <w:p w14:paraId="13EC66CD">
                  <w:pPr>
                    <w:pStyle w:val="38"/>
                    <w:keepNext w:val="0"/>
                    <w:keepLines w:val="0"/>
                    <w:widowControl/>
                    <w:suppressLineNumbers w:val="0"/>
                    <w:bidi w:val="0"/>
                    <w:spacing w:before="0" w:beforeAutospacing="0" w:after="0" w:afterAutospacing="0"/>
                    <w:ind w:left="0" w:right="0"/>
                    <w:rPr>
                      <w:rFonts w:hint="eastAsia"/>
                      <w:szCs w:val="22"/>
                    </w:rPr>
                  </w:pPr>
                </w:p>
              </w:tc>
              <w:tc>
                <w:tcPr>
                  <w:tcW w:w="244" w:type="pct"/>
                  <w:shd w:val="clear" w:color="auto" w:fill="auto"/>
                  <w:vAlign w:val="center"/>
                </w:tcPr>
                <w:p w14:paraId="192D585C">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90%</w:t>
                  </w:r>
                </w:p>
              </w:tc>
              <w:tc>
                <w:tcPr>
                  <w:tcW w:w="326" w:type="pct"/>
                  <w:shd w:val="clear" w:color="auto" w:fill="auto"/>
                  <w:vAlign w:val="center"/>
                </w:tcPr>
                <w:p w14:paraId="72791085">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74.52%</w:t>
                  </w:r>
                </w:p>
              </w:tc>
              <w:tc>
                <w:tcPr>
                  <w:tcW w:w="428" w:type="pct"/>
                  <w:shd w:val="clear" w:color="auto" w:fill="auto"/>
                  <w:vAlign w:val="center"/>
                </w:tcPr>
                <w:p w14:paraId="66DF1F68">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2.6486</w:t>
                  </w:r>
                </w:p>
              </w:tc>
              <w:tc>
                <w:tcPr>
                  <w:tcW w:w="371" w:type="pct"/>
                  <w:shd w:val="clear" w:color="auto" w:fill="auto"/>
                  <w:vAlign w:val="center"/>
                </w:tcPr>
                <w:p w14:paraId="5A7F1655">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0.053</w:t>
                  </w:r>
                </w:p>
              </w:tc>
              <w:tc>
                <w:tcPr>
                  <w:tcW w:w="320" w:type="pct"/>
                  <w:shd w:val="clear" w:color="auto" w:fill="auto"/>
                  <w:vAlign w:val="center"/>
                </w:tcPr>
                <w:p w14:paraId="1DCFD149">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0.1907</w:t>
                  </w:r>
                </w:p>
              </w:tc>
              <w:tc>
                <w:tcPr>
                  <w:tcW w:w="547" w:type="pct"/>
                  <w:vMerge w:val="continue"/>
                  <w:tcBorders>
                    <w:right w:val="nil"/>
                  </w:tcBorders>
                  <w:shd w:val="clear" w:color="auto" w:fill="auto"/>
                  <w:noWrap/>
                  <w:vAlign w:val="center"/>
                </w:tcPr>
                <w:p w14:paraId="0FF9BB5F">
                  <w:pPr>
                    <w:pStyle w:val="38"/>
                    <w:keepNext w:val="0"/>
                    <w:keepLines w:val="0"/>
                    <w:widowControl/>
                    <w:suppressLineNumbers w:val="0"/>
                    <w:bidi w:val="0"/>
                    <w:spacing w:before="0" w:beforeAutospacing="0" w:after="0" w:afterAutospacing="0"/>
                    <w:ind w:left="0" w:right="0"/>
                    <w:rPr>
                      <w:rFonts w:hint="default"/>
                      <w:b w:val="0"/>
                      <w:color w:val="000000"/>
                      <w:szCs w:val="22"/>
                    </w:rPr>
                  </w:pPr>
                </w:p>
              </w:tc>
            </w:tr>
            <w:tr w14:paraId="1150B73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55" w:type="pct"/>
                  <w:vMerge w:val="continue"/>
                  <w:tcBorders>
                    <w:left w:val="nil"/>
                    <w:bottom w:val="single" w:color="000000" w:sz="12" w:space="0"/>
                  </w:tcBorders>
                  <w:shd w:val="clear" w:color="auto" w:fill="auto"/>
                  <w:vAlign w:val="center"/>
                </w:tcPr>
                <w:p w14:paraId="0A1BE261">
                  <w:pPr>
                    <w:pStyle w:val="38"/>
                    <w:keepNext w:val="0"/>
                    <w:keepLines w:val="0"/>
                    <w:widowControl/>
                    <w:suppressLineNumbers w:val="0"/>
                    <w:bidi w:val="0"/>
                    <w:spacing w:before="0" w:beforeAutospacing="0" w:after="0" w:afterAutospacing="0"/>
                    <w:ind w:left="0" w:right="0"/>
                    <w:rPr>
                      <w:rFonts w:hint="eastAsia"/>
                      <w:b w:val="0"/>
                      <w:color w:val="000000"/>
                      <w:szCs w:val="22"/>
                    </w:rPr>
                  </w:pPr>
                </w:p>
              </w:tc>
              <w:tc>
                <w:tcPr>
                  <w:tcW w:w="255" w:type="pct"/>
                  <w:vMerge w:val="continue"/>
                  <w:tcBorders>
                    <w:bottom w:val="single" w:color="000000" w:sz="12" w:space="0"/>
                  </w:tcBorders>
                  <w:shd w:val="clear" w:color="auto" w:fill="auto"/>
                  <w:vAlign w:val="center"/>
                </w:tcPr>
                <w:p w14:paraId="6D1C0A66">
                  <w:pPr>
                    <w:pStyle w:val="38"/>
                    <w:keepNext w:val="0"/>
                    <w:keepLines w:val="0"/>
                    <w:widowControl/>
                    <w:suppressLineNumbers w:val="0"/>
                    <w:bidi w:val="0"/>
                    <w:spacing w:before="0" w:beforeAutospacing="0" w:after="0" w:afterAutospacing="0"/>
                    <w:ind w:left="0" w:right="0"/>
                    <w:rPr>
                      <w:rFonts w:hint="eastAsia"/>
                      <w:szCs w:val="22"/>
                    </w:rPr>
                  </w:pPr>
                </w:p>
              </w:tc>
              <w:tc>
                <w:tcPr>
                  <w:tcW w:w="191" w:type="pct"/>
                  <w:tcBorders>
                    <w:bottom w:val="single" w:color="000000" w:sz="12" w:space="0"/>
                  </w:tcBorders>
                  <w:shd w:val="clear" w:color="auto" w:fill="auto"/>
                  <w:vAlign w:val="center"/>
                </w:tcPr>
                <w:p w14:paraId="63E45C7A">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无组织</w:t>
                  </w:r>
                </w:p>
              </w:tc>
              <w:tc>
                <w:tcPr>
                  <w:tcW w:w="304" w:type="pct"/>
                  <w:vMerge w:val="continue"/>
                  <w:tcBorders>
                    <w:bottom w:val="single" w:color="000000" w:sz="12" w:space="0"/>
                  </w:tcBorders>
                  <w:shd w:val="clear" w:color="auto" w:fill="auto"/>
                  <w:vAlign w:val="center"/>
                </w:tcPr>
                <w:p w14:paraId="423991E6">
                  <w:pPr>
                    <w:pStyle w:val="38"/>
                    <w:keepNext w:val="0"/>
                    <w:keepLines w:val="0"/>
                    <w:widowControl/>
                    <w:suppressLineNumbers w:val="0"/>
                    <w:bidi w:val="0"/>
                    <w:spacing w:before="0" w:beforeAutospacing="0" w:after="0" w:afterAutospacing="0"/>
                    <w:ind w:left="0" w:right="0"/>
                    <w:rPr>
                      <w:rFonts w:hint="default"/>
                      <w:szCs w:val="22"/>
                    </w:rPr>
                  </w:pPr>
                </w:p>
              </w:tc>
              <w:tc>
                <w:tcPr>
                  <w:tcW w:w="371" w:type="pct"/>
                  <w:vMerge w:val="continue"/>
                  <w:tcBorders>
                    <w:bottom w:val="single" w:color="000000" w:sz="12" w:space="0"/>
                  </w:tcBorders>
                  <w:shd w:val="clear" w:color="auto" w:fill="auto"/>
                  <w:noWrap/>
                  <w:vAlign w:val="center"/>
                </w:tcPr>
                <w:p w14:paraId="49AEDC08">
                  <w:pPr>
                    <w:pStyle w:val="38"/>
                    <w:keepNext w:val="0"/>
                    <w:keepLines w:val="0"/>
                    <w:widowControl/>
                    <w:suppressLineNumbers w:val="0"/>
                    <w:bidi w:val="0"/>
                    <w:spacing w:before="0" w:beforeAutospacing="0" w:after="0" w:afterAutospacing="0"/>
                    <w:ind w:left="0" w:right="0"/>
                    <w:rPr>
                      <w:rFonts w:hint="default"/>
                      <w:szCs w:val="22"/>
                    </w:rPr>
                  </w:pPr>
                </w:p>
              </w:tc>
              <w:tc>
                <w:tcPr>
                  <w:tcW w:w="377" w:type="pct"/>
                  <w:tcBorders>
                    <w:bottom w:val="single" w:color="000000" w:sz="12" w:space="0"/>
                  </w:tcBorders>
                  <w:shd w:val="clear" w:color="auto" w:fill="auto"/>
                  <w:vAlign w:val="center"/>
                </w:tcPr>
                <w:p w14:paraId="242E29E6">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428" w:type="pct"/>
                  <w:tcBorders>
                    <w:bottom w:val="single" w:color="000000" w:sz="12" w:space="0"/>
                  </w:tcBorders>
                  <w:shd w:val="clear" w:color="auto" w:fill="auto"/>
                  <w:vAlign w:val="center"/>
                </w:tcPr>
                <w:p w14:paraId="0ECE7B32">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320" w:type="pct"/>
                  <w:tcBorders>
                    <w:bottom w:val="single" w:color="000000" w:sz="12" w:space="0"/>
                  </w:tcBorders>
                  <w:shd w:val="clear" w:color="auto" w:fill="auto"/>
                  <w:vAlign w:val="center"/>
                </w:tcPr>
                <w:p w14:paraId="7F3DB18E">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0.0832</w:t>
                  </w:r>
                </w:p>
              </w:tc>
              <w:tc>
                <w:tcPr>
                  <w:tcW w:w="255" w:type="pct"/>
                  <w:vMerge w:val="continue"/>
                  <w:tcBorders>
                    <w:bottom w:val="single" w:color="000000" w:sz="12" w:space="0"/>
                  </w:tcBorders>
                  <w:shd w:val="clear" w:color="auto" w:fill="auto"/>
                  <w:vAlign w:val="center"/>
                </w:tcPr>
                <w:p w14:paraId="5C6CA5B9">
                  <w:pPr>
                    <w:pStyle w:val="38"/>
                    <w:keepNext w:val="0"/>
                    <w:keepLines w:val="0"/>
                    <w:widowControl/>
                    <w:suppressLineNumbers w:val="0"/>
                    <w:bidi w:val="0"/>
                    <w:spacing w:before="0" w:beforeAutospacing="0" w:after="0" w:afterAutospacing="0"/>
                    <w:ind w:left="0" w:right="0"/>
                    <w:rPr>
                      <w:rFonts w:hint="eastAsia"/>
                      <w:szCs w:val="22"/>
                    </w:rPr>
                  </w:pPr>
                </w:p>
              </w:tc>
              <w:tc>
                <w:tcPr>
                  <w:tcW w:w="244" w:type="pct"/>
                  <w:tcBorders>
                    <w:bottom w:val="single" w:color="000000" w:sz="12" w:space="0"/>
                  </w:tcBorders>
                  <w:shd w:val="clear" w:color="auto" w:fill="auto"/>
                  <w:vAlign w:val="center"/>
                </w:tcPr>
                <w:p w14:paraId="7FD3B412">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326" w:type="pct"/>
                  <w:tcBorders>
                    <w:bottom w:val="single" w:color="000000" w:sz="12" w:space="0"/>
                  </w:tcBorders>
                  <w:shd w:val="clear" w:color="auto" w:fill="auto"/>
                  <w:vAlign w:val="center"/>
                </w:tcPr>
                <w:p w14:paraId="18D1E0B3">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428" w:type="pct"/>
                  <w:tcBorders>
                    <w:bottom w:val="single" w:color="000000" w:sz="12" w:space="0"/>
                  </w:tcBorders>
                  <w:shd w:val="clear" w:color="auto" w:fill="auto"/>
                  <w:vAlign w:val="center"/>
                </w:tcPr>
                <w:p w14:paraId="3910E36B">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371" w:type="pct"/>
                  <w:tcBorders>
                    <w:bottom w:val="single" w:color="000000" w:sz="12" w:space="0"/>
                  </w:tcBorders>
                  <w:shd w:val="clear" w:color="auto" w:fill="auto"/>
                  <w:vAlign w:val="center"/>
                </w:tcPr>
                <w:p w14:paraId="2E42EABF">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0.0231</w:t>
                  </w:r>
                </w:p>
              </w:tc>
              <w:tc>
                <w:tcPr>
                  <w:tcW w:w="320" w:type="pct"/>
                  <w:tcBorders>
                    <w:bottom w:val="single" w:color="000000" w:sz="12" w:space="0"/>
                  </w:tcBorders>
                  <w:shd w:val="clear" w:color="auto" w:fill="auto"/>
                  <w:vAlign w:val="center"/>
                </w:tcPr>
                <w:p w14:paraId="63129227">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0.0832</w:t>
                  </w:r>
                </w:p>
              </w:tc>
              <w:tc>
                <w:tcPr>
                  <w:tcW w:w="547" w:type="pct"/>
                  <w:vMerge w:val="continue"/>
                  <w:tcBorders>
                    <w:bottom w:val="single" w:color="000000" w:sz="12" w:space="0"/>
                    <w:right w:val="nil"/>
                  </w:tcBorders>
                  <w:shd w:val="clear" w:color="auto" w:fill="auto"/>
                  <w:noWrap/>
                  <w:vAlign w:val="center"/>
                </w:tcPr>
                <w:p w14:paraId="433186F6">
                  <w:pPr>
                    <w:pStyle w:val="38"/>
                    <w:keepNext w:val="0"/>
                    <w:keepLines w:val="0"/>
                    <w:widowControl/>
                    <w:suppressLineNumbers w:val="0"/>
                    <w:bidi w:val="0"/>
                    <w:spacing w:before="0" w:beforeAutospacing="0" w:after="0" w:afterAutospacing="0"/>
                    <w:ind w:left="0" w:right="0"/>
                    <w:rPr>
                      <w:rFonts w:hint="default"/>
                      <w:b w:val="0"/>
                      <w:color w:val="000000"/>
                      <w:szCs w:val="22"/>
                    </w:rPr>
                  </w:pPr>
                </w:p>
              </w:tc>
            </w:tr>
          </w:tbl>
          <w:p w14:paraId="7495D476">
            <w:pPr>
              <w:pStyle w:val="4"/>
              <w:suppressLineNumbers w:val="0"/>
              <w:bidi w:val="0"/>
              <w:spacing w:before="0" w:beforeAutospacing="0" w:after="0" w:afterAutospacing="0"/>
              <w:ind w:left="0" w:right="0"/>
              <w:rPr>
                <w:rFonts w:hint="default"/>
                <w:lang w:val="en-US" w:eastAsia="zh-CN"/>
              </w:rPr>
            </w:pPr>
            <w:r>
              <w:rPr>
                <w:rFonts w:hint="default"/>
                <w:lang w:val="en-US" w:eastAsia="zh-CN"/>
              </w:rPr>
              <w:t>运营期大气污染防治措施合理性分析</w:t>
            </w:r>
          </w:p>
          <w:p w14:paraId="6EEBF0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本项目设置</w:t>
            </w:r>
            <w:r>
              <w:rPr>
                <w:rFonts w:hint="eastAsia" w:cs="Times New Roman"/>
                <w:color w:val="auto"/>
                <w:kern w:val="0"/>
                <w:sz w:val="24"/>
                <w:szCs w:val="24"/>
                <w:lang w:val="en-US" w:eastAsia="zh-CN" w:bidi="ar-SA"/>
              </w:rPr>
              <w:t>3</w:t>
            </w:r>
            <w:r>
              <w:rPr>
                <w:rFonts w:hint="eastAsia" w:ascii="Times New Roman" w:hAnsi="Times New Roman" w:eastAsia="宋体" w:cs="Times New Roman"/>
                <w:color w:val="auto"/>
                <w:kern w:val="0"/>
                <w:sz w:val="24"/>
                <w:szCs w:val="24"/>
                <w:lang w:val="en-US" w:eastAsia="zh-CN" w:bidi="ar-SA"/>
              </w:rPr>
              <w:t>条生产线，配套废气处理系统。三条生产线（1#、2#、3#）的废气治理系统完全独立、互不连通。每条生产线的烘干废气、加烤废气经密闭管道收集，喷漆废气经水帘柜预处理后，合并进入</w:t>
            </w:r>
            <w:r>
              <w:rPr>
                <w:rFonts w:hint="eastAsia" w:cs="Times New Roman"/>
                <w:color w:val="auto"/>
                <w:kern w:val="0"/>
                <w:sz w:val="24"/>
                <w:szCs w:val="24"/>
                <w:lang w:val="en-US" w:eastAsia="zh-CN" w:bidi="ar-SA"/>
              </w:rPr>
              <w:t>对应生产线</w:t>
            </w:r>
            <w:r>
              <w:rPr>
                <w:rFonts w:hint="eastAsia" w:ascii="Times New Roman" w:hAnsi="Times New Roman" w:eastAsia="宋体" w:cs="Times New Roman"/>
                <w:color w:val="auto"/>
                <w:kern w:val="0"/>
                <w:sz w:val="24"/>
                <w:szCs w:val="24"/>
                <w:lang w:val="en-US" w:eastAsia="zh-CN" w:bidi="ar-SA"/>
              </w:rPr>
              <w:t>的“过滤棉+</w:t>
            </w:r>
            <w:r>
              <w:rPr>
                <w:rFonts w:hint="eastAsia" w:cs="Times New Roman"/>
                <w:color w:val="auto"/>
                <w:kern w:val="0"/>
                <w:sz w:val="24"/>
                <w:szCs w:val="24"/>
                <w:lang w:val="en-US" w:eastAsia="zh-CN" w:bidi="ar-SA"/>
              </w:rPr>
              <w:t>二级活性炭</w:t>
            </w:r>
            <w:r>
              <w:rPr>
                <w:rFonts w:hint="eastAsia" w:ascii="Times New Roman" w:hAnsi="Times New Roman" w:eastAsia="宋体" w:cs="Times New Roman"/>
                <w:color w:val="auto"/>
                <w:kern w:val="0"/>
                <w:sz w:val="24"/>
                <w:szCs w:val="24"/>
                <w:lang w:val="en-US" w:eastAsia="zh-CN" w:bidi="ar-SA"/>
              </w:rPr>
              <w:t>吸附装置”处理，最终由对应的15米高排气筒（分别对应为DA001、DA002、DA003）达标排放。</w:t>
            </w:r>
          </w:p>
          <w:p w14:paraId="4AD893DC">
            <w:pPr>
              <w:pStyle w:val="26"/>
              <w:keepNext w:val="0"/>
              <w:keepLines w:val="0"/>
              <w:suppressLineNumbers w:val="0"/>
              <w:spacing w:before="0" w:beforeAutospacing="0" w:after="0" w:afterAutospacing="0"/>
              <w:ind w:left="0" w:right="0"/>
              <w:rPr>
                <w:rFonts w:hint="eastAsia"/>
                <w:lang w:val="en-US" w:eastAsia="zh-CN"/>
              </w:rPr>
            </w:pPr>
            <w:r>
              <w:rPr>
                <w:rFonts w:hint="eastAsia"/>
                <w:lang w:val="en-US" w:eastAsia="zh-CN"/>
              </w:rPr>
              <w:t>（1）三条生产线废气设置3个排气筒的合理性分析</w:t>
            </w:r>
          </w:p>
          <w:p w14:paraId="50B7C519">
            <w:pPr>
              <w:pStyle w:val="26"/>
              <w:keepNext w:val="0"/>
              <w:keepLines w:val="0"/>
              <w:suppressLineNumbers w:val="0"/>
              <w:spacing w:before="0" w:beforeAutospacing="0" w:after="0" w:afterAutospacing="0"/>
              <w:ind w:left="0" w:right="0"/>
              <w:rPr>
                <w:rFonts w:hint="eastAsia"/>
                <w:lang w:val="en-US" w:eastAsia="zh-CN"/>
              </w:rPr>
            </w:pPr>
            <w:r>
              <w:rPr>
                <w:rFonts w:hint="eastAsia" w:cs="Times New Roman"/>
                <w:color w:val="auto"/>
                <w:kern w:val="0"/>
                <w:sz w:val="24"/>
                <w:szCs w:val="24"/>
                <w:lang w:val="en-US" w:eastAsia="zh-CN" w:bidi="ar-SA"/>
              </w:rPr>
              <w:t>3</w:t>
            </w:r>
            <w:r>
              <w:rPr>
                <w:rFonts w:hint="eastAsia" w:ascii="Times New Roman" w:hAnsi="Times New Roman" w:eastAsia="宋体" w:cs="Times New Roman"/>
                <w:color w:val="auto"/>
                <w:kern w:val="0"/>
                <w:sz w:val="24"/>
                <w:szCs w:val="24"/>
                <w:lang w:val="en-US" w:eastAsia="zh-CN" w:bidi="ar-SA"/>
              </w:rPr>
              <w:t>条生产线</w:t>
            </w:r>
            <w:r>
              <w:rPr>
                <w:rFonts w:hint="eastAsia" w:ascii="Times New Roman" w:hAnsi="Times New Roman" w:cs="Times New Roman"/>
                <w:color w:val="auto"/>
                <w:kern w:val="0"/>
                <w:sz w:val="24"/>
                <w:szCs w:val="24"/>
                <w:lang w:val="en-US" w:eastAsia="zh-CN" w:bidi="ar-SA"/>
              </w:rPr>
              <w:t>，</w:t>
            </w:r>
            <w:r>
              <w:rPr>
                <w:rFonts w:hint="eastAsia"/>
                <w:lang w:val="en-US" w:eastAsia="zh-CN"/>
              </w:rPr>
              <w:t>每条生产线均配套独立的“过滤棉+二级活性炭吸附装置”且喷漆、烘干、加烤工序的废气经密闭管道单独收集，每个排气筒配套20000m³/h风量风机，匹配单条生产线的废气产生量，避免风量不匹配导致的收集效率不足或能源浪费，优化厂区平面布局，减少管道迂回导致的废气残留。同时，独立处理设施与排气筒的搭配，可实现单条生产线检修时不影响其他生产线运行，降低环保设施故障对整体生产的影响，提升运营稳定性。</w:t>
            </w:r>
          </w:p>
          <w:p w14:paraId="2A966C48">
            <w:pPr>
              <w:pStyle w:val="26"/>
              <w:keepNext w:val="0"/>
              <w:keepLines w:val="0"/>
              <w:suppressLineNumbers w:val="0"/>
              <w:spacing w:before="0" w:beforeAutospacing="0" w:after="0" w:afterAutospacing="0"/>
              <w:ind w:left="0" w:right="0"/>
              <w:rPr>
                <w:rFonts w:hint="eastAsia"/>
                <w:lang w:val="en-US" w:eastAsia="zh-CN"/>
              </w:rPr>
            </w:pPr>
            <w:r>
              <w:rPr>
                <w:rFonts w:hint="eastAsia"/>
                <w:lang w:val="en-US" w:eastAsia="zh-CN"/>
              </w:rPr>
              <w:t>项目废气排放需满足《工业涂装工序挥发性有机物排放标准》（DB35/1783-2018）及《大气污染物综合排放标准》（GB16297-1996），3个排气筒分别排放可确保单筒排放浓度。</w:t>
            </w:r>
          </w:p>
          <w:p w14:paraId="6AF12285">
            <w:pPr>
              <w:pStyle w:val="26"/>
              <w:keepNext w:val="0"/>
              <w:keepLines w:val="0"/>
              <w:suppressLineNumbers w:val="0"/>
              <w:spacing w:before="0" w:beforeAutospacing="0" w:after="0" w:afterAutospacing="0"/>
              <w:ind w:left="0" w:right="0"/>
              <w:rPr>
                <w:rFonts w:hint="eastAsia" w:cs="Times New Roman"/>
                <w:color w:val="auto"/>
                <w:kern w:val="0"/>
                <w:sz w:val="24"/>
                <w:szCs w:val="24"/>
                <w:lang w:val="en-US" w:eastAsia="zh-CN" w:bidi="ar-SA"/>
              </w:rPr>
            </w:pPr>
            <w:r>
              <w:rPr>
                <w:rFonts w:hint="eastAsia" w:cs="Times New Roman"/>
                <w:color w:val="auto"/>
                <w:kern w:val="0"/>
                <w:sz w:val="24"/>
                <w:szCs w:val="24"/>
                <w:lang w:val="en-US" w:eastAsia="zh-CN" w:bidi="ar-SA"/>
              </w:rPr>
              <w:t>（2）收集系统</w:t>
            </w:r>
          </w:p>
          <w:p w14:paraId="7D064635">
            <w:pPr>
              <w:keepNext w:val="0"/>
              <w:keepLines w:val="0"/>
              <w:suppressLineNumbers w:val="0"/>
              <w:spacing w:before="0" w:beforeAutospacing="0" w:after="0" w:afterAutospacing="0"/>
              <w:ind w:left="0" w:right="0"/>
              <w:rPr>
                <w:rFonts w:hint="default"/>
                <w:b w:val="0"/>
                <w:bCs w:val="0"/>
                <w:iCs w:val="0"/>
                <w:color w:val="auto"/>
                <w:lang w:val="en-US" w:eastAsia="zh-CN"/>
              </w:rPr>
            </w:pPr>
            <w:r>
              <w:rPr>
                <w:rFonts w:hint="eastAsia" w:cs="Times New Roman"/>
                <w:color w:val="auto"/>
                <w:kern w:val="0"/>
                <w:sz w:val="24"/>
                <w:szCs w:val="24"/>
                <w:lang w:val="en-US" w:eastAsia="zh-CN" w:bidi="ar-SA"/>
              </w:rPr>
              <w:t>本项目生产线1#、生产线2#、生产线3#喷漆、烘干及加烤工序均采用密闭车间负压收集，每条生产线尺寸35m*9m*2.5m，</w:t>
            </w:r>
            <w:r>
              <w:rPr>
                <w:rFonts w:hint="eastAsia" w:cs="Times New Roman"/>
                <w:color w:val="000000"/>
                <w:sz w:val="24"/>
                <w:highlight w:val="none"/>
                <w:lang w:val="en-US" w:eastAsia="zh-CN"/>
              </w:rPr>
              <w:t>人员进出口设置透明PVC门帘，带密封条的门窗，顶部换气，设置风机风量20000m</w:t>
            </w:r>
            <w:r>
              <w:rPr>
                <w:rFonts w:hint="eastAsia" w:cs="Times New Roman"/>
                <w:color w:val="000000"/>
                <w:sz w:val="24"/>
                <w:highlight w:val="none"/>
                <w:vertAlign w:val="superscript"/>
                <w:lang w:val="en-US" w:eastAsia="zh-CN"/>
              </w:rPr>
              <w:t>3</w:t>
            </w:r>
            <w:r>
              <w:rPr>
                <w:rFonts w:hint="eastAsia" w:cs="Times New Roman"/>
                <w:color w:val="000000"/>
                <w:sz w:val="24"/>
                <w:highlight w:val="none"/>
                <w:lang w:val="en-US" w:eastAsia="zh-CN"/>
              </w:rPr>
              <w:t>/h，保证车间总排风量大于总送风量</w:t>
            </w:r>
            <w:r>
              <w:rPr>
                <w:rFonts w:hint="default"/>
                <w:b w:val="0"/>
                <w:bCs w:val="0"/>
                <w:iCs w:val="0"/>
                <w:color w:val="auto"/>
                <w:lang w:val="en-US" w:eastAsia="zh-CN"/>
              </w:rPr>
              <w:t>。</w:t>
            </w:r>
          </w:p>
          <w:p w14:paraId="2349B6C9">
            <w:pPr>
              <w:keepNext w:val="0"/>
              <w:keepLines w:val="0"/>
              <w:suppressLineNumbers w:val="0"/>
              <w:spacing w:before="0" w:beforeAutospacing="0" w:after="0" w:afterAutospacing="0"/>
              <w:ind w:left="0" w:right="0"/>
              <w:rPr>
                <w:rFonts w:hint="eastAsia" w:cs="Times New Roman"/>
                <w:color w:val="000000"/>
                <w:sz w:val="24"/>
                <w:highlight w:val="none"/>
                <w:lang w:val="en-US" w:eastAsia="zh-CN"/>
              </w:rPr>
            </w:pPr>
            <w:r>
              <w:rPr>
                <w:rFonts w:hint="eastAsia" w:cs="Times New Roman"/>
                <w:color w:val="000000"/>
                <w:sz w:val="24"/>
                <w:highlight w:val="none"/>
                <w:lang w:val="en-US" w:eastAsia="zh-CN"/>
              </w:rPr>
              <w:t>风机风量核算：根据《工业建筑供暖通风与空气调节设计规范》（GB 50019-2015），计算负压收集车间的风机风量：</w:t>
            </w:r>
          </w:p>
          <w:p w14:paraId="05C27F3D">
            <w:pPr>
              <w:keepNext w:val="0"/>
              <w:keepLines w:val="0"/>
              <w:suppressLineNumbers w:val="0"/>
              <w:adjustRightInd w:val="0"/>
              <w:snapToGrid w:val="0"/>
              <w:spacing w:before="0" w:beforeAutospacing="0" w:after="0" w:afterAutospacing="0" w:line="360" w:lineRule="auto"/>
              <w:ind w:left="0" w:right="0"/>
              <w:jc w:val="center"/>
              <w:rPr>
                <w:rFonts w:hint="eastAsia" w:cs="Times New Roman"/>
                <w:color w:val="000000"/>
                <w:sz w:val="24"/>
                <w:highlight w:val="none"/>
                <w:lang w:val="en-US" w:eastAsia="zh-CN"/>
              </w:rPr>
            </w:pPr>
            <w:r>
              <w:rPr>
                <w:rFonts w:hint="eastAsia" w:cs="Times New Roman"/>
                <w:color w:val="000000"/>
                <w:sz w:val="24"/>
                <w:highlight w:val="none"/>
                <w:lang w:val="en-US" w:eastAsia="zh-CN"/>
              </w:rPr>
              <w:t>Q=nV</w:t>
            </w:r>
          </w:p>
          <w:p w14:paraId="2ECB2E8C">
            <w:pPr>
              <w:keepNext w:val="0"/>
              <w:keepLines w:val="0"/>
              <w:suppressLineNumbers w:val="0"/>
              <w:adjustRightInd w:val="0"/>
              <w:snapToGrid w:val="0"/>
              <w:spacing w:before="0" w:beforeAutospacing="0" w:after="0" w:afterAutospacing="0" w:line="360" w:lineRule="auto"/>
              <w:ind w:left="0" w:right="0"/>
              <w:jc w:val="left"/>
              <w:rPr>
                <w:rFonts w:hint="eastAsia" w:cs="Times New Roman"/>
                <w:color w:val="000000"/>
                <w:sz w:val="24"/>
                <w:highlight w:val="none"/>
                <w:lang w:val="en-US" w:eastAsia="zh-CN"/>
              </w:rPr>
            </w:pPr>
            <w:r>
              <w:rPr>
                <w:rFonts w:hint="eastAsia" w:cs="Times New Roman"/>
                <w:color w:val="000000"/>
                <w:sz w:val="24"/>
                <w:highlight w:val="none"/>
                <w:lang w:val="en-US" w:eastAsia="zh-CN"/>
              </w:rPr>
              <w:t>式中：</w:t>
            </w:r>
          </w:p>
          <w:p w14:paraId="53211A8E">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000000"/>
                <w:sz w:val="24"/>
                <w:highlight w:val="none"/>
                <w:lang w:val="en-US" w:eastAsia="zh-CN"/>
              </w:rPr>
            </w:pPr>
            <w:r>
              <w:rPr>
                <w:rFonts w:hint="eastAsia" w:cs="Times New Roman"/>
                <w:color w:val="000000"/>
                <w:sz w:val="24"/>
                <w:highlight w:val="none"/>
                <w:lang w:val="en-US" w:eastAsia="zh-CN"/>
              </w:rPr>
              <w:t>Q</w:t>
            </w:r>
            <w:r>
              <w:rPr>
                <w:rFonts w:hint="eastAsia" w:ascii="Times New Roman" w:hAnsi="Times New Roman" w:eastAsia="宋体" w:cs="Times New Roman"/>
                <w:color w:val="000000"/>
                <w:sz w:val="24"/>
                <w:highlight w:val="none"/>
                <w:lang w:val="en-US" w:eastAsia="zh-CN"/>
              </w:rPr>
              <w:t>—风量，m</w:t>
            </w:r>
            <w:r>
              <w:rPr>
                <w:rFonts w:hint="eastAsia" w:ascii="Times New Roman" w:hAnsi="Times New Roman" w:eastAsia="宋体" w:cs="Times New Roman"/>
                <w:color w:val="000000"/>
                <w:sz w:val="24"/>
                <w:highlight w:val="none"/>
                <w:vertAlign w:val="superscript"/>
                <w:lang w:val="en-US" w:eastAsia="zh-CN"/>
              </w:rPr>
              <w:t>3</w:t>
            </w:r>
            <w:r>
              <w:rPr>
                <w:rFonts w:hint="eastAsia" w:ascii="Times New Roman" w:hAnsi="Times New Roman" w:eastAsia="宋体" w:cs="Times New Roman"/>
                <w:color w:val="000000"/>
                <w:sz w:val="24"/>
                <w:highlight w:val="none"/>
                <w:lang w:val="en-US" w:eastAsia="zh-CN"/>
              </w:rPr>
              <w:t>/h；</w:t>
            </w:r>
          </w:p>
          <w:p w14:paraId="48FA52DF">
            <w:pPr>
              <w:keepNext w:val="0"/>
              <w:keepLines w:val="0"/>
              <w:suppressLineNumbers w:val="0"/>
              <w:adjustRightInd w:val="0"/>
              <w:snapToGrid w:val="0"/>
              <w:spacing w:before="0" w:beforeAutospacing="0" w:after="0" w:afterAutospacing="0" w:line="360" w:lineRule="auto"/>
              <w:ind w:left="0" w:right="0"/>
              <w:jc w:val="left"/>
              <w:rPr>
                <w:rFonts w:hint="default" w:eastAsia="宋体" w:cs="Times New Roman"/>
                <w:color w:val="000000"/>
                <w:sz w:val="24"/>
                <w:highlight w:val="none"/>
                <w:lang w:val="en-US" w:eastAsia="zh-CN"/>
              </w:rPr>
            </w:pPr>
            <w:r>
              <w:rPr>
                <w:rFonts w:hint="eastAsia" w:cs="Times New Roman"/>
                <w:color w:val="000000"/>
                <w:sz w:val="24"/>
                <w:highlight w:val="none"/>
                <w:lang w:val="en-US" w:eastAsia="zh-CN"/>
              </w:rPr>
              <w:t>n—换气次数</w:t>
            </w:r>
            <w:r>
              <w:rPr>
                <w:rFonts w:hint="eastAsia" w:ascii="Times New Roman" w:hAnsi="Times New Roman" w:eastAsia="宋体" w:cs="Times New Roman"/>
                <w:color w:val="000000"/>
                <w:sz w:val="24"/>
                <w:highlight w:val="none"/>
                <w:lang w:val="en-US" w:eastAsia="zh-CN"/>
              </w:rPr>
              <w:t>，次，</w:t>
            </w:r>
            <w:r>
              <w:rPr>
                <w:rFonts w:hint="eastAsia" w:ascii="Times New Roman" w:hAnsi="Times New Roman" w:eastAsia="宋体" w:cs="宋体"/>
                <w:sz w:val="24"/>
                <w:szCs w:val="24"/>
              </w:rPr>
              <w:t>一般工业车间8-15次/h</w:t>
            </w:r>
            <w:r>
              <w:rPr>
                <w:rFonts w:hint="eastAsia" w:ascii="Times New Roman" w:hAnsi="Times New Roman" w:eastAsia="宋体" w:cs="宋体"/>
                <w:sz w:val="24"/>
                <w:szCs w:val="24"/>
                <w:lang w:eastAsia="zh-CN"/>
              </w:rPr>
              <w:t>，</w:t>
            </w:r>
            <w:r>
              <w:rPr>
                <w:rFonts w:hint="eastAsia" w:ascii="Times New Roman" w:hAnsi="Times New Roman" w:eastAsia="宋体" w:cs="宋体"/>
                <w:sz w:val="24"/>
                <w:szCs w:val="24"/>
                <w:lang w:val="en-US" w:eastAsia="zh-CN"/>
              </w:rPr>
              <w:t>本项目取</w:t>
            </w:r>
            <w:r>
              <w:rPr>
                <w:rFonts w:hint="eastAsia" w:cs="宋体"/>
                <w:sz w:val="24"/>
                <w:szCs w:val="24"/>
                <w:lang w:val="en-US" w:eastAsia="zh-CN"/>
              </w:rPr>
              <w:t>15</w:t>
            </w:r>
            <w:r>
              <w:rPr>
                <w:rFonts w:hint="eastAsia" w:ascii="Times New Roman" w:hAnsi="Times New Roman" w:eastAsia="宋体" w:cs="宋体"/>
                <w:sz w:val="24"/>
                <w:szCs w:val="24"/>
                <w:lang w:val="en-US" w:eastAsia="zh-CN"/>
              </w:rPr>
              <w:t>次/h；</w:t>
            </w:r>
          </w:p>
          <w:p w14:paraId="1D7CA8CD">
            <w:pPr>
              <w:keepNext w:val="0"/>
              <w:keepLines w:val="0"/>
              <w:suppressLineNumbers w:val="0"/>
              <w:adjustRightInd w:val="0"/>
              <w:snapToGrid w:val="0"/>
              <w:spacing w:before="0" w:beforeAutospacing="0" w:after="0" w:afterAutospacing="0" w:line="360" w:lineRule="auto"/>
              <w:ind w:left="0" w:right="0"/>
              <w:jc w:val="left"/>
              <w:rPr>
                <w:rFonts w:hint="eastAsia" w:cs="Times New Roman"/>
                <w:color w:val="000000"/>
                <w:sz w:val="24"/>
                <w:highlight w:val="none"/>
                <w:lang w:val="en-US" w:eastAsia="zh-CN"/>
              </w:rPr>
            </w:pPr>
            <w:r>
              <w:rPr>
                <w:rFonts w:hint="default" w:cs="Times New Roman"/>
                <w:color w:val="000000"/>
                <w:sz w:val="24"/>
                <w:highlight w:val="none"/>
                <w:lang w:val="en-US" w:eastAsia="zh-CN"/>
              </w:rPr>
              <w:t>V</w:t>
            </w:r>
            <w:r>
              <w:rPr>
                <w:rFonts w:hint="eastAsia" w:cs="Times New Roman"/>
                <w:color w:val="000000"/>
                <w:sz w:val="24"/>
                <w:highlight w:val="none"/>
                <w:lang w:val="en-US" w:eastAsia="zh-CN"/>
              </w:rPr>
              <w:t>—</w:t>
            </w:r>
            <w:r>
              <w:rPr>
                <w:rFonts w:hint="default" w:cs="Times New Roman"/>
                <w:color w:val="000000"/>
                <w:sz w:val="24"/>
                <w:highlight w:val="none"/>
                <w:lang w:val="en-US" w:eastAsia="zh-CN"/>
              </w:rPr>
              <w:t>车间体积</w:t>
            </w:r>
            <w:r>
              <w:rPr>
                <w:rFonts w:hint="eastAsia" w:cs="Times New Roman"/>
                <w:color w:val="000000"/>
                <w:sz w:val="24"/>
                <w:highlight w:val="none"/>
                <w:lang w:val="en-US" w:eastAsia="zh-CN"/>
              </w:rPr>
              <w:t>，</w:t>
            </w:r>
            <w:r>
              <w:rPr>
                <w:rFonts w:hint="default" w:cs="Times New Roman"/>
                <w:color w:val="000000"/>
                <w:sz w:val="24"/>
                <w:highlight w:val="none"/>
                <w:lang w:val="en-US" w:eastAsia="zh-CN"/>
              </w:rPr>
              <w:t>m³</w:t>
            </w:r>
            <w:r>
              <w:rPr>
                <w:rFonts w:hint="eastAsia" w:cs="Times New Roman"/>
                <w:color w:val="000000"/>
                <w:sz w:val="24"/>
                <w:highlight w:val="none"/>
                <w:lang w:val="en-US" w:eastAsia="zh-CN"/>
              </w:rPr>
              <w:t>，本项目单条生产线车间体积V=35m*9m*2.5m=787.5</w:t>
            </w:r>
            <w:r>
              <w:rPr>
                <w:rFonts w:hint="default" w:cs="Times New Roman"/>
                <w:color w:val="000000"/>
                <w:sz w:val="24"/>
                <w:highlight w:val="none"/>
                <w:lang w:val="en-US" w:eastAsia="zh-CN"/>
              </w:rPr>
              <w:t>m³</w:t>
            </w:r>
            <w:r>
              <w:rPr>
                <w:rFonts w:hint="eastAsia" w:cs="Times New Roman"/>
                <w:color w:val="000000"/>
                <w:sz w:val="24"/>
                <w:highlight w:val="none"/>
                <w:lang w:val="en-US" w:eastAsia="zh-CN"/>
              </w:rPr>
              <w:t>；</w:t>
            </w:r>
          </w:p>
          <w:p w14:paraId="1D504D49">
            <w:pPr>
              <w:keepNext w:val="0"/>
              <w:keepLines w:val="0"/>
              <w:suppressLineNumbers w:val="0"/>
              <w:adjustRightInd w:val="0"/>
              <w:snapToGrid w:val="0"/>
              <w:spacing w:before="0" w:beforeAutospacing="0" w:after="0" w:afterAutospacing="0" w:line="360" w:lineRule="auto"/>
              <w:ind w:left="0" w:right="0"/>
              <w:jc w:val="left"/>
              <w:rPr>
                <w:rFonts w:hint="eastAsia" w:ascii="Times New Roman" w:hAnsi="Times New Roman" w:eastAsia="宋体" w:cs="Times New Roman"/>
                <w:color w:val="000000"/>
                <w:sz w:val="24"/>
                <w:highlight w:val="none"/>
                <w:lang w:val="en-US" w:eastAsia="zh-CN"/>
              </w:rPr>
            </w:pPr>
            <w:r>
              <w:rPr>
                <w:rFonts w:hint="eastAsia" w:cs="Times New Roman"/>
                <w:color w:val="000000"/>
                <w:sz w:val="24"/>
                <w:highlight w:val="none"/>
                <w:lang w:val="en-US" w:eastAsia="zh-CN"/>
              </w:rPr>
              <w:t>生产线1#</w:t>
            </w:r>
            <w:r>
              <w:rPr>
                <w:rFonts w:hint="eastAsia" w:cs="Times New Roman"/>
                <w:color w:val="auto"/>
                <w:kern w:val="0"/>
                <w:sz w:val="24"/>
                <w:szCs w:val="24"/>
                <w:lang w:val="en-US" w:eastAsia="zh-CN" w:bidi="ar-SA"/>
              </w:rPr>
              <w:t>喷漆、烘干及加烤工序车间</w:t>
            </w:r>
            <w:r>
              <w:rPr>
                <w:rFonts w:hint="eastAsia" w:cs="Times New Roman"/>
                <w:color w:val="000000"/>
                <w:sz w:val="24"/>
                <w:highlight w:val="none"/>
                <w:lang w:val="en-US" w:eastAsia="zh-CN"/>
              </w:rPr>
              <w:t>风机风量Q</w:t>
            </w:r>
            <w:r>
              <w:rPr>
                <w:rFonts w:hint="eastAsia" w:cs="Times New Roman"/>
                <w:color w:val="000000"/>
                <w:sz w:val="24"/>
                <w:highlight w:val="none"/>
                <w:vertAlign w:val="subscript"/>
                <w:lang w:val="en-US" w:eastAsia="zh-CN"/>
              </w:rPr>
              <w:t>1</w:t>
            </w:r>
            <w:r>
              <w:rPr>
                <w:rFonts w:hint="eastAsia" w:cs="Times New Roman"/>
                <w:color w:val="000000"/>
                <w:sz w:val="24"/>
                <w:highlight w:val="none"/>
                <w:vertAlign w:val="baseline"/>
                <w:lang w:val="en-US" w:eastAsia="zh-CN"/>
              </w:rPr>
              <w:t>=787.5</w:t>
            </w:r>
            <w:r>
              <w:rPr>
                <w:rFonts w:hint="default" w:ascii="Times New Roman" w:hAnsi="Times New Roman" w:cs="Arial"/>
                <w:b w:val="0"/>
                <w:bCs w:val="0"/>
                <w:iCs w:val="0"/>
                <w:color w:val="auto"/>
                <w:sz w:val="24"/>
                <w:lang w:val="en-US" w:eastAsia="zh-CN"/>
              </w:rPr>
              <w:t>×</w:t>
            </w:r>
            <w:r>
              <w:rPr>
                <w:rFonts w:hint="eastAsia" w:ascii="Times New Roman" w:hAnsi="Times New Roman" w:cs="Arial"/>
                <w:b w:val="0"/>
                <w:bCs w:val="0"/>
                <w:iCs w:val="0"/>
                <w:color w:val="auto"/>
                <w:sz w:val="24"/>
                <w:lang w:val="en-US" w:eastAsia="zh-CN"/>
              </w:rPr>
              <w:t>15=</w:t>
            </w:r>
            <w:r>
              <w:rPr>
                <w:rFonts w:hint="eastAsia" w:cs="Arial"/>
                <w:b w:val="0"/>
                <w:bCs w:val="0"/>
                <w:iCs w:val="0"/>
                <w:color w:val="auto"/>
                <w:sz w:val="24"/>
                <w:lang w:val="en-US" w:eastAsia="zh-CN"/>
              </w:rPr>
              <w:t>11812.5</w:t>
            </w:r>
            <w:r>
              <w:rPr>
                <w:rFonts w:hint="eastAsia" w:ascii="Times New Roman" w:hAnsi="Times New Roman" w:eastAsia="宋体" w:cs="Times New Roman"/>
                <w:color w:val="000000"/>
                <w:sz w:val="24"/>
                <w:highlight w:val="none"/>
                <w:lang w:val="en-US" w:eastAsia="zh-CN"/>
              </w:rPr>
              <w:t>m</w:t>
            </w:r>
            <w:r>
              <w:rPr>
                <w:rFonts w:hint="eastAsia" w:ascii="Times New Roman" w:hAnsi="Times New Roman" w:eastAsia="宋体" w:cs="Times New Roman"/>
                <w:color w:val="000000"/>
                <w:sz w:val="24"/>
                <w:highlight w:val="none"/>
                <w:vertAlign w:val="superscript"/>
                <w:lang w:val="en-US" w:eastAsia="zh-CN"/>
              </w:rPr>
              <w:t>3</w:t>
            </w:r>
            <w:r>
              <w:rPr>
                <w:rFonts w:hint="eastAsia" w:ascii="Times New Roman" w:hAnsi="Times New Roman" w:eastAsia="宋体" w:cs="Times New Roman"/>
                <w:color w:val="000000"/>
                <w:sz w:val="24"/>
                <w:highlight w:val="none"/>
                <w:lang w:val="en-US" w:eastAsia="zh-CN"/>
              </w:rPr>
              <w:t>/h，本项目设计</w:t>
            </w:r>
            <w:r>
              <w:rPr>
                <w:rFonts w:hint="eastAsia" w:cs="Times New Roman"/>
                <w:color w:val="000000"/>
                <w:sz w:val="24"/>
                <w:highlight w:val="none"/>
                <w:lang w:val="en-US" w:eastAsia="zh-CN"/>
              </w:rPr>
              <w:t>3</w:t>
            </w:r>
            <w:r>
              <w:rPr>
                <w:rFonts w:hint="eastAsia" w:ascii="Times New Roman" w:hAnsi="Times New Roman" w:eastAsia="宋体" w:cs="Times New Roman"/>
                <w:color w:val="000000"/>
                <w:sz w:val="24"/>
                <w:highlight w:val="none"/>
                <w:lang w:val="en-US" w:eastAsia="zh-CN"/>
              </w:rPr>
              <w:t>台风机，生产线1#对应的风机1#风量设计20000m</w:t>
            </w:r>
            <w:r>
              <w:rPr>
                <w:rFonts w:hint="eastAsia" w:ascii="Times New Roman" w:hAnsi="Times New Roman" w:eastAsia="宋体" w:cs="Times New Roman"/>
                <w:color w:val="000000"/>
                <w:sz w:val="24"/>
                <w:highlight w:val="none"/>
                <w:vertAlign w:val="superscript"/>
                <w:lang w:val="en-US" w:eastAsia="zh-CN"/>
              </w:rPr>
              <w:t>3</w:t>
            </w:r>
            <w:r>
              <w:rPr>
                <w:rFonts w:hint="eastAsia" w:ascii="Times New Roman" w:hAnsi="Times New Roman" w:eastAsia="宋体" w:cs="Times New Roman"/>
                <w:color w:val="000000"/>
                <w:sz w:val="24"/>
                <w:highlight w:val="none"/>
                <w:lang w:val="en-US" w:eastAsia="zh-CN"/>
              </w:rPr>
              <w:t>/h，满足当前项目需求。</w:t>
            </w:r>
            <w:r>
              <w:rPr>
                <w:rFonts w:hint="eastAsia"/>
                <w:lang w:val="en-US" w:eastAsia="zh-CN"/>
              </w:rPr>
              <w:t>生产线2#</w:t>
            </w:r>
            <w:r>
              <w:rPr>
                <w:rFonts w:hint="eastAsia" w:cs="Times New Roman"/>
                <w:color w:val="auto"/>
                <w:kern w:val="0"/>
                <w:sz w:val="24"/>
                <w:szCs w:val="24"/>
                <w:lang w:val="en-US" w:eastAsia="zh-CN" w:bidi="ar-SA"/>
              </w:rPr>
              <w:t>、生产线3#喷漆、烘干及加烤工序车间收集系统与生产线1#相同，</w:t>
            </w:r>
            <w:r>
              <w:rPr>
                <w:rFonts w:hint="eastAsia" w:ascii="Times New Roman" w:hAnsi="Times New Roman" w:eastAsia="宋体" w:cs="Times New Roman"/>
                <w:color w:val="000000"/>
                <w:sz w:val="24"/>
                <w:highlight w:val="none"/>
                <w:lang w:val="en-US" w:eastAsia="zh-CN"/>
              </w:rPr>
              <w:t>生产线2#</w:t>
            </w:r>
            <w:r>
              <w:rPr>
                <w:rFonts w:hint="eastAsia" w:cs="Times New Roman"/>
                <w:color w:val="auto"/>
                <w:kern w:val="0"/>
                <w:sz w:val="24"/>
                <w:szCs w:val="24"/>
                <w:lang w:val="en-US" w:eastAsia="zh-CN" w:bidi="ar-SA"/>
              </w:rPr>
              <w:t>、生产线3#</w:t>
            </w:r>
            <w:r>
              <w:rPr>
                <w:rFonts w:hint="eastAsia" w:ascii="Times New Roman" w:hAnsi="Times New Roman" w:eastAsia="宋体" w:cs="Times New Roman"/>
                <w:color w:val="000000"/>
                <w:sz w:val="24"/>
                <w:highlight w:val="none"/>
                <w:lang w:val="en-US" w:eastAsia="zh-CN"/>
              </w:rPr>
              <w:t>对应的风机风量设计20000m</w:t>
            </w:r>
            <w:r>
              <w:rPr>
                <w:rFonts w:hint="eastAsia" w:ascii="Times New Roman" w:hAnsi="Times New Roman" w:eastAsia="宋体" w:cs="Times New Roman"/>
                <w:color w:val="000000"/>
                <w:sz w:val="24"/>
                <w:highlight w:val="none"/>
                <w:vertAlign w:val="superscript"/>
                <w:lang w:val="en-US" w:eastAsia="zh-CN"/>
              </w:rPr>
              <w:t>3</w:t>
            </w:r>
            <w:r>
              <w:rPr>
                <w:rFonts w:hint="eastAsia" w:ascii="Times New Roman" w:hAnsi="Times New Roman" w:eastAsia="宋体" w:cs="Times New Roman"/>
                <w:color w:val="000000"/>
                <w:sz w:val="24"/>
                <w:highlight w:val="none"/>
                <w:lang w:val="en-US" w:eastAsia="zh-CN"/>
              </w:rPr>
              <w:t>/h，综上本项目两条生产线设计风量满足需求。</w:t>
            </w:r>
          </w:p>
          <w:p w14:paraId="683FF3FA">
            <w:pPr>
              <w:pStyle w:val="39"/>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表4.2-3 项目废气集气及废气治理设施情况一览表</w:t>
            </w:r>
          </w:p>
          <w:tbl>
            <w:tblPr>
              <w:tblStyle w:val="29"/>
              <w:tblW w:w="5000" w:type="pct"/>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68"/>
              <w:gridCol w:w="795"/>
              <w:gridCol w:w="1009"/>
              <w:gridCol w:w="1801"/>
              <w:gridCol w:w="1355"/>
              <w:gridCol w:w="1281"/>
              <w:gridCol w:w="1106"/>
            </w:tblGrid>
            <w:tr w14:paraId="35841DD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582" w:type="pct"/>
                  <w:tcBorders>
                    <w:top w:val="single" w:color="000000" w:sz="12" w:space="0"/>
                    <w:left w:val="nil"/>
                    <w:tl2br w:val="nil"/>
                  </w:tcBorders>
                  <w:shd w:val="clear" w:color="auto" w:fill="auto"/>
                  <w:noWrap/>
                  <w:vAlign w:val="center"/>
                </w:tcPr>
                <w:p w14:paraId="338B3681">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生产线</w:t>
                  </w:r>
                </w:p>
              </w:tc>
              <w:tc>
                <w:tcPr>
                  <w:tcW w:w="478" w:type="pct"/>
                  <w:tcBorders>
                    <w:top w:val="single" w:color="000000" w:sz="12" w:space="0"/>
                  </w:tcBorders>
                  <w:shd w:val="clear" w:color="auto" w:fill="auto"/>
                  <w:noWrap/>
                  <w:vAlign w:val="center"/>
                </w:tcPr>
                <w:p w14:paraId="6765F2B7">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集气方式</w:t>
                  </w:r>
                </w:p>
              </w:tc>
              <w:tc>
                <w:tcPr>
                  <w:tcW w:w="606" w:type="pct"/>
                  <w:tcBorders>
                    <w:top w:val="single" w:color="000000" w:sz="12" w:space="0"/>
                  </w:tcBorders>
                  <w:shd w:val="clear" w:color="auto" w:fill="auto"/>
                  <w:noWrap/>
                  <w:vAlign w:val="center"/>
                </w:tcPr>
                <w:p w14:paraId="2E400C90">
                  <w:pPr>
                    <w:pStyle w:val="38"/>
                    <w:keepNext w:val="0"/>
                    <w:keepLines w:val="0"/>
                    <w:widowControl/>
                    <w:suppressLineNumbers w:val="0"/>
                    <w:bidi w:val="0"/>
                    <w:spacing w:before="0" w:beforeAutospacing="0" w:after="0" w:afterAutospacing="0"/>
                    <w:ind w:left="0" w:right="0"/>
                    <w:rPr>
                      <w:rFonts w:hint="default"/>
                      <w:b w:val="0"/>
                      <w:color w:val="000000"/>
                      <w:szCs w:val="22"/>
                      <w:lang w:val="en-US"/>
                    </w:rPr>
                  </w:pPr>
                  <w:r>
                    <w:rPr>
                      <w:rFonts w:hint="eastAsia"/>
                      <w:b w:val="0"/>
                      <w:color w:val="000000"/>
                      <w:szCs w:val="22"/>
                      <w:lang w:val="en-US" w:eastAsia="zh-CN"/>
                    </w:rPr>
                    <w:t>车间体积</w:t>
                  </w:r>
                </w:p>
              </w:tc>
              <w:tc>
                <w:tcPr>
                  <w:tcW w:w="1082" w:type="pct"/>
                  <w:tcBorders>
                    <w:top w:val="single" w:color="000000" w:sz="12" w:space="0"/>
                  </w:tcBorders>
                  <w:shd w:val="clear" w:color="auto" w:fill="auto"/>
                  <w:noWrap/>
                  <w:vAlign w:val="center"/>
                </w:tcPr>
                <w:p w14:paraId="4CEB360A">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废气治理设施</w:t>
                  </w:r>
                </w:p>
              </w:tc>
              <w:tc>
                <w:tcPr>
                  <w:tcW w:w="814" w:type="pct"/>
                  <w:tcBorders>
                    <w:top w:val="single" w:color="000000" w:sz="12" w:space="0"/>
                  </w:tcBorders>
                  <w:shd w:val="clear" w:color="auto" w:fill="auto"/>
                  <w:noWrap/>
                  <w:vAlign w:val="center"/>
                </w:tcPr>
                <w:p w14:paraId="660B855A">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设计风机风量</w:t>
                  </w:r>
                </w:p>
              </w:tc>
              <w:tc>
                <w:tcPr>
                  <w:tcW w:w="770" w:type="pct"/>
                  <w:tcBorders>
                    <w:top w:val="single" w:color="000000" w:sz="12" w:space="0"/>
                  </w:tcBorders>
                  <w:shd w:val="clear" w:color="auto" w:fill="auto"/>
                  <w:noWrap/>
                  <w:vAlign w:val="center"/>
                </w:tcPr>
                <w:p w14:paraId="3A6433A2">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理论风量</w:t>
                  </w:r>
                </w:p>
              </w:tc>
              <w:tc>
                <w:tcPr>
                  <w:tcW w:w="664" w:type="pct"/>
                  <w:tcBorders>
                    <w:top w:val="single" w:color="000000" w:sz="12" w:space="0"/>
                    <w:right w:val="nil"/>
                  </w:tcBorders>
                  <w:shd w:val="clear" w:color="auto" w:fill="auto"/>
                  <w:noWrap/>
                  <w:vAlign w:val="center"/>
                </w:tcPr>
                <w:p w14:paraId="03937450">
                  <w:pPr>
                    <w:pStyle w:val="38"/>
                    <w:keepNext w:val="0"/>
                    <w:keepLines w:val="0"/>
                    <w:widowControl/>
                    <w:suppressLineNumbers w:val="0"/>
                    <w:bidi w:val="0"/>
                    <w:spacing w:before="0" w:beforeAutospacing="0" w:after="0" w:afterAutospacing="0"/>
                    <w:ind w:left="0" w:right="0"/>
                    <w:rPr>
                      <w:rFonts w:hint="default"/>
                      <w:b w:val="0"/>
                      <w:color w:val="000000"/>
                      <w:szCs w:val="22"/>
                      <w:lang w:val="en-US"/>
                    </w:rPr>
                  </w:pPr>
                  <w:r>
                    <w:rPr>
                      <w:rFonts w:hint="eastAsia"/>
                      <w:b w:val="0"/>
                      <w:color w:val="000000"/>
                      <w:szCs w:val="22"/>
                      <w:lang w:val="en-US" w:eastAsia="zh-CN"/>
                    </w:rPr>
                    <w:t>排气筒编号</w:t>
                  </w:r>
                </w:p>
              </w:tc>
            </w:tr>
            <w:tr w14:paraId="1192DF4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4" w:hRule="atLeast"/>
              </w:trPr>
              <w:tc>
                <w:tcPr>
                  <w:tcW w:w="582" w:type="pct"/>
                  <w:tcBorders>
                    <w:left w:val="nil"/>
                  </w:tcBorders>
                  <w:shd w:val="clear" w:color="auto" w:fill="auto"/>
                  <w:noWrap/>
                  <w:vAlign w:val="center"/>
                </w:tcPr>
                <w:p w14:paraId="619BB2A4">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生产线1#</w:t>
                  </w:r>
                </w:p>
              </w:tc>
              <w:tc>
                <w:tcPr>
                  <w:tcW w:w="478" w:type="pct"/>
                  <w:vMerge w:val="restart"/>
                  <w:shd w:val="clear" w:color="auto" w:fill="auto"/>
                  <w:noWrap/>
                  <w:vAlign w:val="center"/>
                </w:tcPr>
                <w:p w14:paraId="27034580">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车间密闭负压收集</w:t>
                  </w:r>
                </w:p>
              </w:tc>
              <w:tc>
                <w:tcPr>
                  <w:tcW w:w="606" w:type="pct"/>
                  <w:shd w:val="clear" w:color="auto" w:fill="auto"/>
                  <w:noWrap/>
                  <w:vAlign w:val="center"/>
                </w:tcPr>
                <w:p w14:paraId="5E522E10">
                  <w:pPr>
                    <w:pStyle w:val="38"/>
                    <w:keepNext w:val="0"/>
                    <w:keepLines w:val="0"/>
                    <w:widowControl/>
                    <w:suppressLineNumbers w:val="0"/>
                    <w:bidi w:val="0"/>
                    <w:spacing w:before="0" w:beforeAutospacing="0" w:after="0" w:afterAutospacing="0"/>
                    <w:ind w:left="0" w:right="0"/>
                    <w:rPr>
                      <w:rFonts w:hint="default"/>
                      <w:b w:val="0"/>
                      <w:color w:val="000000"/>
                      <w:szCs w:val="22"/>
                    </w:rPr>
                  </w:pPr>
                  <w:r>
                    <w:rPr>
                      <w:rFonts w:hint="eastAsia"/>
                      <w:b w:val="0"/>
                      <w:color w:val="000000"/>
                      <w:szCs w:val="22"/>
                      <w:lang w:val="en-US" w:eastAsia="zh-CN"/>
                    </w:rPr>
                    <w:t>787.5m</w:t>
                  </w:r>
                  <w:r>
                    <w:rPr>
                      <w:rFonts w:hint="default" w:cs="Times New Roman"/>
                      <w:color w:val="000000"/>
                      <w:sz w:val="24"/>
                      <w:szCs w:val="22"/>
                      <w:highlight w:val="none"/>
                      <w:lang w:val="en-US" w:eastAsia="zh-CN"/>
                    </w:rPr>
                    <w:t>³</w:t>
                  </w:r>
                </w:p>
              </w:tc>
              <w:tc>
                <w:tcPr>
                  <w:tcW w:w="1082" w:type="pct"/>
                  <w:shd w:val="clear" w:color="auto" w:fill="auto"/>
                  <w:vAlign w:val="center"/>
                </w:tcPr>
                <w:p w14:paraId="48B04FC8">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“过滤棉+二级活性炭吸附装置”1#</w:t>
                  </w:r>
                </w:p>
              </w:tc>
              <w:tc>
                <w:tcPr>
                  <w:tcW w:w="814" w:type="pct"/>
                  <w:shd w:val="clear" w:color="auto" w:fill="auto"/>
                  <w:noWrap/>
                  <w:vAlign w:val="center"/>
                </w:tcPr>
                <w:p w14:paraId="77C7A05B">
                  <w:pPr>
                    <w:pStyle w:val="38"/>
                    <w:keepNext w:val="0"/>
                    <w:keepLines w:val="0"/>
                    <w:widowControl/>
                    <w:suppressLineNumbers w:val="0"/>
                    <w:bidi w:val="0"/>
                    <w:spacing w:before="0" w:beforeAutospacing="0" w:after="0" w:afterAutospacing="0"/>
                    <w:ind w:left="0" w:right="0"/>
                    <w:rPr>
                      <w:rFonts w:hint="default"/>
                      <w:b w:val="0"/>
                      <w:color w:val="000000"/>
                      <w:szCs w:val="22"/>
                      <w:vertAlign w:val="baseline"/>
                      <w:lang w:val="en-US"/>
                    </w:rPr>
                  </w:pPr>
                  <w:r>
                    <w:rPr>
                      <w:rFonts w:hint="eastAsia"/>
                      <w:b w:val="0"/>
                      <w:color w:val="000000"/>
                      <w:szCs w:val="22"/>
                      <w:lang w:val="en-US" w:eastAsia="zh-CN"/>
                    </w:rPr>
                    <w:t>20000m</w:t>
                  </w:r>
                  <w:r>
                    <w:rPr>
                      <w:rFonts w:hint="eastAsia"/>
                      <w:b w:val="0"/>
                      <w:color w:val="000000"/>
                      <w:szCs w:val="22"/>
                      <w:vertAlign w:val="superscript"/>
                      <w:lang w:val="en-US" w:eastAsia="zh-CN"/>
                    </w:rPr>
                    <w:t>3</w:t>
                  </w:r>
                  <w:r>
                    <w:rPr>
                      <w:rFonts w:hint="eastAsia"/>
                      <w:b w:val="0"/>
                      <w:color w:val="000000"/>
                      <w:szCs w:val="22"/>
                      <w:vertAlign w:val="baseline"/>
                      <w:lang w:val="en-US" w:eastAsia="zh-CN"/>
                    </w:rPr>
                    <w:t>/h</w:t>
                  </w:r>
                </w:p>
              </w:tc>
              <w:tc>
                <w:tcPr>
                  <w:tcW w:w="770" w:type="pct"/>
                  <w:shd w:val="clear" w:color="auto" w:fill="auto"/>
                  <w:noWrap/>
                  <w:vAlign w:val="center"/>
                </w:tcPr>
                <w:p w14:paraId="2C013A68">
                  <w:pPr>
                    <w:pStyle w:val="38"/>
                    <w:keepNext w:val="0"/>
                    <w:keepLines w:val="0"/>
                    <w:widowControl/>
                    <w:suppressLineNumbers w:val="0"/>
                    <w:bidi w:val="0"/>
                    <w:spacing w:before="0" w:beforeAutospacing="0" w:after="0" w:afterAutospacing="0"/>
                    <w:ind w:left="0" w:right="0"/>
                    <w:rPr>
                      <w:rFonts w:hint="default"/>
                      <w:b w:val="0"/>
                      <w:color w:val="000000"/>
                      <w:szCs w:val="22"/>
                      <w:lang w:val="en-US"/>
                    </w:rPr>
                  </w:pPr>
                  <w:r>
                    <w:rPr>
                      <w:rFonts w:hint="eastAsia"/>
                      <w:b w:val="0"/>
                      <w:color w:val="000000"/>
                      <w:szCs w:val="22"/>
                      <w:lang w:val="en-US" w:eastAsia="zh-CN"/>
                    </w:rPr>
                    <w:t>11812.5m</w:t>
                  </w:r>
                  <w:r>
                    <w:rPr>
                      <w:rFonts w:hint="eastAsia"/>
                      <w:b w:val="0"/>
                      <w:color w:val="000000"/>
                      <w:szCs w:val="22"/>
                      <w:vertAlign w:val="superscript"/>
                      <w:lang w:val="en-US" w:eastAsia="zh-CN"/>
                    </w:rPr>
                    <w:t>3</w:t>
                  </w:r>
                  <w:r>
                    <w:rPr>
                      <w:rFonts w:hint="eastAsia"/>
                      <w:b w:val="0"/>
                      <w:color w:val="000000"/>
                      <w:szCs w:val="22"/>
                      <w:vertAlign w:val="baseline"/>
                      <w:lang w:val="en-US" w:eastAsia="zh-CN"/>
                    </w:rPr>
                    <w:t>/h</w:t>
                  </w:r>
                </w:p>
              </w:tc>
              <w:tc>
                <w:tcPr>
                  <w:tcW w:w="664" w:type="pct"/>
                  <w:tcBorders>
                    <w:right w:val="nil"/>
                  </w:tcBorders>
                  <w:shd w:val="clear" w:color="auto" w:fill="auto"/>
                  <w:noWrap/>
                  <w:vAlign w:val="center"/>
                </w:tcPr>
                <w:p w14:paraId="5DA88590">
                  <w:pPr>
                    <w:pStyle w:val="38"/>
                    <w:keepNext w:val="0"/>
                    <w:keepLines w:val="0"/>
                    <w:widowControl/>
                    <w:suppressLineNumbers w:val="0"/>
                    <w:bidi w:val="0"/>
                    <w:spacing w:before="0" w:beforeAutospacing="0" w:after="0" w:afterAutospacing="0"/>
                    <w:ind w:left="0" w:right="0"/>
                    <w:rPr>
                      <w:rFonts w:hint="eastAsia"/>
                      <w:b w:val="0"/>
                      <w:color w:val="000000"/>
                      <w:szCs w:val="22"/>
                      <w:lang w:val="en-US" w:eastAsia="zh-CN"/>
                    </w:rPr>
                  </w:pPr>
                  <w:r>
                    <w:rPr>
                      <w:rFonts w:hint="eastAsia"/>
                      <w:b w:val="0"/>
                      <w:color w:val="000000"/>
                      <w:szCs w:val="22"/>
                      <w:lang w:val="en-US" w:eastAsia="zh-CN"/>
                    </w:rPr>
                    <w:t>DA001</w:t>
                  </w:r>
                </w:p>
                <w:p w14:paraId="0842D9A3">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（15m）</w:t>
                  </w:r>
                </w:p>
              </w:tc>
            </w:tr>
            <w:tr w14:paraId="39AD415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582" w:type="pct"/>
                  <w:tcBorders>
                    <w:left w:val="nil"/>
                  </w:tcBorders>
                  <w:shd w:val="clear" w:color="auto" w:fill="auto"/>
                  <w:noWrap/>
                  <w:vAlign w:val="center"/>
                </w:tcPr>
                <w:p w14:paraId="0F792998">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生产线2#</w:t>
                  </w:r>
                </w:p>
              </w:tc>
              <w:tc>
                <w:tcPr>
                  <w:tcW w:w="478" w:type="pct"/>
                  <w:vMerge w:val="continue"/>
                  <w:shd w:val="clear" w:color="auto" w:fill="auto"/>
                  <w:noWrap/>
                  <w:vAlign w:val="center"/>
                </w:tcPr>
                <w:p w14:paraId="5276803E">
                  <w:pPr>
                    <w:pStyle w:val="38"/>
                    <w:keepNext w:val="0"/>
                    <w:keepLines w:val="0"/>
                    <w:widowControl/>
                    <w:suppressLineNumbers w:val="0"/>
                    <w:bidi w:val="0"/>
                    <w:spacing w:before="0" w:beforeAutospacing="0" w:after="0" w:afterAutospacing="0"/>
                    <w:ind w:left="0" w:right="0"/>
                    <w:rPr>
                      <w:rFonts w:hint="eastAsia"/>
                      <w:b w:val="0"/>
                      <w:color w:val="000000"/>
                      <w:szCs w:val="22"/>
                    </w:rPr>
                  </w:pPr>
                </w:p>
              </w:tc>
              <w:tc>
                <w:tcPr>
                  <w:tcW w:w="606" w:type="pct"/>
                  <w:shd w:val="clear" w:color="auto" w:fill="auto"/>
                  <w:noWrap/>
                  <w:vAlign w:val="center"/>
                </w:tcPr>
                <w:p w14:paraId="6E31F515">
                  <w:pPr>
                    <w:pStyle w:val="38"/>
                    <w:keepNext w:val="0"/>
                    <w:keepLines w:val="0"/>
                    <w:widowControl/>
                    <w:suppressLineNumbers w:val="0"/>
                    <w:bidi w:val="0"/>
                    <w:spacing w:before="0" w:beforeAutospacing="0" w:after="0" w:afterAutospacing="0"/>
                    <w:ind w:left="0" w:right="0"/>
                    <w:rPr>
                      <w:rFonts w:hint="default"/>
                      <w:b w:val="0"/>
                      <w:color w:val="000000"/>
                      <w:szCs w:val="22"/>
                    </w:rPr>
                  </w:pPr>
                  <w:r>
                    <w:rPr>
                      <w:rFonts w:hint="eastAsia"/>
                      <w:b w:val="0"/>
                      <w:color w:val="000000"/>
                      <w:szCs w:val="22"/>
                      <w:lang w:val="en-US" w:eastAsia="zh-CN"/>
                    </w:rPr>
                    <w:t>787.5m</w:t>
                  </w:r>
                  <w:r>
                    <w:rPr>
                      <w:rFonts w:hint="default" w:cs="Times New Roman"/>
                      <w:color w:val="000000"/>
                      <w:sz w:val="24"/>
                      <w:szCs w:val="22"/>
                      <w:highlight w:val="none"/>
                      <w:lang w:val="en-US" w:eastAsia="zh-CN"/>
                    </w:rPr>
                    <w:t>³</w:t>
                  </w:r>
                </w:p>
              </w:tc>
              <w:tc>
                <w:tcPr>
                  <w:tcW w:w="1082" w:type="pct"/>
                  <w:shd w:val="clear" w:color="auto" w:fill="auto"/>
                  <w:vAlign w:val="center"/>
                </w:tcPr>
                <w:p w14:paraId="7A5CCFD4">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“过滤棉+二级活性炭吸附装置”2#</w:t>
                  </w:r>
                </w:p>
              </w:tc>
              <w:tc>
                <w:tcPr>
                  <w:tcW w:w="814" w:type="pct"/>
                  <w:shd w:val="clear" w:color="auto" w:fill="auto"/>
                  <w:noWrap/>
                  <w:vAlign w:val="center"/>
                </w:tcPr>
                <w:p w14:paraId="7FF7A1E0">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20000m</w:t>
                  </w:r>
                  <w:r>
                    <w:rPr>
                      <w:rFonts w:hint="eastAsia"/>
                      <w:b w:val="0"/>
                      <w:color w:val="000000"/>
                      <w:szCs w:val="22"/>
                      <w:vertAlign w:val="superscript"/>
                      <w:lang w:val="en-US" w:eastAsia="zh-CN"/>
                    </w:rPr>
                    <w:t>3</w:t>
                  </w:r>
                  <w:r>
                    <w:rPr>
                      <w:rFonts w:hint="eastAsia"/>
                      <w:b w:val="0"/>
                      <w:color w:val="000000"/>
                      <w:szCs w:val="22"/>
                      <w:vertAlign w:val="baseline"/>
                      <w:lang w:val="en-US" w:eastAsia="zh-CN"/>
                    </w:rPr>
                    <w:t>/h</w:t>
                  </w:r>
                </w:p>
              </w:tc>
              <w:tc>
                <w:tcPr>
                  <w:tcW w:w="770" w:type="pct"/>
                  <w:shd w:val="clear" w:color="auto" w:fill="auto"/>
                  <w:noWrap/>
                  <w:vAlign w:val="center"/>
                </w:tcPr>
                <w:p w14:paraId="62413778">
                  <w:pPr>
                    <w:pStyle w:val="38"/>
                    <w:keepNext w:val="0"/>
                    <w:keepLines w:val="0"/>
                    <w:widowControl/>
                    <w:suppressLineNumbers w:val="0"/>
                    <w:bidi w:val="0"/>
                    <w:spacing w:before="0" w:beforeAutospacing="0" w:after="0" w:afterAutospacing="0"/>
                    <w:ind w:left="0" w:leftChars="0" w:right="0" w:rightChars="0"/>
                    <w:rPr>
                      <w:rFonts w:hint="eastAsia"/>
                      <w:b w:val="0"/>
                      <w:color w:val="000000"/>
                      <w:szCs w:val="22"/>
                    </w:rPr>
                  </w:pPr>
                  <w:r>
                    <w:rPr>
                      <w:rFonts w:hint="eastAsia"/>
                      <w:b w:val="0"/>
                      <w:color w:val="000000"/>
                      <w:szCs w:val="22"/>
                      <w:lang w:val="en-US" w:eastAsia="zh-CN"/>
                    </w:rPr>
                    <w:t>11812.5m</w:t>
                  </w:r>
                  <w:r>
                    <w:rPr>
                      <w:rFonts w:hint="eastAsia"/>
                      <w:b w:val="0"/>
                      <w:color w:val="000000"/>
                      <w:szCs w:val="22"/>
                      <w:vertAlign w:val="superscript"/>
                      <w:lang w:val="en-US" w:eastAsia="zh-CN"/>
                    </w:rPr>
                    <w:t>3</w:t>
                  </w:r>
                  <w:r>
                    <w:rPr>
                      <w:rFonts w:hint="eastAsia"/>
                      <w:b w:val="0"/>
                      <w:color w:val="000000"/>
                      <w:szCs w:val="22"/>
                      <w:vertAlign w:val="baseline"/>
                      <w:lang w:val="en-US" w:eastAsia="zh-CN"/>
                    </w:rPr>
                    <w:t>/h</w:t>
                  </w:r>
                </w:p>
              </w:tc>
              <w:tc>
                <w:tcPr>
                  <w:tcW w:w="664" w:type="pct"/>
                  <w:tcBorders>
                    <w:right w:val="nil"/>
                  </w:tcBorders>
                  <w:shd w:val="clear" w:color="auto" w:fill="auto"/>
                  <w:noWrap/>
                  <w:vAlign w:val="center"/>
                </w:tcPr>
                <w:p w14:paraId="3458F1E7">
                  <w:pPr>
                    <w:pStyle w:val="38"/>
                    <w:keepNext w:val="0"/>
                    <w:keepLines w:val="0"/>
                    <w:widowControl/>
                    <w:suppressLineNumbers w:val="0"/>
                    <w:bidi w:val="0"/>
                    <w:spacing w:before="0" w:beforeAutospacing="0" w:after="0" w:afterAutospacing="0"/>
                    <w:ind w:left="0" w:right="0"/>
                    <w:rPr>
                      <w:rFonts w:hint="eastAsia"/>
                      <w:b w:val="0"/>
                      <w:color w:val="000000"/>
                      <w:szCs w:val="22"/>
                      <w:lang w:val="en-US" w:eastAsia="zh-CN"/>
                    </w:rPr>
                  </w:pPr>
                  <w:r>
                    <w:rPr>
                      <w:rFonts w:hint="eastAsia"/>
                      <w:b w:val="0"/>
                      <w:color w:val="000000"/>
                      <w:szCs w:val="22"/>
                      <w:lang w:val="en-US" w:eastAsia="zh-CN"/>
                    </w:rPr>
                    <w:t>DA002</w:t>
                  </w:r>
                </w:p>
                <w:p w14:paraId="456207DC">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（15m）</w:t>
                  </w:r>
                </w:p>
              </w:tc>
            </w:tr>
            <w:tr w14:paraId="124044A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4" w:hRule="atLeast"/>
              </w:trPr>
              <w:tc>
                <w:tcPr>
                  <w:tcW w:w="582" w:type="pct"/>
                  <w:tcBorders>
                    <w:left w:val="nil"/>
                    <w:bottom w:val="single" w:color="000000" w:sz="12" w:space="0"/>
                  </w:tcBorders>
                  <w:shd w:val="clear" w:color="auto" w:fill="auto"/>
                  <w:noWrap/>
                  <w:vAlign w:val="center"/>
                </w:tcPr>
                <w:p w14:paraId="69FE5759">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生产线3</w:t>
                  </w:r>
                </w:p>
              </w:tc>
              <w:tc>
                <w:tcPr>
                  <w:tcW w:w="478" w:type="pct"/>
                  <w:vMerge w:val="continue"/>
                  <w:tcBorders>
                    <w:bottom w:val="single" w:color="000000" w:sz="12" w:space="0"/>
                  </w:tcBorders>
                  <w:shd w:val="clear" w:color="auto" w:fill="auto"/>
                  <w:noWrap/>
                  <w:vAlign w:val="center"/>
                </w:tcPr>
                <w:p w14:paraId="574644FD">
                  <w:pPr>
                    <w:pStyle w:val="38"/>
                    <w:keepNext w:val="0"/>
                    <w:keepLines w:val="0"/>
                    <w:widowControl/>
                    <w:suppressLineNumbers w:val="0"/>
                    <w:bidi w:val="0"/>
                    <w:spacing w:before="0" w:beforeAutospacing="0" w:after="0" w:afterAutospacing="0"/>
                    <w:ind w:left="0" w:right="0"/>
                    <w:rPr>
                      <w:rFonts w:hint="eastAsia"/>
                      <w:b w:val="0"/>
                      <w:color w:val="000000"/>
                      <w:szCs w:val="22"/>
                    </w:rPr>
                  </w:pPr>
                </w:p>
              </w:tc>
              <w:tc>
                <w:tcPr>
                  <w:tcW w:w="606" w:type="pct"/>
                  <w:tcBorders>
                    <w:bottom w:val="single" w:color="000000" w:sz="12" w:space="0"/>
                  </w:tcBorders>
                  <w:shd w:val="clear" w:color="auto" w:fill="auto"/>
                  <w:noWrap/>
                  <w:vAlign w:val="center"/>
                </w:tcPr>
                <w:p w14:paraId="4733649F">
                  <w:pPr>
                    <w:pStyle w:val="38"/>
                    <w:keepNext w:val="0"/>
                    <w:keepLines w:val="0"/>
                    <w:widowControl/>
                    <w:suppressLineNumbers w:val="0"/>
                    <w:bidi w:val="0"/>
                    <w:spacing w:before="0" w:beforeAutospacing="0" w:after="0" w:afterAutospacing="0"/>
                    <w:ind w:left="0" w:right="0"/>
                    <w:rPr>
                      <w:rFonts w:hint="default"/>
                      <w:b w:val="0"/>
                      <w:color w:val="000000"/>
                      <w:szCs w:val="22"/>
                      <w:lang w:val="en-US" w:eastAsia="zh-CN"/>
                    </w:rPr>
                  </w:pPr>
                  <w:r>
                    <w:rPr>
                      <w:rFonts w:hint="eastAsia"/>
                      <w:b w:val="0"/>
                      <w:color w:val="000000"/>
                      <w:szCs w:val="22"/>
                      <w:lang w:val="en-US" w:eastAsia="zh-CN"/>
                    </w:rPr>
                    <w:t>787.5m</w:t>
                  </w:r>
                  <w:r>
                    <w:rPr>
                      <w:rFonts w:hint="default" w:cs="Times New Roman"/>
                      <w:color w:val="000000"/>
                      <w:sz w:val="24"/>
                      <w:szCs w:val="22"/>
                      <w:highlight w:val="none"/>
                      <w:lang w:val="en-US" w:eastAsia="zh-CN"/>
                    </w:rPr>
                    <w:t>³</w:t>
                  </w:r>
                </w:p>
              </w:tc>
              <w:tc>
                <w:tcPr>
                  <w:tcW w:w="1082" w:type="pct"/>
                  <w:tcBorders>
                    <w:bottom w:val="single" w:color="000000" w:sz="12" w:space="0"/>
                  </w:tcBorders>
                  <w:shd w:val="clear" w:color="auto" w:fill="auto"/>
                  <w:vAlign w:val="center"/>
                </w:tcPr>
                <w:p w14:paraId="670EFD6B">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“过滤棉+二级活性炭吸附装置”3#</w:t>
                  </w:r>
                </w:p>
              </w:tc>
              <w:tc>
                <w:tcPr>
                  <w:tcW w:w="814" w:type="pct"/>
                  <w:tcBorders>
                    <w:bottom w:val="single" w:color="000000" w:sz="12" w:space="0"/>
                  </w:tcBorders>
                  <w:shd w:val="clear" w:color="auto" w:fill="auto"/>
                  <w:noWrap/>
                  <w:vAlign w:val="center"/>
                </w:tcPr>
                <w:p w14:paraId="24EBBFB4">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20000m</w:t>
                  </w:r>
                  <w:r>
                    <w:rPr>
                      <w:rFonts w:hint="eastAsia"/>
                      <w:b w:val="0"/>
                      <w:color w:val="000000"/>
                      <w:szCs w:val="22"/>
                      <w:vertAlign w:val="superscript"/>
                      <w:lang w:val="en-US" w:eastAsia="zh-CN"/>
                    </w:rPr>
                    <w:t>3</w:t>
                  </w:r>
                  <w:r>
                    <w:rPr>
                      <w:rFonts w:hint="eastAsia"/>
                      <w:b w:val="0"/>
                      <w:color w:val="000000"/>
                      <w:szCs w:val="22"/>
                      <w:vertAlign w:val="baseline"/>
                      <w:lang w:val="en-US" w:eastAsia="zh-CN"/>
                    </w:rPr>
                    <w:t>/h</w:t>
                  </w:r>
                </w:p>
              </w:tc>
              <w:tc>
                <w:tcPr>
                  <w:tcW w:w="770" w:type="pct"/>
                  <w:tcBorders>
                    <w:bottom w:val="single" w:color="000000" w:sz="12" w:space="0"/>
                  </w:tcBorders>
                  <w:shd w:val="clear" w:color="auto" w:fill="auto"/>
                  <w:noWrap/>
                  <w:vAlign w:val="center"/>
                </w:tcPr>
                <w:p w14:paraId="0904207E">
                  <w:pPr>
                    <w:pStyle w:val="38"/>
                    <w:keepNext w:val="0"/>
                    <w:keepLines w:val="0"/>
                    <w:widowControl/>
                    <w:suppressLineNumbers w:val="0"/>
                    <w:bidi w:val="0"/>
                    <w:spacing w:before="0" w:beforeAutospacing="0" w:after="0" w:afterAutospacing="0"/>
                    <w:ind w:left="0" w:leftChars="0" w:right="0" w:rightChars="0"/>
                    <w:rPr>
                      <w:rFonts w:hint="eastAsia"/>
                      <w:b w:val="0"/>
                      <w:color w:val="000000"/>
                      <w:szCs w:val="22"/>
                    </w:rPr>
                  </w:pPr>
                  <w:r>
                    <w:rPr>
                      <w:rFonts w:hint="eastAsia"/>
                      <w:b w:val="0"/>
                      <w:color w:val="000000"/>
                      <w:szCs w:val="22"/>
                      <w:lang w:val="en-US" w:eastAsia="zh-CN"/>
                    </w:rPr>
                    <w:t>11812.5m</w:t>
                  </w:r>
                  <w:r>
                    <w:rPr>
                      <w:rFonts w:hint="eastAsia"/>
                      <w:b w:val="0"/>
                      <w:color w:val="000000"/>
                      <w:szCs w:val="22"/>
                      <w:vertAlign w:val="superscript"/>
                      <w:lang w:val="en-US" w:eastAsia="zh-CN"/>
                    </w:rPr>
                    <w:t>3</w:t>
                  </w:r>
                  <w:r>
                    <w:rPr>
                      <w:rFonts w:hint="eastAsia"/>
                      <w:b w:val="0"/>
                      <w:color w:val="000000"/>
                      <w:szCs w:val="22"/>
                      <w:vertAlign w:val="baseline"/>
                      <w:lang w:val="en-US" w:eastAsia="zh-CN"/>
                    </w:rPr>
                    <w:t>/h</w:t>
                  </w:r>
                </w:p>
              </w:tc>
              <w:tc>
                <w:tcPr>
                  <w:tcW w:w="664" w:type="pct"/>
                  <w:tcBorders>
                    <w:bottom w:val="single" w:color="000000" w:sz="12" w:space="0"/>
                    <w:right w:val="nil"/>
                  </w:tcBorders>
                  <w:shd w:val="clear" w:color="auto" w:fill="auto"/>
                  <w:noWrap/>
                  <w:vAlign w:val="center"/>
                </w:tcPr>
                <w:p w14:paraId="4FBA7509">
                  <w:pPr>
                    <w:pStyle w:val="38"/>
                    <w:keepNext w:val="0"/>
                    <w:keepLines w:val="0"/>
                    <w:widowControl/>
                    <w:suppressLineNumbers w:val="0"/>
                    <w:bidi w:val="0"/>
                    <w:spacing w:before="0" w:beforeAutospacing="0" w:after="0" w:afterAutospacing="0"/>
                    <w:ind w:left="0" w:right="0"/>
                    <w:rPr>
                      <w:rFonts w:hint="default"/>
                      <w:b w:val="0"/>
                      <w:color w:val="000000"/>
                      <w:szCs w:val="22"/>
                      <w:lang w:val="en-US" w:eastAsia="zh-CN"/>
                    </w:rPr>
                  </w:pPr>
                  <w:r>
                    <w:rPr>
                      <w:rFonts w:hint="eastAsia"/>
                      <w:b w:val="0"/>
                      <w:color w:val="000000"/>
                      <w:szCs w:val="22"/>
                      <w:lang w:val="en-US" w:eastAsia="zh-CN"/>
                    </w:rPr>
                    <w:t>DA003</w:t>
                  </w:r>
                </w:p>
                <w:p w14:paraId="3E5B190A">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（15m）</w:t>
                  </w:r>
                </w:p>
              </w:tc>
            </w:tr>
          </w:tbl>
          <w:p w14:paraId="1220F881">
            <w:pPr>
              <w:keepNext w:val="0"/>
              <w:keepLines w:val="0"/>
              <w:suppressLineNumbers w:val="0"/>
              <w:spacing w:before="0" w:beforeAutospacing="0" w:after="0" w:afterAutospacing="0" w:line="360" w:lineRule="auto"/>
              <w:ind w:left="0" w:right="0" w:firstLine="480" w:firstLineChars="200"/>
              <w:rPr>
                <w:rFonts w:hint="default" w:cs="Times New Roman"/>
                <w:color w:val="auto"/>
                <w:sz w:val="24"/>
                <w:highlight w:val="none"/>
                <w:u w:val="none"/>
                <w:lang w:val="en-US" w:eastAsia="zh-CN"/>
              </w:rPr>
            </w:pPr>
            <w:r>
              <w:rPr>
                <w:rFonts w:hint="eastAsia" w:cs="Times New Roman"/>
                <w:color w:val="auto"/>
                <w:sz w:val="24"/>
                <w:highlight w:val="none"/>
                <w:u w:val="none"/>
                <w:lang w:eastAsia="zh-CN"/>
              </w:rPr>
              <w:t>（</w:t>
            </w:r>
            <w:r>
              <w:rPr>
                <w:rFonts w:hint="eastAsia" w:cs="Times New Roman"/>
                <w:color w:val="auto"/>
                <w:sz w:val="24"/>
                <w:highlight w:val="none"/>
                <w:u w:val="none"/>
                <w:lang w:val="en-US" w:eastAsia="zh-CN"/>
              </w:rPr>
              <w:t>3</w:t>
            </w:r>
            <w:r>
              <w:rPr>
                <w:rFonts w:hint="eastAsia" w:cs="Times New Roman"/>
                <w:color w:val="auto"/>
                <w:sz w:val="24"/>
                <w:highlight w:val="none"/>
                <w:u w:val="none"/>
                <w:lang w:eastAsia="zh-CN"/>
              </w:rPr>
              <w:t>）</w:t>
            </w:r>
            <w:r>
              <w:rPr>
                <w:rFonts w:hint="eastAsia" w:cs="Times New Roman"/>
                <w:color w:val="auto"/>
                <w:sz w:val="24"/>
                <w:highlight w:val="none"/>
                <w:u w:val="none"/>
                <w:lang w:val="en-US" w:eastAsia="zh-CN"/>
              </w:rPr>
              <w:t>废气治理设施可行性分析</w:t>
            </w:r>
          </w:p>
          <w:p w14:paraId="680A0055">
            <w:pPr>
              <w:keepNext w:val="0"/>
              <w:keepLines w:val="0"/>
              <w:suppressLineNumbers w:val="0"/>
              <w:spacing w:before="0" w:beforeAutospacing="0" w:after="0" w:afterAutospacing="0"/>
              <w:ind w:left="0" w:right="0" w:firstLine="480" w:firstLineChars="200"/>
              <w:rPr>
                <w:rFonts w:hint="eastAsia"/>
                <w:color w:val="auto"/>
              </w:rPr>
            </w:pPr>
            <w:r>
              <w:rPr>
                <w:rFonts w:hint="eastAsia" w:ascii="Times New Roman" w:hAnsi="Times New Roman" w:eastAsia="宋体" w:cs="Times New Roman"/>
                <w:color w:val="auto"/>
                <w:kern w:val="0"/>
                <w:sz w:val="24"/>
                <w:szCs w:val="24"/>
                <w:lang w:val="en-US" w:eastAsia="zh-CN" w:bidi="ar-SA"/>
              </w:rPr>
              <w:t>①</w:t>
            </w:r>
            <w:r>
              <w:rPr>
                <w:rFonts w:hint="eastAsia"/>
                <w:color w:val="auto"/>
              </w:rPr>
              <w:t>水帘装置</w:t>
            </w:r>
          </w:p>
          <w:p w14:paraId="4281B183">
            <w:pPr>
              <w:keepNext w:val="0"/>
              <w:keepLines w:val="0"/>
              <w:suppressLineNumbers w:val="0"/>
              <w:spacing w:before="0" w:beforeAutospacing="0" w:after="0" w:afterAutospacing="0"/>
              <w:ind w:left="0" w:right="0" w:firstLine="480" w:firstLineChars="200"/>
              <w:rPr>
                <w:rFonts w:hint="eastAsia" w:cs="宋体"/>
                <w:color w:val="auto"/>
              </w:rPr>
            </w:pPr>
            <w:r>
              <w:rPr>
                <w:rFonts w:hint="eastAsia" w:cs="宋体"/>
                <w:color w:val="auto"/>
              </w:rPr>
              <w:t>水帘喷漆房是利用水来捕捉漆雾的一种设备。它一般由排风装置、供水装置、捕集漆雾水帘和喷淋装置、汽水分离装置、风道等构成。在排风机引力的作用下，含有漆雾的空气向水帘喷漆房的内壁水帘板方向流动，一部分漆雾直接接触到水帘板上的水膜而被吸附，一部分漆雾在经过水帘板上淌下的水帘时被水帘冲刷掉，其余未被水膜和水帘捕捉到的残余漆雾在通过水洗区和清洗区时被清洗掉。</w:t>
            </w:r>
          </w:p>
          <w:p w14:paraId="0A15FFC7">
            <w:pPr>
              <w:keepNext w:val="0"/>
              <w:keepLines w:val="0"/>
              <w:suppressLineNumbers w:val="0"/>
              <w:spacing w:before="0" w:beforeAutospacing="0" w:after="0" w:afterAutospacing="0" w:line="360" w:lineRule="auto"/>
              <w:ind w:left="0" w:right="0" w:firstLine="480" w:firstLineChars="200"/>
              <w:rPr>
                <w:rFonts w:hint="eastAsia" w:cs="宋体"/>
                <w:color w:val="auto"/>
              </w:rPr>
            </w:pPr>
            <w:r>
              <w:rPr>
                <w:rFonts w:hint="eastAsia" w:cs="Times New Roman"/>
                <w:bCs/>
                <w:color w:val="auto"/>
                <w:sz w:val="24"/>
                <w:highlight w:val="none"/>
                <w:u w:val="none"/>
                <w:lang w:val="en-US" w:eastAsia="zh-CN"/>
              </w:rPr>
              <w:t>②</w:t>
            </w:r>
            <w:r>
              <w:rPr>
                <w:rFonts w:hint="eastAsia"/>
                <w:color w:val="auto"/>
                <w:lang w:val="en-US" w:eastAsia="zh-CN"/>
              </w:rPr>
              <w:t>过滤棉</w:t>
            </w:r>
            <w:r>
              <w:rPr>
                <w:rFonts w:hint="eastAsia" w:cs="宋体"/>
                <w:color w:val="auto"/>
              </w:rPr>
              <w:t>+二级活性炭吸附治理措施</w:t>
            </w:r>
          </w:p>
          <w:p w14:paraId="633EFF6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u w:val="none"/>
              </w:rPr>
            </w:pPr>
            <w:r>
              <w:rPr>
                <w:rFonts w:hint="default" w:ascii="Times New Roman" w:hAnsi="Times New Roman" w:cs="Times New Roman"/>
                <w:bCs/>
                <w:color w:val="auto"/>
                <w:sz w:val="24"/>
                <w:highlight w:val="none"/>
                <w:u w:val="none"/>
              </w:rPr>
              <w:t>过滤棉主要用于去除漆雾。活性炭是一种具有多孔结构和大的内部比表面积的材料。由于其大的比表面积、微孔结构、高的吸附能力和很高的表面活性而成为独特的多功能吸附剂</w:t>
            </w:r>
            <w:r>
              <w:rPr>
                <w:rFonts w:hint="eastAsia" w:cs="Times New Roman"/>
                <w:bCs/>
                <w:color w:val="auto"/>
                <w:sz w:val="24"/>
                <w:highlight w:val="none"/>
                <w:u w:val="none"/>
                <w:lang w:eastAsia="zh-CN"/>
              </w:rPr>
              <w:t>且</w:t>
            </w:r>
            <w:r>
              <w:rPr>
                <w:rFonts w:hint="default" w:ascii="Times New Roman" w:hAnsi="Times New Roman" w:cs="Times New Roman"/>
                <w:bCs/>
                <w:color w:val="auto"/>
                <w:sz w:val="24"/>
                <w:highlight w:val="none"/>
                <w:u w:val="none"/>
              </w:rPr>
              <w:t>其价廉易得，可再生活化，同时它可有效去除废水、废气中的大部分有机物和某些无机物，所以它被世界各国广泛地应用于污水及废气的处理、空气净化、回收溶剂等环境保护和资源回收等领域。活性炭分为粉末活性炭、粒状活性炭及活性炭纤维，但是由于粉末活性炭产生二次污染且不能再生而被限制使用。粒状活性炭粒径500～5000μm，有机废气通过吸附床，与活性炭接触，废气中的有机污染物被吸附在活性炭表面，从而从气流中脱离出来，达到净化效果。</w:t>
            </w:r>
          </w:p>
          <w:p w14:paraId="55F6D11F">
            <w:pPr>
              <w:keepNext w:val="0"/>
              <w:keepLines w:val="0"/>
              <w:suppressLineNumbers w:val="0"/>
              <w:spacing w:before="0" w:beforeAutospacing="0" w:after="0" w:afterAutospacing="0" w:line="360" w:lineRule="auto"/>
              <w:ind w:left="0" w:right="0" w:firstLine="480" w:firstLineChars="200"/>
              <w:rPr>
                <w:rFonts w:hint="default"/>
              </w:rPr>
            </w:pPr>
            <w:r>
              <w:rPr>
                <w:rFonts w:hint="eastAsia"/>
                <w:b w:val="0"/>
                <w:bCs w:val="0"/>
                <w:iCs w:val="0"/>
                <w:color w:val="auto"/>
                <w:kern w:val="0"/>
                <w:lang w:val="en-US" w:eastAsia="zh-CN" w:bidi="ar"/>
              </w:rPr>
              <w:t>更换周期</w:t>
            </w:r>
            <w:r>
              <w:rPr>
                <w:rFonts w:hint="eastAsia"/>
                <w:b w:val="0"/>
                <w:bCs w:val="0"/>
                <w:iCs w:val="0"/>
                <w:color w:val="auto"/>
                <w:kern w:val="0"/>
                <w:lang w:bidi="ar"/>
              </w:rPr>
              <w:t>参照《重庆市生态环境委员会办公室2023年重庆市夏秋季臭氧污染防治攻坚工作方案》（渝生态环委办〔2023〕2号）中附件2《活性炭治理设施专项整治相关要求》第五点关于活性炭装填控制要求：</w:t>
            </w:r>
            <w:r>
              <w:rPr>
                <w:rFonts w:hint="eastAsia"/>
                <w:b w:val="0"/>
                <w:bCs w:val="0"/>
                <w:iCs w:val="0"/>
                <w:color w:val="auto"/>
                <w:kern w:val="0"/>
                <w:lang w:eastAsia="zh-CN" w:bidi="ar"/>
              </w:rPr>
              <w:t>“</w:t>
            </w:r>
            <w:r>
              <w:rPr>
                <w:rFonts w:hint="eastAsia"/>
                <w:b w:val="0"/>
                <w:bCs w:val="0"/>
                <w:iCs w:val="0"/>
                <w:color w:val="auto"/>
                <w:kern w:val="0"/>
                <w:lang w:bidi="ar"/>
              </w:rPr>
              <w:t>活性炭更换周期宜不超过累计运行500小时或3个月</w:t>
            </w:r>
            <w:r>
              <w:rPr>
                <w:rFonts w:hint="eastAsia"/>
                <w:b w:val="0"/>
                <w:bCs w:val="0"/>
                <w:iCs w:val="0"/>
                <w:color w:val="auto"/>
                <w:kern w:val="0"/>
                <w:lang w:eastAsia="zh-CN" w:bidi="ar"/>
              </w:rPr>
              <w:t>”</w:t>
            </w:r>
            <w:r>
              <w:rPr>
                <w:rFonts w:hint="eastAsia"/>
                <w:b w:val="0"/>
                <w:bCs w:val="0"/>
                <w:iCs w:val="0"/>
                <w:color w:val="auto"/>
                <w:kern w:val="0"/>
                <w:lang w:bidi="ar"/>
              </w:rPr>
              <w:t>，</w:t>
            </w:r>
            <w:r>
              <w:rPr>
                <w:rFonts w:hint="eastAsia"/>
                <w:b w:val="0"/>
                <w:bCs w:val="0"/>
                <w:iCs w:val="0"/>
                <w:color w:val="auto"/>
                <w:kern w:val="0"/>
                <w:lang w:val="en-US" w:eastAsia="zh-CN" w:bidi="ar"/>
              </w:rPr>
              <w:t>本项目计划每3个月更换一次活性炭</w:t>
            </w:r>
            <w:r>
              <w:rPr>
                <w:rFonts w:hint="eastAsia"/>
                <w:b w:val="0"/>
                <w:bCs w:val="0"/>
                <w:iCs w:val="0"/>
                <w:color w:val="auto"/>
                <w:kern w:val="0"/>
                <w:lang w:bidi="ar"/>
              </w:rPr>
              <w:t>，为确保活性炭吸附装置处理效率，要求年更换次数不少于</w:t>
            </w:r>
            <w:r>
              <w:rPr>
                <w:rFonts w:hint="eastAsia"/>
                <w:b w:val="0"/>
                <w:bCs w:val="0"/>
                <w:iCs w:val="0"/>
                <w:color w:val="auto"/>
                <w:kern w:val="0"/>
                <w:lang w:val="en-US" w:eastAsia="zh-CN" w:bidi="ar"/>
              </w:rPr>
              <w:t>4</w:t>
            </w:r>
            <w:r>
              <w:rPr>
                <w:rFonts w:hint="eastAsia"/>
                <w:b w:val="0"/>
                <w:bCs w:val="0"/>
                <w:iCs w:val="0"/>
                <w:color w:val="auto"/>
                <w:kern w:val="0"/>
                <w:lang w:bidi="ar"/>
              </w:rPr>
              <w:t>次。</w:t>
            </w:r>
          </w:p>
          <w:p w14:paraId="002A8D7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highlight w:val="none"/>
                <w:u w:val="none"/>
                <w:lang w:eastAsia="zh-CN"/>
              </w:rPr>
            </w:pPr>
            <w:r>
              <w:rPr>
                <w:rFonts w:hint="eastAsia" w:cs="Times New Roman"/>
                <w:color w:val="auto"/>
                <w:kern w:val="0"/>
                <w:sz w:val="24"/>
                <w:szCs w:val="24"/>
                <w:lang w:val="en-US" w:eastAsia="zh-CN" w:bidi="ar-SA"/>
              </w:rPr>
              <w:t>③</w:t>
            </w:r>
            <w:r>
              <w:rPr>
                <w:rFonts w:hint="eastAsia" w:ascii="Times New Roman" w:hAnsi="Times New Roman" w:eastAsia="宋体" w:cs="Times New Roman"/>
                <w:bCs/>
                <w:color w:val="auto"/>
                <w:sz w:val="24"/>
                <w:highlight w:val="none"/>
                <w:u w:val="none"/>
                <w:lang w:eastAsia="zh-CN"/>
              </w:rPr>
              <w:t>技术可行分析</w:t>
            </w:r>
          </w:p>
          <w:p w14:paraId="40DCD7AD">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highlight w:val="none"/>
                <w:u w:val="none"/>
                <w:lang w:eastAsia="zh-CN"/>
              </w:rPr>
            </w:pPr>
            <w:r>
              <w:rPr>
                <w:rFonts w:hint="eastAsia" w:cs="Times New Roman"/>
                <w:bCs/>
                <w:color w:val="auto"/>
                <w:sz w:val="24"/>
                <w:highlight w:val="none"/>
                <w:u w:val="none"/>
                <w:lang w:val="en-US" w:eastAsia="zh-CN"/>
              </w:rPr>
              <w:t>A</w:t>
            </w:r>
            <w:r>
              <w:rPr>
                <w:rFonts w:hint="eastAsia" w:ascii="Times New Roman" w:hAnsi="Times New Roman" w:eastAsia="宋体" w:cs="Times New Roman"/>
                <w:bCs/>
                <w:color w:val="auto"/>
                <w:sz w:val="24"/>
                <w:highlight w:val="none"/>
                <w:u w:val="none"/>
                <w:lang w:eastAsia="zh-CN"/>
              </w:rPr>
              <w:t>、集气效率要求及可靠性分析</w:t>
            </w:r>
          </w:p>
          <w:p w14:paraId="33B56999">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u w:val="none"/>
              </w:rPr>
            </w:pPr>
            <w:r>
              <w:rPr>
                <w:rFonts w:hint="default" w:ascii="Times New Roman" w:hAnsi="Times New Roman" w:eastAsia="宋体" w:cs="Times New Roman"/>
                <w:bCs/>
                <w:color w:val="auto"/>
                <w:sz w:val="24"/>
                <w:highlight w:val="none"/>
                <w:u w:val="none"/>
              </w:rPr>
              <w:t>根据《福建省环保厅关于印发福建省重点行业挥发性有机物排放控制要求</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试行</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的通知》</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闽环保大气〔2017〕9号</w:t>
            </w:r>
            <w:r>
              <w:rPr>
                <w:rFonts w:hint="eastAsia" w:ascii="Times New Roman" w:hAnsi="Times New Roman" w:eastAsia="宋体" w:cs="Times New Roman"/>
                <w:bCs/>
                <w:color w:val="auto"/>
                <w:sz w:val="24"/>
                <w:highlight w:val="none"/>
                <w:u w:val="none"/>
                <w:lang w:eastAsia="zh-CN"/>
              </w:rPr>
              <w:t>）</w:t>
            </w:r>
            <w:r>
              <w:rPr>
                <w:rFonts w:hint="default" w:ascii="Times New Roman" w:hAnsi="Times New Roman" w:eastAsia="宋体" w:cs="Times New Roman"/>
                <w:bCs/>
                <w:color w:val="auto"/>
                <w:sz w:val="24"/>
                <w:highlight w:val="none"/>
                <w:u w:val="none"/>
              </w:rPr>
              <w:t>中提出的密闭式局部收集的逸散的</w:t>
            </w:r>
            <w:r>
              <w:rPr>
                <w:rFonts w:hint="eastAsia" w:cs="Times New Roman"/>
                <w:bCs/>
                <w:color w:val="auto"/>
                <w:sz w:val="24"/>
                <w:highlight w:val="none"/>
                <w:u w:val="none"/>
                <w:lang w:eastAsia="zh-CN"/>
              </w:rPr>
              <w:t>VOCs</w:t>
            </w:r>
            <w:r>
              <w:rPr>
                <w:rFonts w:hint="default" w:ascii="Times New Roman" w:hAnsi="Times New Roman" w:eastAsia="宋体" w:cs="Times New Roman"/>
                <w:bCs/>
                <w:color w:val="auto"/>
                <w:sz w:val="24"/>
                <w:highlight w:val="none"/>
                <w:u w:val="none"/>
              </w:rPr>
              <w:t>废气收集率应达到80%以上</w:t>
            </w:r>
            <w:r>
              <w:rPr>
                <w:rFonts w:hint="default" w:ascii="Times New Roman" w:hAnsi="Times New Roman" w:eastAsia="宋体" w:cs="Times New Roman"/>
                <w:bCs/>
                <w:color w:val="auto"/>
                <w:sz w:val="24"/>
                <w:highlight w:val="none"/>
                <w:u w:val="none"/>
                <w:lang w:eastAsia="zh-CN"/>
              </w:rPr>
              <w:t>。本项目</w:t>
            </w:r>
            <w:r>
              <w:rPr>
                <w:rFonts w:hint="default" w:ascii="Times New Roman" w:hAnsi="Times New Roman" w:eastAsia="宋体" w:cs="Times New Roman"/>
                <w:bCs/>
                <w:color w:val="auto"/>
                <w:sz w:val="24"/>
                <w:highlight w:val="none"/>
                <w:u w:val="none"/>
              </w:rPr>
              <w:t>挥发性有机物</w:t>
            </w:r>
            <w:r>
              <w:rPr>
                <w:rFonts w:hint="eastAsia" w:cs="Times New Roman"/>
                <w:bCs/>
                <w:color w:val="auto"/>
                <w:sz w:val="24"/>
                <w:highlight w:val="none"/>
                <w:u w:val="none"/>
                <w:lang w:eastAsia="zh-CN"/>
              </w:rPr>
              <w:t>排放</w:t>
            </w:r>
            <w:r>
              <w:rPr>
                <w:rFonts w:hint="default" w:ascii="Times New Roman" w:hAnsi="Times New Roman" w:eastAsia="宋体" w:cs="Times New Roman"/>
                <w:bCs/>
                <w:color w:val="auto"/>
                <w:sz w:val="24"/>
                <w:highlight w:val="none"/>
                <w:u w:val="none"/>
                <w:lang w:eastAsia="zh-CN"/>
              </w:rPr>
              <w:t>主要为</w:t>
            </w:r>
            <w:r>
              <w:rPr>
                <w:rFonts w:hint="eastAsia" w:ascii="Times New Roman" w:hAnsi="Times New Roman" w:eastAsia="宋体" w:cs="Times New Roman"/>
                <w:bCs/>
                <w:color w:val="auto"/>
                <w:sz w:val="24"/>
                <w:highlight w:val="none"/>
                <w:u w:val="none"/>
                <w:lang w:val="en-US" w:eastAsia="zh-CN"/>
              </w:rPr>
              <w:t>喷漆、烘干、加烤</w:t>
            </w:r>
            <w:r>
              <w:rPr>
                <w:rFonts w:hint="default" w:ascii="Times New Roman" w:hAnsi="Times New Roman" w:eastAsia="宋体" w:cs="Times New Roman"/>
                <w:bCs/>
                <w:color w:val="auto"/>
                <w:sz w:val="24"/>
                <w:highlight w:val="none"/>
                <w:u w:val="none"/>
                <w:lang w:eastAsia="zh-CN"/>
              </w:rPr>
              <w:t>废气。</w:t>
            </w:r>
            <w:r>
              <w:rPr>
                <w:rFonts w:hint="default" w:ascii="Times New Roman" w:hAnsi="Times New Roman" w:eastAsia="宋体" w:cs="Times New Roman"/>
                <w:bCs/>
                <w:color w:val="auto"/>
                <w:sz w:val="24"/>
                <w:highlight w:val="none"/>
                <w:u w:val="none"/>
                <w:lang w:val="en-US" w:eastAsia="zh-CN"/>
              </w:rPr>
              <w:t>项目</w:t>
            </w:r>
            <w:r>
              <w:rPr>
                <w:rFonts w:hint="eastAsia" w:ascii="Times New Roman" w:hAnsi="Times New Roman" w:eastAsia="宋体" w:cs="Times New Roman"/>
                <w:bCs/>
                <w:color w:val="auto"/>
                <w:sz w:val="24"/>
                <w:highlight w:val="none"/>
                <w:u w:val="none"/>
                <w:lang w:val="en-US" w:eastAsia="zh-CN"/>
              </w:rPr>
              <w:t>废气</w:t>
            </w:r>
            <w:r>
              <w:rPr>
                <w:rFonts w:hint="default" w:ascii="Times New Roman" w:hAnsi="Times New Roman" w:eastAsia="宋体" w:cs="Times New Roman"/>
                <w:bCs/>
                <w:color w:val="auto"/>
                <w:sz w:val="24"/>
                <w:highlight w:val="none"/>
                <w:u w:val="none"/>
                <w:lang w:val="en-US" w:eastAsia="zh-CN"/>
              </w:rPr>
              <w:t>收集效率按9</w:t>
            </w:r>
            <w:r>
              <w:rPr>
                <w:rFonts w:hint="eastAsia" w:ascii="Times New Roman" w:hAnsi="Times New Roman" w:eastAsia="宋体" w:cs="Times New Roman"/>
                <w:bCs/>
                <w:color w:val="auto"/>
                <w:sz w:val="24"/>
                <w:highlight w:val="none"/>
                <w:u w:val="none"/>
                <w:lang w:val="en-US" w:eastAsia="zh-CN"/>
              </w:rPr>
              <w:t>0</w:t>
            </w:r>
            <w:r>
              <w:rPr>
                <w:rFonts w:hint="default" w:ascii="Times New Roman" w:hAnsi="Times New Roman" w:eastAsia="宋体" w:cs="Times New Roman"/>
                <w:bCs/>
                <w:color w:val="auto"/>
                <w:sz w:val="24"/>
                <w:highlight w:val="none"/>
                <w:u w:val="none"/>
                <w:lang w:val="en-US" w:eastAsia="zh-CN"/>
              </w:rPr>
              <w:t>%计</w:t>
            </w:r>
            <w:r>
              <w:rPr>
                <w:rFonts w:hint="default" w:ascii="Times New Roman" w:hAnsi="Times New Roman" w:eastAsia="宋体" w:cs="Times New Roman"/>
                <w:bCs/>
                <w:color w:val="auto"/>
                <w:sz w:val="24"/>
                <w:highlight w:val="none"/>
                <w:u w:val="none"/>
                <w:lang w:eastAsia="zh-CN"/>
              </w:rPr>
              <w:t>，要求</w:t>
            </w:r>
            <w:r>
              <w:rPr>
                <w:rFonts w:hint="default" w:ascii="Times New Roman" w:hAnsi="Times New Roman" w:eastAsia="宋体" w:cs="Times New Roman"/>
                <w:bCs/>
                <w:color w:val="auto"/>
                <w:sz w:val="24"/>
                <w:highlight w:val="none"/>
                <w:u w:val="none"/>
              </w:rPr>
              <w:t>废气收集系统与生产设备自动同步启动，</w:t>
            </w:r>
            <w:r>
              <w:rPr>
                <w:rFonts w:hint="default" w:ascii="Times New Roman" w:hAnsi="Times New Roman" w:eastAsia="宋体" w:cs="Times New Roman"/>
                <w:bCs/>
                <w:color w:val="auto"/>
                <w:sz w:val="24"/>
                <w:highlight w:val="none"/>
                <w:u w:val="none"/>
                <w:lang w:val="en-US" w:eastAsia="zh-CN"/>
              </w:rPr>
              <w:t>采取以上措施，</w:t>
            </w:r>
            <w:r>
              <w:rPr>
                <w:rFonts w:hint="default" w:ascii="Times New Roman" w:hAnsi="Times New Roman" w:eastAsia="宋体" w:cs="Times New Roman"/>
                <w:bCs/>
                <w:color w:val="auto"/>
                <w:sz w:val="24"/>
                <w:highlight w:val="none"/>
                <w:u w:val="none"/>
                <w:lang w:eastAsia="zh-CN"/>
              </w:rPr>
              <w:t>正常情</w:t>
            </w:r>
            <w:r>
              <w:rPr>
                <w:rFonts w:hint="eastAsia" w:cs="Times New Roman"/>
                <w:bCs/>
                <w:color w:val="auto"/>
                <w:sz w:val="24"/>
                <w:highlight w:val="none"/>
                <w:u w:val="none"/>
                <w:lang w:eastAsia="zh-CN"/>
              </w:rPr>
              <w:t>况下</w:t>
            </w:r>
            <w:r>
              <w:rPr>
                <w:rFonts w:hint="default" w:ascii="Times New Roman" w:hAnsi="Times New Roman" w:eastAsia="宋体" w:cs="Times New Roman"/>
                <w:bCs/>
                <w:color w:val="auto"/>
                <w:sz w:val="24"/>
                <w:highlight w:val="none"/>
                <w:u w:val="none"/>
                <w:lang w:eastAsia="zh-CN"/>
              </w:rPr>
              <w:t>，可确保收集效率可达</w:t>
            </w:r>
            <w:r>
              <w:rPr>
                <w:rFonts w:hint="default" w:ascii="Times New Roman" w:hAnsi="Times New Roman" w:eastAsia="宋体" w:cs="Times New Roman"/>
                <w:bCs/>
                <w:color w:val="auto"/>
                <w:sz w:val="24"/>
                <w:highlight w:val="none"/>
                <w:u w:val="none"/>
                <w:lang w:val="en-US" w:eastAsia="zh-CN"/>
              </w:rPr>
              <w:t>9</w:t>
            </w:r>
            <w:r>
              <w:rPr>
                <w:rFonts w:hint="eastAsia" w:ascii="Times New Roman" w:hAnsi="Times New Roman" w:eastAsia="宋体" w:cs="Times New Roman"/>
                <w:bCs/>
                <w:color w:val="auto"/>
                <w:sz w:val="24"/>
                <w:highlight w:val="none"/>
                <w:u w:val="none"/>
                <w:lang w:val="en-US" w:eastAsia="zh-CN"/>
              </w:rPr>
              <w:t>0</w:t>
            </w:r>
            <w:r>
              <w:rPr>
                <w:rFonts w:hint="default" w:ascii="Times New Roman" w:hAnsi="Times New Roman" w:eastAsia="宋体" w:cs="Times New Roman"/>
                <w:bCs/>
                <w:color w:val="auto"/>
                <w:sz w:val="24"/>
                <w:highlight w:val="none"/>
                <w:u w:val="none"/>
                <w:lang w:val="en-US" w:eastAsia="zh-CN"/>
              </w:rPr>
              <w:t>%，可符合</w:t>
            </w:r>
            <w:r>
              <w:rPr>
                <w:rFonts w:hint="default" w:ascii="Times New Roman" w:hAnsi="Times New Roman" w:eastAsia="宋体" w:cs="Times New Roman"/>
                <w:bCs/>
                <w:color w:val="auto"/>
                <w:sz w:val="24"/>
                <w:highlight w:val="none"/>
                <w:u w:val="none"/>
              </w:rPr>
              <w:t>闽环保大气〔2017〕9号提出</w:t>
            </w:r>
            <w:r>
              <w:rPr>
                <w:rFonts w:hint="eastAsia" w:cs="Times New Roman"/>
                <w:bCs/>
                <w:color w:val="auto"/>
                <w:sz w:val="24"/>
                <w:highlight w:val="none"/>
                <w:u w:val="none"/>
                <w:lang w:eastAsia="zh-CN"/>
              </w:rPr>
              <w:t>VOCs</w:t>
            </w:r>
            <w:r>
              <w:rPr>
                <w:rFonts w:hint="default" w:ascii="Times New Roman" w:hAnsi="Times New Roman" w:eastAsia="宋体" w:cs="Times New Roman"/>
                <w:bCs/>
                <w:color w:val="auto"/>
                <w:sz w:val="24"/>
                <w:highlight w:val="none"/>
                <w:u w:val="none"/>
              </w:rPr>
              <w:t>废气收集率应达到80%以上，可符合要求。</w:t>
            </w:r>
          </w:p>
          <w:p w14:paraId="16FEDBA3">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B</w:t>
            </w:r>
            <w:r>
              <w:rPr>
                <w:rFonts w:hint="eastAsia" w:ascii="Times New Roman" w:hAnsi="Times New Roman" w:eastAsia="宋体" w:cs="Times New Roman"/>
                <w:color w:val="auto"/>
                <w:sz w:val="24"/>
                <w:lang w:val="en-US" w:eastAsia="zh-CN"/>
              </w:rPr>
              <w:t>、环保措施可行性分析：</w:t>
            </w:r>
          </w:p>
          <w:p w14:paraId="02AEFD20">
            <w:pPr>
              <w:keepNext w:val="0"/>
              <w:keepLines w:val="0"/>
              <w:suppressLineNumbers w:val="0"/>
              <w:spacing w:before="0" w:beforeAutospacing="0" w:after="0" w:afterAutospacing="0" w:line="351" w:lineRule="auto"/>
              <w:ind w:left="0" w:right="0"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过滤棉主要用于去除漆雾。当有机废气气体由风机提供动力，正压或负压进入塔体，由于活性炭固体表面上存在着未平衡和未饱和的分子引力或</w:t>
            </w:r>
            <w:r>
              <w:rPr>
                <w:rFonts w:hint="eastAsia" w:cs="Times New Roman"/>
                <w:color w:val="auto"/>
                <w:sz w:val="24"/>
                <w:lang w:val="en-US" w:eastAsia="zh-CN"/>
              </w:rPr>
              <w:t>化学键</w:t>
            </w:r>
            <w:r>
              <w:rPr>
                <w:rFonts w:hint="eastAsia" w:ascii="Times New Roman" w:hAnsi="Times New Roman" w:eastAsia="宋体" w:cs="Times New Roman"/>
                <w:color w:val="auto"/>
                <w:sz w:val="24"/>
                <w:lang w:val="en-US" w:eastAsia="zh-CN"/>
              </w:rPr>
              <w:t>力，因此</w:t>
            </w:r>
            <w:r>
              <w:rPr>
                <w:rFonts w:hint="eastAsia" w:cs="Times New Roman"/>
                <w:color w:val="auto"/>
                <w:sz w:val="24"/>
                <w:lang w:val="en-US" w:eastAsia="zh-CN"/>
              </w:rPr>
              <w:t>当</w:t>
            </w:r>
            <w:r>
              <w:rPr>
                <w:rFonts w:hint="eastAsia" w:ascii="Times New Roman" w:hAnsi="Times New Roman" w:eastAsia="宋体" w:cs="Times New Roman"/>
                <w:color w:val="auto"/>
                <w:sz w:val="24"/>
                <w:lang w:val="en-US" w:eastAsia="zh-CN"/>
              </w:rPr>
              <w:t>固体表面与气体接触时，就能吸引气体分子，使其浓聚并保持在固体表面，污染物质及气味从而被吸附，废气经活性炭吸附塔后，净化气体高空达标排放。</w:t>
            </w:r>
          </w:p>
          <w:p w14:paraId="13ED3F86">
            <w:pPr>
              <w:keepNext w:val="0"/>
              <w:keepLines w:val="0"/>
              <w:suppressLineNumbers w:val="0"/>
              <w:spacing w:before="0" w:beforeAutospacing="0" w:after="0" w:afterAutospacing="0" w:line="351" w:lineRule="auto"/>
              <w:ind w:left="0" w:right="0"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bCs/>
                <w:color w:val="000000"/>
                <w:sz w:val="24"/>
                <w:highlight w:val="none"/>
                <w:lang w:val="en-US" w:eastAsia="zh-CN"/>
              </w:rPr>
              <w:t>由表4.2-2可知，本项目产生的有机废气经处理后</w:t>
            </w:r>
            <w:r>
              <w:rPr>
                <w:rFonts w:hint="eastAsia" w:ascii="Times New Roman" w:hAnsi="Times New Roman" w:eastAsia="宋体" w:cs="Times New Roman"/>
                <w:bCs/>
                <w:color w:val="000000"/>
                <w:sz w:val="24"/>
                <w:highlight w:val="none"/>
              </w:rPr>
              <w:t>可达到</w:t>
            </w:r>
            <w:r>
              <w:rPr>
                <w:rFonts w:hint="default" w:ascii="Times New Roman" w:hAnsi="Times New Roman" w:cs="Times New Roman"/>
                <w:color w:val="000000"/>
                <w:sz w:val="24"/>
                <w:szCs w:val="24"/>
                <w:highlight w:val="none"/>
              </w:rPr>
              <w:t>非甲烷总烃的排放浓度满足</w:t>
            </w:r>
            <w:r>
              <w:rPr>
                <w:rFonts w:hint="eastAsia" w:ascii="Times New Roman" w:hAnsi="Times New Roman" w:eastAsia="宋体" w:cs="Times New Roman"/>
                <w:bCs/>
                <w:color w:val="auto"/>
                <w:sz w:val="24"/>
                <w:highlight w:val="none"/>
                <w:u w:val="none"/>
                <w:lang w:eastAsia="zh-CN"/>
              </w:rPr>
              <w:t>可达到《工业涂装工序挥发性有机物排放标准》（DB35/1783-2018）中表1标准中排放限值要求。</w:t>
            </w:r>
            <w:r>
              <w:rPr>
                <w:rFonts w:hint="default" w:ascii="Times New Roman" w:hAnsi="Times New Roman" w:eastAsia="宋体" w:cs="Times New Roman"/>
                <w:bCs/>
                <w:color w:val="000000"/>
                <w:sz w:val="24"/>
                <w:highlight w:val="none"/>
              </w:rPr>
              <w:t>因此，</w:t>
            </w:r>
            <w:r>
              <w:rPr>
                <w:rFonts w:hint="eastAsia" w:ascii="Times New Roman" w:hAnsi="Times New Roman" w:eastAsia="宋体" w:cs="Times New Roman"/>
                <w:bCs/>
                <w:color w:val="000000"/>
                <w:sz w:val="24"/>
                <w:highlight w:val="none"/>
                <w:lang w:eastAsia="zh-CN"/>
              </w:rPr>
              <w:t>项目有机废气经处理后对环境影响较小，</w:t>
            </w:r>
            <w:r>
              <w:rPr>
                <w:rFonts w:hint="default" w:ascii="Times New Roman" w:hAnsi="Times New Roman" w:eastAsia="宋体" w:cs="Times New Roman"/>
                <w:bCs/>
                <w:color w:val="000000"/>
                <w:sz w:val="24"/>
                <w:highlight w:val="none"/>
              </w:rPr>
              <w:t>采取的措施可行。</w:t>
            </w:r>
            <w:r>
              <w:rPr>
                <w:rFonts w:hint="eastAsia" w:ascii="Times New Roman" w:hAnsi="Times New Roman" w:eastAsia="宋体" w:cs="Times New Roman"/>
                <w:color w:val="auto"/>
                <w:sz w:val="24"/>
                <w:lang w:val="en-US" w:eastAsia="zh-CN"/>
              </w:rPr>
              <w:t>过滤棉+</w:t>
            </w:r>
            <w:r>
              <w:rPr>
                <w:rFonts w:hint="eastAsia" w:cs="Times New Roman"/>
                <w:color w:val="auto"/>
                <w:sz w:val="24"/>
                <w:lang w:val="en-US" w:eastAsia="zh-CN"/>
              </w:rPr>
              <w:t>二级活性炭</w:t>
            </w:r>
            <w:r>
              <w:rPr>
                <w:rFonts w:hint="eastAsia" w:ascii="Times New Roman" w:hAnsi="Times New Roman" w:eastAsia="宋体" w:cs="Times New Roman"/>
                <w:color w:val="auto"/>
                <w:sz w:val="24"/>
                <w:lang w:val="en-US" w:eastAsia="zh-CN"/>
              </w:rPr>
              <w:t>装置有着管理方便，运行稳定，处理效率高、体积较小的优点，适用于本项目废气处理。</w:t>
            </w:r>
          </w:p>
          <w:p w14:paraId="672B1C2A">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eastAsia" w:cs="Times New Roman"/>
                <w:color w:val="auto"/>
                <w:sz w:val="24"/>
                <w:lang w:val="en-US" w:eastAsia="zh-CN"/>
              </w:rPr>
              <w:t>C</w:t>
            </w:r>
            <w:r>
              <w:rPr>
                <w:rFonts w:hint="eastAsia" w:ascii="Times New Roman" w:hAnsi="Times New Roman" w:eastAsia="宋体" w:cs="Times New Roman"/>
                <w:color w:val="auto"/>
                <w:sz w:val="24"/>
                <w:lang w:val="en-US" w:eastAsia="zh-CN"/>
              </w:rPr>
              <w:t xml:space="preserve">、长期稳定运行和达标排放要求 </w:t>
            </w:r>
          </w:p>
          <w:p w14:paraId="2E0201D0">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为确保</w:t>
            </w:r>
            <w:r>
              <w:rPr>
                <w:rFonts w:hint="eastAsia" w:cs="Times New Roman"/>
                <w:color w:val="auto"/>
                <w:sz w:val="24"/>
                <w:lang w:val="en-US" w:eastAsia="zh-CN"/>
              </w:rPr>
              <w:t>二级活性炭</w:t>
            </w:r>
            <w:r>
              <w:rPr>
                <w:rFonts w:hint="eastAsia" w:ascii="Times New Roman" w:hAnsi="Times New Roman" w:eastAsia="宋体" w:cs="Times New Roman"/>
                <w:color w:val="auto"/>
                <w:sz w:val="24"/>
                <w:lang w:val="en-US" w:eastAsia="zh-CN"/>
              </w:rPr>
              <w:t>吸附装置对有机废气的净化效率，本评价要求采取以下设计措施：</w:t>
            </w:r>
          </w:p>
          <w:p w14:paraId="53C51660">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a</w:t>
            </w:r>
            <w:r>
              <w:rPr>
                <w:rFonts w:hint="eastAsia" w:ascii="Times New Roman" w:hAnsi="Times New Roman" w:eastAsia="宋体" w:cs="Times New Roman"/>
                <w:color w:val="auto"/>
                <w:sz w:val="24"/>
                <w:lang w:val="en-US" w:eastAsia="zh-CN"/>
              </w:rPr>
              <w:t>、活性炭的断裂强度应不小于</w:t>
            </w:r>
            <w:r>
              <w:rPr>
                <w:rFonts w:hint="default" w:ascii="Times New Roman" w:hAnsi="Times New Roman" w:eastAsia="宋体" w:cs="Times New Roman"/>
                <w:color w:val="auto"/>
                <w:sz w:val="24"/>
                <w:lang w:val="en-US" w:eastAsia="zh-CN"/>
              </w:rPr>
              <w:t>5N</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BET</w:t>
            </w:r>
            <w:r>
              <w:rPr>
                <w:rFonts w:hint="eastAsia" w:ascii="Times New Roman" w:hAnsi="Times New Roman" w:eastAsia="宋体" w:cs="Times New Roman"/>
                <w:color w:val="auto"/>
                <w:sz w:val="24"/>
                <w:lang w:val="en-US" w:eastAsia="zh-CN"/>
              </w:rPr>
              <w:t>比表面积应不低于</w:t>
            </w:r>
            <w:r>
              <w:rPr>
                <w:rFonts w:hint="default" w:ascii="Times New Roman" w:hAnsi="Times New Roman" w:eastAsia="宋体" w:cs="Times New Roman"/>
                <w:color w:val="auto"/>
                <w:sz w:val="24"/>
                <w:lang w:val="en-US" w:eastAsia="zh-CN"/>
              </w:rPr>
              <w:t>1100m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val="en-US" w:eastAsia="zh-CN"/>
              </w:rPr>
              <w:t>/g</w:t>
            </w:r>
            <w:r>
              <w:rPr>
                <w:rFonts w:hint="eastAsia" w:ascii="Times New Roman" w:hAnsi="Times New Roman" w:eastAsia="宋体" w:cs="Times New Roman"/>
                <w:color w:val="auto"/>
                <w:sz w:val="24"/>
                <w:lang w:val="en-US" w:eastAsia="zh-CN"/>
              </w:rPr>
              <w:t xml:space="preserve">； </w:t>
            </w:r>
          </w:p>
          <w:p w14:paraId="4B61C989">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b</w:t>
            </w:r>
            <w:r>
              <w:rPr>
                <w:rFonts w:hint="eastAsia" w:ascii="Times New Roman" w:hAnsi="Times New Roman" w:eastAsia="宋体" w:cs="Times New Roman"/>
                <w:color w:val="auto"/>
                <w:sz w:val="24"/>
                <w:lang w:val="en-US" w:eastAsia="zh-CN"/>
              </w:rPr>
              <w:t>、采用纤维状吸附剂</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活性炭纤维毡</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时，气体流速宜低于</w:t>
            </w:r>
            <w:r>
              <w:rPr>
                <w:rFonts w:hint="default" w:ascii="Times New Roman" w:hAnsi="Times New Roman" w:eastAsia="宋体" w:cs="Times New Roman"/>
                <w:color w:val="auto"/>
                <w:sz w:val="24"/>
                <w:lang w:val="en-US" w:eastAsia="zh-CN"/>
              </w:rPr>
              <w:t>0.15m/s</w:t>
            </w:r>
            <w:r>
              <w:rPr>
                <w:rFonts w:hint="eastAsia" w:ascii="Times New Roman" w:hAnsi="Times New Roman" w:eastAsia="宋体" w:cs="Times New Roman"/>
                <w:color w:val="auto"/>
                <w:sz w:val="24"/>
                <w:lang w:val="en-US" w:eastAsia="zh-CN"/>
              </w:rPr>
              <w:t xml:space="preserve">； </w:t>
            </w:r>
          </w:p>
          <w:p w14:paraId="434DD011">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c</w:t>
            </w:r>
            <w:r>
              <w:rPr>
                <w:rFonts w:hint="eastAsia" w:ascii="Times New Roman" w:hAnsi="Times New Roman" w:eastAsia="宋体" w:cs="Times New Roman"/>
                <w:color w:val="auto"/>
                <w:sz w:val="24"/>
                <w:lang w:val="en-US" w:eastAsia="zh-CN"/>
              </w:rPr>
              <w:t>、有机</w:t>
            </w:r>
            <w:r>
              <w:rPr>
                <w:rFonts w:hint="eastAsia" w:cs="Times New Roman"/>
                <w:color w:val="auto"/>
                <w:sz w:val="24"/>
                <w:lang w:val="en-US" w:eastAsia="zh-CN"/>
              </w:rPr>
              <w:t>废气</w:t>
            </w:r>
            <w:r>
              <w:rPr>
                <w:rFonts w:hint="eastAsia" w:ascii="Times New Roman" w:hAnsi="Times New Roman" w:eastAsia="宋体" w:cs="Times New Roman"/>
                <w:color w:val="auto"/>
                <w:sz w:val="24"/>
                <w:lang w:val="en-US" w:eastAsia="zh-CN"/>
              </w:rPr>
              <w:t>中颗粒物含量不得超过</w:t>
            </w:r>
            <w:r>
              <w:rPr>
                <w:rFonts w:hint="default" w:ascii="Times New Roman" w:hAnsi="Times New Roman" w:eastAsia="宋体" w:cs="Times New Roman"/>
                <w:color w:val="auto"/>
                <w:sz w:val="24"/>
                <w:lang w:val="en-US" w:eastAsia="zh-CN"/>
              </w:rPr>
              <w:t>1mg/m</w:t>
            </w:r>
            <w:r>
              <w:rPr>
                <w:rFonts w:hint="default"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 xml:space="preserve">时； </w:t>
            </w:r>
          </w:p>
          <w:p w14:paraId="201121C0">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d</w:t>
            </w:r>
            <w:r>
              <w:rPr>
                <w:rFonts w:hint="eastAsia" w:ascii="Times New Roman" w:hAnsi="Times New Roman" w:eastAsia="宋体" w:cs="Times New Roman"/>
                <w:color w:val="auto"/>
                <w:sz w:val="24"/>
                <w:lang w:val="en-US" w:eastAsia="zh-CN"/>
              </w:rPr>
              <w:t>、当排气浓度不能满足设计或排放要求时应更换吸附剂；</w:t>
            </w:r>
          </w:p>
          <w:p w14:paraId="5F0A5768">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e</w:t>
            </w:r>
            <w:r>
              <w:rPr>
                <w:rFonts w:hint="eastAsia" w:ascii="Times New Roman" w:hAnsi="Times New Roman" w:eastAsia="宋体" w:cs="Times New Roman"/>
                <w:color w:val="auto"/>
                <w:sz w:val="24"/>
                <w:lang w:val="en-US" w:eastAsia="zh-CN"/>
              </w:rPr>
              <w:t>、采用纤维状吸附剂时，吸附单元的压力损失宜低于</w:t>
            </w:r>
            <w:r>
              <w:rPr>
                <w:rFonts w:hint="default" w:ascii="Times New Roman" w:hAnsi="Times New Roman" w:eastAsia="宋体" w:cs="Times New Roman"/>
                <w:color w:val="auto"/>
                <w:sz w:val="24"/>
                <w:lang w:val="en-US" w:eastAsia="zh-CN"/>
              </w:rPr>
              <w:t>4kPa</w:t>
            </w:r>
            <w:r>
              <w:rPr>
                <w:rFonts w:hint="eastAsia" w:ascii="Times New Roman" w:hAnsi="Times New Roman" w:eastAsia="宋体" w:cs="Times New Roman"/>
                <w:color w:val="auto"/>
                <w:sz w:val="24"/>
                <w:lang w:val="en-US" w:eastAsia="zh-CN"/>
              </w:rPr>
              <w:t xml:space="preserve">； </w:t>
            </w:r>
          </w:p>
          <w:p w14:paraId="2CB33644">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f</w:t>
            </w:r>
            <w:r>
              <w:rPr>
                <w:rFonts w:hint="eastAsia" w:ascii="Times New Roman" w:hAnsi="Times New Roman" w:eastAsia="宋体" w:cs="Times New Roman"/>
                <w:color w:val="auto"/>
                <w:sz w:val="24"/>
                <w:lang w:val="en-US" w:eastAsia="zh-CN"/>
              </w:rPr>
              <w:t xml:space="preserve">、采用孔径、空容分布及比表面积大的活性炭纤维； </w:t>
            </w:r>
          </w:p>
          <w:p w14:paraId="13955CA3">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g</w:t>
            </w:r>
            <w:r>
              <w:rPr>
                <w:rFonts w:hint="eastAsia" w:ascii="Times New Roman" w:hAnsi="Times New Roman" w:eastAsia="宋体" w:cs="Times New Roman"/>
                <w:color w:val="auto"/>
                <w:sz w:val="24"/>
                <w:lang w:val="en-US" w:eastAsia="zh-CN"/>
              </w:rPr>
              <w:t>、保证吸附质与吸附剂之间一定的接触时间，才能使吸附剂发挥最大的吸附能力。</w:t>
            </w:r>
          </w:p>
          <w:p w14:paraId="1BF3756A">
            <w:pPr>
              <w:keepNext w:val="0"/>
              <w:keepLines w:val="0"/>
              <w:suppressLineNumbers w:val="0"/>
              <w:bidi w:val="0"/>
              <w:spacing w:before="0" w:beforeAutospacing="0" w:after="0" w:afterAutospacing="0"/>
              <w:ind w:left="0" w:right="0"/>
              <w:rPr>
                <w:rFonts w:hint="eastAsia"/>
              </w:rPr>
            </w:pPr>
            <w:r>
              <w:rPr>
                <w:rFonts w:hint="eastAsia"/>
              </w:rPr>
              <w:t>③无组织废气治理措施</w:t>
            </w:r>
          </w:p>
          <w:p w14:paraId="3EEA6A99">
            <w:pPr>
              <w:keepNext w:val="0"/>
              <w:keepLines w:val="0"/>
              <w:suppressLineNumbers w:val="0"/>
              <w:bidi w:val="0"/>
              <w:spacing w:before="0" w:beforeAutospacing="0" w:after="0" w:afterAutospacing="0"/>
              <w:ind w:left="0" w:right="0"/>
              <w:rPr>
                <w:rFonts w:hint="eastAsia"/>
              </w:rPr>
            </w:pPr>
            <w:r>
              <w:rPr>
                <w:rFonts w:hint="eastAsia"/>
              </w:rPr>
              <w:t>项目无组织废气主要为</w:t>
            </w:r>
            <w:r>
              <w:rPr>
                <w:rFonts w:hint="eastAsia"/>
                <w:lang w:val="en-US" w:eastAsia="zh-CN"/>
              </w:rPr>
              <w:t>打磨区产生的粉尘、喷漆、烘干房</w:t>
            </w:r>
            <w:r>
              <w:rPr>
                <w:rFonts w:hint="default"/>
                <w:lang w:val="en-US" w:eastAsia="zh-CN"/>
              </w:rPr>
              <w:t>人员进出关门</w:t>
            </w:r>
            <w:r>
              <w:rPr>
                <w:rFonts w:hint="eastAsia"/>
                <w:lang w:val="en-US" w:eastAsia="zh-CN"/>
              </w:rPr>
              <w:t>及电面包炉开关门时</w:t>
            </w:r>
            <w:r>
              <w:rPr>
                <w:rFonts w:hint="default"/>
                <w:lang w:val="en-US" w:eastAsia="zh-CN"/>
              </w:rPr>
              <w:t>溢出的非甲烷总烃和颗粒物</w:t>
            </w:r>
            <w:r>
              <w:rPr>
                <w:rFonts w:hint="eastAsia"/>
                <w:lang w:val="en-US" w:eastAsia="zh-CN"/>
              </w:rPr>
              <w:t>以及产生的粉尘</w:t>
            </w:r>
            <w:r>
              <w:rPr>
                <w:rFonts w:hint="eastAsia"/>
              </w:rPr>
              <w:t>。</w:t>
            </w:r>
            <w:r>
              <w:rPr>
                <w:rFonts w:hint="default"/>
                <w:lang w:val="en-US" w:eastAsia="zh-CN"/>
              </w:rPr>
              <w:t>采取的防止无组织气体排放的主要措施有：</w:t>
            </w:r>
          </w:p>
          <w:p w14:paraId="64436BAE">
            <w:pPr>
              <w:keepNext w:val="0"/>
              <w:keepLines w:val="0"/>
              <w:suppressLineNumbers w:val="0"/>
              <w:bidi w:val="0"/>
              <w:spacing w:before="0" w:beforeAutospacing="0" w:after="0" w:afterAutospacing="0"/>
              <w:ind w:left="0" w:right="0"/>
              <w:rPr>
                <w:rFonts w:hint="eastAsia"/>
              </w:rPr>
            </w:pPr>
            <w:r>
              <w:rPr>
                <w:rFonts w:hint="eastAsia"/>
              </w:rPr>
              <w:t>A、加强废气集中收集和处理，确保废气收集系统的密闭性，减少废气的无组织排放。</w:t>
            </w:r>
            <w:r>
              <w:rPr>
                <w:rFonts w:hint="default"/>
                <w:lang w:val="en-US" w:eastAsia="zh-CN"/>
              </w:rPr>
              <w:t>加强车间地面的清扫，减少粉尘对职工及周边环境的影响；</w:t>
            </w:r>
          </w:p>
          <w:p w14:paraId="234A3AC6">
            <w:pPr>
              <w:keepNext w:val="0"/>
              <w:keepLines w:val="0"/>
              <w:suppressLineNumbers w:val="0"/>
              <w:bidi w:val="0"/>
              <w:spacing w:before="0" w:beforeAutospacing="0" w:after="0" w:afterAutospacing="0"/>
              <w:ind w:left="0" w:right="0"/>
              <w:rPr>
                <w:rFonts w:hint="eastAsia"/>
              </w:rPr>
            </w:pPr>
            <w:r>
              <w:rPr>
                <w:rFonts w:hint="eastAsia"/>
              </w:rPr>
              <w:t>B、</w:t>
            </w:r>
            <w:r>
              <w:rPr>
                <w:rFonts w:hint="default"/>
                <w:lang w:val="en-US" w:eastAsia="zh-CN"/>
              </w:rPr>
              <w:t>通过加强车间通风，减少废气对职工及周边环境的影响；</w:t>
            </w:r>
          </w:p>
          <w:p w14:paraId="2D110284">
            <w:pPr>
              <w:keepNext w:val="0"/>
              <w:keepLines w:val="0"/>
              <w:suppressLineNumbers w:val="0"/>
              <w:bidi w:val="0"/>
              <w:spacing w:before="0" w:beforeAutospacing="0" w:after="0" w:afterAutospacing="0"/>
              <w:ind w:left="0" w:right="0"/>
              <w:rPr>
                <w:rFonts w:hint="eastAsia"/>
              </w:rPr>
            </w:pPr>
            <w:r>
              <w:rPr>
                <w:rFonts w:hint="eastAsia"/>
              </w:rPr>
              <w:t>C、加强运行管理和环境管理，提高工人操作水平，通过宣传增强职工环保意识，积极推行清洁生产，节能降耗，多种措施并举，减少污染物排放。</w:t>
            </w:r>
          </w:p>
          <w:p w14:paraId="50FD661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lang w:eastAsia="zh-CN"/>
              </w:rPr>
              <w:t>（</w:t>
            </w:r>
            <w:r>
              <w:rPr>
                <w:rFonts w:hint="eastAsia"/>
                <w:lang w:val="en-US" w:eastAsia="zh-CN"/>
              </w:rPr>
              <w:t>4</w:t>
            </w:r>
            <w:r>
              <w:rPr>
                <w:rFonts w:hint="eastAsia"/>
                <w:lang w:eastAsia="zh-CN"/>
              </w:rPr>
              <w:t>）</w:t>
            </w:r>
            <w:r>
              <w:rPr>
                <w:rFonts w:hint="default" w:ascii="Times New Roman" w:hAnsi="Times New Roman" w:cs="Times New Roman" w:eastAsiaTheme="minorEastAsia"/>
                <w:color w:val="000000" w:themeColor="text1"/>
                <w:sz w:val="24"/>
                <w:szCs w:val="24"/>
                <w14:textFill>
                  <w14:solidFill>
                    <w14:schemeClr w14:val="tx1"/>
                  </w14:solidFill>
                </w14:textFill>
              </w:rPr>
              <w:t>环境防护距离分析</w:t>
            </w:r>
          </w:p>
          <w:p w14:paraId="739A9470">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根据生态环境部环境工程评估中心发布的：</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《建设项目环境影响报告表》内容、格式及编制技术指南常见问题解答</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一文中第三点：《建设项目环境影响评价技术导则 总纲》（HJ2.1-2016）未对大气防护距离提出评价要求，建设项目环境影响报告表编制技术指南（以下简称技术指南）不作要求。对于判定为需要开展大气专项评价的建设项目，根据《环境影响评价技术导则 大气环境》（HJ2.2-2018）需要计算大气环境防护距离的，应按要求计算。本项目无需开展大气专项评价，无需设置大气防护距离。</w:t>
            </w:r>
          </w:p>
          <w:p w14:paraId="41CECD22">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根据《制定地方大气污染物排放标准的技术方法》</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GB/T3840-91</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7.2章节相关内容</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无组织排放的有害气体进入呼吸带大气层时，其浓度超过GB3095与TJ36规定的居住区容许浓度限值，则无组织排放源所在的生产单元</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生产区、车间或工段</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与居住区之间应设置卫生防护距离</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根据表</w:t>
            </w:r>
            <w:r>
              <w:rPr>
                <w:rFonts w:hint="eastAsia" w:cs="Times New Roman" w:eastAsiaTheme="minorEastAsia"/>
                <w:color w:val="000000" w:themeColor="text1"/>
                <w:sz w:val="24"/>
                <w:szCs w:val="24"/>
                <w:lang w:val="en-US" w:eastAsia="zh-CN"/>
                <w14:textFill>
                  <w14:solidFill>
                    <w14:schemeClr w14:val="tx1"/>
                  </w14:solidFill>
                </w14:textFill>
              </w:rPr>
              <w:t>4.2-2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本项目</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颗粒物、非甲烷总烃</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无浓度超标点，因此，本项目可不设置卫生防护距离。</w:t>
            </w:r>
          </w:p>
          <w:p w14:paraId="4FFD735E">
            <w:pPr>
              <w:keepNext w:val="0"/>
              <w:keepLines w:val="0"/>
              <w:suppressLineNumbers w:val="0"/>
              <w:spacing w:before="0" w:beforeAutospacing="0" w:after="0" w:afterAutospacing="0" w:line="360" w:lineRule="auto"/>
              <w:ind w:left="0" w:right="0" w:firstLine="480" w:firstLineChars="200"/>
              <w:rPr>
                <w:rFonts w:hint="eastAsia" w:eastAsia="宋体"/>
                <w:lang w:eastAsia="zh-CN"/>
              </w:rPr>
            </w:pPr>
            <w:r>
              <w:rPr>
                <w:rFonts w:hint="default" w:ascii="Times New Roman" w:hAnsi="Times New Roman" w:cs="Times New Roman" w:eastAsiaTheme="minorEastAsia"/>
                <w:color w:val="000000" w:themeColor="text1"/>
                <w:sz w:val="24"/>
                <w:szCs w:val="24"/>
                <w14:textFill>
                  <w14:solidFill>
                    <w14:schemeClr w14:val="tx1"/>
                  </w14:solidFill>
                </w14:textFill>
              </w:rPr>
              <w:t>同时参照《大气环境影响评价实用技术》第10章</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大气环境防护距离与卫生防护距离</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10.2.2.2章计算确定卫生防护距离技术要点章节相关内容：</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在污染源所有影响区域范围内，排放到环境中的污染物浓度如超过环境空气质量标准，包括厂区内、厂界、厂界外，则需设置卫生防护距离，如在厂区内满足GB3095及TJ36要求，可不设置卫生防护距离</w:t>
            </w:r>
            <w:r>
              <w:rPr>
                <w:rFonts w:hint="eastAsia"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，综上所述，本项目不增设卫生防护距离。</w:t>
            </w:r>
          </w:p>
          <w:p w14:paraId="6E1D595A">
            <w:pPr>
              <w:pStyle w:val="4"/>
              <w:keepNext/>
              <w:keepLines/>
              <w:pageBreakBefore w:val="0"/>
              <w:widowControl w:val="0"/>
              <w:suppressLineNumbers w:val="0"/>
              <w:tabs>
                <w:tab w:val="left" w:pos="420"/>
                <w:tab w:val="clear" w:pos="0"/>
              </w:tabs>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auto"/>
                <w:highlight w:val="none"/>
                <w:lang w:val="en-US" w:eastAsia="zh-CN"/>
              </w:rPr>
            </w:pPr>
            <w:r>
              <w:rPr>
                <w:rFonts w:hint="default"/>
                <w:color w:val="auto"/>
                <w:highlight w:val="none"/>
                <w:lang w:val="en-US" w:eastAsia="zh-CN"/>
              </w:rPr>
              <w:t>非正常工况排放量核算</w:t>
            </w:r>
          </w:p>
          <w:p w14:paraId="6F156BEC">
            <w:pPr>
              <w:keepNext w:val="0"/>
              <w:keepLines w:val="0"/>
              <w:widowControl w:val="0"/>
              <w:suppressLineNumbers w:val="0"/>
              <w:bidi w:val="0"/>
              <w:spacing w:before="0" w:beforeAutospacing="0" w:after="0" w:afterAutospacing="0" w:line="360" w:lineRule="auto"/>
              <w:ind w:left="0" w:right="0"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（1）非正常排放情形及排放源强</w:t>
            </w:r>
          </w:p>
          <w:p w14:paraId="5565554B">
            <w:pPr>
              <w:keepNext w:val="0"/>
              <w:keepLines w:val="0"/>
              <w:widowControl w:val="0"/>
              <w:suppressLineNumbers w:val="0"/>
              <w:bidi w:val="0"/>
              <w:spacing w:before="0" w:beforeAutospacing="0" w:after="0" w:afterAutospacing="0" w:line="360" w:lineRule="auto"/>
              <w:ind w:left="0" w:right="0"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非正常排放情况指设备检修、污染物排放控制措施达不到应有效率、工艺设备运转异常等情况下的排污。根据本项目的情况，结合同类企业运营情况，确定项目非正常排放情况为污染治理设施发生故障、运转异常（如风机故障、集气管道破裂等），或维护不到位导致废气处理设施效率降低等非正常工况，情形如下：</w:t>
            </w:r>
          </w:p>
          <w:p w14:paraId="7CECCB87">
            <w:pPr>
              <w:keepNext w:val="0"/>
              <w:keepLines w:val="0"/>
              <w:widowControl w:val="0"/>
              <w:suppressLineNumbers w:val="0"/>
              <w:bidi w:val="0"/>
              <w:spacing w:before="0" w:beforeAutospacing="0" w:after="0" w:afterAutospacing="0" w:line="360" w:lineRule="auto"/>
              <w:ind w:left="0" w:right="0"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①有机废气处理设施故障，导致有机废气非正常排放。</w:t>
            </w:r>
          </w:p>
          <w:p w14:paraId="0A860955">
            <w:pPr>
              <w:keepNext w:val="0"/>
              <w:keepLines w:val="0"/>
              <w:widowControl w:val="0"/>
              <w:suppressLineNumbers w:val="0"/>
              <w:bidi w:val="0"/>
              <w:spacing w:before="0" w:beforeAutospacing="0" w:after="0" w:afterAutospacing="0" w:line="360" w:lineRule="auto"/>
              <w:ind w:left="0" w:right="0"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本评价按最不利情况考虑，即废气处理效率降低为0%的情况下污染物排放对周边环境的影响。由于有机废气事故排放效果不显著，短时间内难以发现，非正常工况持续时间按1h计，发生频率按1次/年。非正常工况下废气排放源强核算结果见下表4</w:t>
            </w:r>
            <w:r>
              <w:rPr>
                <w:rFonts w:hint="eastAsia" w:ascii="Times New Roman" w:hAnsi="Times New Roman" w:eastAsia="宋体" w:cs="宋体"/>
                <w:color w:val="auto"/>
                <w:kern w:val="2"/>
                <w:sz w:val="24"/>
                <w:szCs w:val="24"/>
                <w:highlight w:val="none"/>
                <w:lang w:val="en-US" w:eastAsia="zh-CN" w:bidi="ar-SA"/>
              </w:rPr>
              <w:t>.</w:t>
            </w:r>
            <w:r>
              <w:rPr>
                <w:rFonts w:hint="eastAsia" w:cs="宋体"/>
                <w:color w:val="auto"/>
                <w:kern w:val="2"/>
                <w:sz w:val="24"/>
                <w:szCs w:val="24"/>
                <w:highlight w:val="none"/>
                <w:lang w:val="en-US" w:eastAsia="zh-CN" w:bidi="ar-SA"/>
              </w:rPr>
              <w:t>2</w:t>
            </w:r>
            <w:r>
              <w:rPr>
                <w:rFonts w:hint="eastAsia" w:ascii="Times New Roman" w:hAnsi="Times New Roman" w:eastAsia="宋体" w:cs="宋体"/>
                <w:color w:val="auto"/>
                <w:kern w:val="2"/>
                <w:sz w:val="24"/>
                <w:szCs w:val="24"/>
                <w:highlight w:val="none"/>
                <w:lang w:val="en-US" w:eastAsia="zh-CN" w:bidi="ar-SA"/>
              </w:rPr>
              <w:t>-</w:t>
            </w:r>
            <w:r>
              <w:rPr>
                <w:rFonts w:hint="eastAsia" w:cs="宋体"/>
                <w:color w:val="auto"/>
                <w:kern w:val="2"/>
                <w:sz w:val="24"/>
                <w:szCs w:val="24"/>
                <w:highlight w:val="none"/>
                <w:lang w:val="en-US" w:eastAsia="zh-CN" w:bidi="ar-SA"/>
              </w:rPr>
              <w:t>4</w:t>
            </w:r>
            <w:r>
              <w:rPr>
                <w:rFonts w:hint="default" w:ascii="Times New Roman" w:hAnsi="Times New Roman" w:eastAsia="宋体" w:cs="宋体"/>
                <w:color w:val="auto"/>
                <w:kern w:val="2"/>
                <w:sz w:val="24"/>
                <w:szCs w:val="24"/>
                <w:highlight w:val="none"/>
                <w:lang w:val="en-US" w:eastAsia="zh-CN" w:bidi="ar-SA"/>
              </w:rPr>
              <w:t>。</w:t>
            </w:r>
          </w:p>
          <w:p w14:paraId="059C3DFA">
            <w:pPr>
              <w:pStyle w:val="39"/>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表4.</w:t>
            </w:r>
            <w:r>
              <w:rPr>
                <w:rFonts w:hint="eastAsia"/>
                <w:lang w:val="en-US" w:eastAsia="zh-CN"/>
              </w:rPr>
              <w:t>2</w:t>
            </w:r>
            <w:r>
              <w:rPr>
                <w:rFonts w:hint="default"/>
                <w:lang w:val="en-US" w:eastAsia="zh-CN"/>
              </w:rPr>
              <w:t>-</w:t>
            </w:r>
            <w:r>
              <w:rPr>
                <w:rFonts w:hint="eastAsia"/>
                <w:lang w:val="en-US" w:eastAsia="zh-CN"/>
              </w:rPr>
              <w:t xml:space="preserve">4  </w:t>
            </w:r>
            <w:r>
              <w:rPr>
                <w:rFonts w:hint="default"/>
                <w:lang w:val="en-US" w:eastAsia="zh-CN"/>
              </w:rPr>
              <w:t>污染源非正常排放量核算</w:t>
            </w:r>
          </w:p>
          <w:tbl>
            <w:tblPr>
              <w:tblStyle w:val="29"/>
              <w:tblW w:w="0" w:type="auto"/>
              <w:tblInd w:w="-15"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73"/>
              <w:gridCol w:w="838"/>
              <w:gridCol w:w="761"/>
              <w:gridCol w:w="1172"/>
              <w:gridCol w:w="1554"/>
              <w:gridCol w:w="1345"/>
              <w:gridCol w:w="665"/>
              <w:gridCol w:w="617"/>
              <w:gridCol w:w="1018"/>
            </w:tblGrid>
            <w:tr w14:paraId="0D0BF28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5" w:hRule="atLeast"/>
              </w:trPr>
              <w:tc>
                <w:tcPr>
                  <w:tcW w:w="473" w:type="dxa"/>
                  <w:tcBorders>
                    <w:top w:val="single" w:color="000000" w:sz="12" w:space="0"/>
                    <w:left w:val="nil"/>
                    <w:tl2br w:val="nil"/>
                  </w:tcBorders>
                  <w:shd w:val="clear" w:color="auto" w:fill="auto"/>
                  <w:vAlign w:val="center"/>
                </w:tcPr>
                <w:p w14:paraId="2CF4270E">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序号</w:t>
                  </w:r>
                </w:p>
              </w:tc>
              <w:tc>
                <w:tcPr>
                  <w:tcW w:w="838" w:type="dxa"/>
                  <w:tcBorders>
                    <w:top w:val="single" w:color="000000" w:sz="12" w:space="0"/>
                  </w:tcBorders>
                  <w:shd w:val="clear" w:color="auto" w:fill="auto"/>
                  <w:vAlign w:val="center"/>
                </w:tcPr>
                <w:p w14:paraId="33A838B9">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排放源</w:t>
                  </w:r>
                </w:p>
              </w:tc>
              <w:tc>
                <w:tcPr>
                  <w:tcW w:w="761" w:type="dxa"/>
                  <w:tcBorders>
                    <w:top w:val="single" w:color="000000" w:sz="12" w:space="0"/>
                  </w:tcBorders>
                  <w:shd w:val="clear" w:color="auto" w:fill="auto"/>
                  <w:vAlign w:val="center"/>
                </w:tcPr>
                <w:p w14:paraId="546F91DA">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非正常排放原因</w:t>
                  </w:r>
                </w:p>
              </w:tc>
              <w:tc>
                <w:tcPr>
                  <w:tcW w:w="1172" w:type="dxa"/>
                  <w:tcBorders>
                    <w:top w:val="single" w:color="000000" w:sz="12" w:space="0"/>
                  </w:tcBorders>
                  <w:shd w:val="clear" w:color="auto" w:fill="auto"/>
                  <w:vAlign w:val="center"/>
                </w:tcPr>
                <w:p w14:paraId="1C1D6BBC">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污染源</w:t>
                  </w:r>
                </w:p>
              </w:tc>
              <w:tc>
                <w:tcPr>
                  <w:tcW w:w="1554" w:type="dxa"/>
                  <w:tcBorders>
                    <w:top w:val="single" w:color="000000" w:sz="12" w:space="0"/>
                  </w:tcBorders>
                  <w:shd w:val="clear" w:color="auto" w:fill="auto"/>
                  <w:vAlign w:val="center"/>
                </w:tcPr>
                <w:p w14:paraId="33843F01">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非正常排放浓</w:t>
                  </w:r>
                  <w:r>
                    <w:rPr>
                      <w:rFonts w:hint="default"/>
                      <w:b w:val="0"/>
                      <w:color w:val="000000"/>
                      <w:szCs w:val="22"/>
                      <w:lang w:val="en-US" w:eastAsia="zh-CN"/>
                    </w:rPr>
                    <w:t xml:space="preserve"> </w:t>
                  </w:r>
                  <w:r>
                    <w:rPr>
                      <w:rFonts w:hint="eastAsia"/>
                      <w:b w:val="0"/>
                      <w:color w:val="000000"/>
                      <w:szCs w:val="22"/>
                      <w:lang w:val="en-US" w:eastAsia="zh-CN"/>
                    </w:rPr>
                    <w:t>度（mg/m</w:t>
                  </w:r>
                  <w:r>
                    <w:rPr>
                      <w:rFonts w:hint="eastAsia"/>
                      <w:b w:val="0"/>
                      <w:color w:val="000000"/>
                      <w:szCs w:val="22"/>
                      <w:vertAlign w:val="superscript"/>
                      <w:lang w:val="en-US" w:eastAsia="zh-CN"/>
                    </w:rPr>
                    <w:t>3</w:t>
                  </w:r>
                  <w:r>
                    <w:rPr>
                      <w:rFonts w:hint="eastAsia"/>
                      <w:b w:val="0"/>
                      <w:color w:val="000000"/>
                      <w:szCs w:val="22"/>
                      <w:lang w:val="en-US" w:eastAsia="zh-CN"/>
                    </w:rPr>
                    <w:t>）</w:t>
                  </w:r>
                </w:p>
              </w:tc>
              <w:tc>
                <w:tcPr>
                  <w:tcW w:w="1345" w:type="dxa"/>
                  <w:tcBorders>
                    <w:top w:val="single" w:color="000000" w:sz="12" w:space="0"/>
                  </w:tcBorders>
                  <w:shd w:val="clear" w:color="auto" w:fill="auto"/>
                  <w:vAlign w:val="center"/>
                </w:tcPr>
                <w:p w14:paraId="53258FBF">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非正常排放速率（kg/h）</w:t>
                  </w:r>
                </w:p>
              </w:tc>
              <w:tc>
                <w:tcPr>
                  <w:tcW w:w="665" w:type="dxa"/>
                  <w:tcBorders>
                    <w:top w:val="single" w:color="000000" w:sz="12" w:space="0"/>
                  </w:tcBorders>
                  <w:shd w:val="clear" w:color="auto" w:fill="auto"/>
                  <w:vAlign w:val="center"/>
                </w:tcPr>
                <w:p w14:paraId="5C07A685">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单次维持时间</w:t>
                  </w:r>
                </w:p>
              </w:tc>
              <w:tc>
                <w:tcPr>
                  <w:tcW w:w="617" w:type="dxa"/>
                  <w:tcBorders>
                    <w:top w:val="single" w:color="000000" w:sz="12" w:space="0"/>
                  </w:tcBorders>
                  <w:shd w:val="clear" w:color="auto" w:fill="auto"/>
                  <w:vAlign w:val="center"/>
                </w:tcPr>
                <w:p w14:paraId="33228C52">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年发生次数</w:t>
                  </w:r>
                </w:p>
              </w:tc>
              <w:tc>
                <w:tcPr>
                  <w:tcW w:w="1018" w:type="dxa"/>
                  <w:tcBorders>
                    <w:top w:val="single" w:color="000000" w:sz="12" w:space="0"/>
                    <w:right w:val="nil"/>
                  </w:tcBorders>
                  <w:shd w:val="clear" w:color="auto" w:fill="auto"/>
                  <w:vAlign w:val="center"/>
                </w:tcPr>
                <w:p w14:paraId="2DF425D8">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应对措施</w:t>
                  </w:r>
                </w:p>
              </w:tc>
            </w:tr>
            <w:tr w14:paraId="44B83A1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473" w:type="dxa"/>
                  <w:tcBorders>
                    <w:left w:val="nil"/>
                  </w:tcBorders>
                  <w:shd w:val="clear" w:color="auto" w:fill="auto"/>
                  <w:vAlign w:val="center"/>
                </w:tcPr>
                <w:p w14:paraId="0E6E3548">
                  <w:pPr>
                    <w:pStyle w:val="38"/>
                    <w:keepNext w:val="0"/>
                    <w:keepLines w:val="0"/>
                    <w:widowControl/>
                    <w:suppressLineNumbers w:val="0"/>
                    <w:bidi w:val="0"/>
                    <w:spacing w:before="0" w:beforeAutospacing="0" w:after="0" w:afterAutospacing="0"/>
                    <w:ind w:left="0" w:right="0"/>
                    <w:rPr>
                      <w:rFonts w:hint="default"/>
                      <w:b w:val="0"/>
                      <w:color w:val="000000"/>
                      <w:szCs w:val="22"/>
                    </w:rPr>
                  </w:pPr>
                  <w:r>
                    <w:rPr>
                      <w:rFonts w:hint="default"/>
                      <w:b w:val="0"/>
                      <w:color w:val="000000"/>
                      <w:szCs w:val="22"/>
                      <w:lang w:val="en-US" w:eastAsia="zh-CN"/>
                    </w:rPr>
                    <w:t>1</w:t>
                  </w:r>
                </w:p>
              </w:tc>
              <w:tc>
                <w:tcPr>
                  <w:tcW w:w="838" w:type="dxa"/>
                  <w:vMerge w:val="restart"/>
                  <w:shd w:val="clear" w:color="auto" w:fill="auto"/>
                  <w:vAlign w:val="center"/>
                </w:tcPr>
                <w:p w14:paraId="28BDBD37">
                  <w:pPr>
                    <w:pStyle w:val="38"/>
                    <w:keepNext w:val="0"/>
                    <w:keepLines w:val="0"/>
                    <w:widowControl/>
                    <w:suppressLineNumbers w:val="0"/>
                    <w:bidi w:val="0"/>
                    <w:spacing w:before="0" w:beforeAutospacing="0" w:after="0" w:afterAutospacing="0"/>
                    <w:ind w:left="0" w:right="0"/>
                    <w:rPr>
                      <w:rFonts w:hint="default"/>
                      <w:b w:val="0"/>
                      <w:color w:val="000000"/>
                      <w:szCs w:val="22"/>
                    </w:rPr>
                  </w:pPr>
                  <w:r>
                    <w:rPr>
                      <w:rFonts w:hint="default"/>
                      <w:b w:val="0"/>
                      <w:color w:val="000000"/>
                      <w:szCs w:val="22"/>
                      <w:lang w:val="en-US" w:eastAsia="zh-CN"/>
                    </w:rPr>
                    <w:t>DA001</w:t>
                  </w:r>
                </w:p>
              </w:tc>
              <w:tc>
                <w:tcPr>
                  <w:tcW w:w="761" w:type="dxa"/>
                  <w:vMerge w:val="restart"/>
                  <w:shd w:val="clear" w:color="auto" w:fill="auto"/>
                  <w:vAlign w:val="center"/>
                </w:tcPr>
                <w:p w14:paraId="36B710BF">
                  <w:pPr>
                    <w:pStyle w:val="38"/>
                    <w:keepNext w:val="0"/>
                    <w:keepLines w:val="0"/>
                    <w:widowControl/>
                    <w:suppressLineNumbers w:val="0"/>
                    <w:bidi w:val="0"/>
                    <w:spacing w:before="0" w:beforeAutospacing="0" w:after="0" w:afterAutospacing="0"/>
                    <w:ind w:left="0" w:right="0"/>
                    <w:rPr>
                      <w:rFonts w:hint="default"/>
                      <w:b w:val="0"/>
                      <w:color w:val="000000"/>
                      <w:szCs w:val="22"/>
                    </w:rPr>
                  </w:pPr>
                  <w:r>
                    <w:rPr>
                      <w:rFonts w:hint="default"/>
                      <w:b w:val="0"/>
                      <w:color w:val="000000"/>
                      <w:szCs w:val="22"/>
                      <w:lang w:val="en-US" w:eastAsia="zh-CN"/>
                    </w:rPr>
                    <w:t>废气治理设施故障</w:t>
                  </w:r>
                </w:p>
              </w:tc>
              <w:tc>
                <w:tcPr>
                  <w:tcW w:w="1172" w:type="dxa"/>
                  <w:shd w:val="clear" w:color="auto" w:fill="auto"/>
                  <w:vAlign w:val="center"/>
                </w:tcPr>
                <w:p w14:paraId="3BDA5F40">
                  <w:pPr>
                    <w:pStyle w:val="38"/>
                    <w:keepNext w:val="0"/>
                    <w:keepLines w:val="0"/>
                    <w:widowControl/>
                    <w:suppressLineNumbers w:val="0"/>
                    <w:bidi w:val="0"/>
                    <w:spacing w:before="0" w:beforeAutospacing="0" w:after="0" w:afterAutospacing="0"/>
                    <w:ind w:left="0" w:right="0"/>
                    <w:rPr>
                      <w:rFonts w:hint="default"/>
                      <w:b w:val="0"/>
                      <w:color w:val="000000"/>
                      <w:szCs w:val="22"/>
                    </w:rPr>
                  </w:pPr>
                  <w:r>
                    <w:rPr>
                      <w:rFonts w:hint="eastAsia"/>
                      <w:b w:val="0"/>
                      <w:color w:val="000000"/>
                      <w:szCs w:val="22"/>
                      <w:lang w:val="en-US" w:eastAsia="zh-CN"/>
                    </w:rPr>
                    <w:t>VOCs（以非甲烷总烃计）</w:t>
                  </w:r>
                </w:p>
              </w:tc>
              <w:tc>
                <w:tcPr>
                  <w:tcW w:w="1554" w:type="dxa"/>
                  <w:shd w:val="clear" w:color="auto" w:fill="auto"/>
                  <w:vAlign w:val="center"/>
                </w:tcPr>
                <w:p w14:paraId="18579BA6">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5.144</w:t>
                  </w:r>
                </w:p>
              </w:tc>
              <w:tc>
                <w:tcPr>
                  <w:tcW w:w="1345" w:type="dxa"/>
                  <w:shd w:val="clear" w:color="auto" w:fill="auto"/>
                  <w:vAlign w:val="center"/>
                </w:tcPr>
                <w:p w14:paraId="5556F82C">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0.1029</w:t>
                  </w:r>
                </w:p>
              </w:tc>
              <w:tc>
                <w:tcPr>
                  <w:tcW w:w="665" w:type="dxa"/>
                  <w:shd w:val="clear" w:color="auto" w:fill="auto"/>
                  <w:vAlign w:val="center"/>
                </w:tcPr>
                <w:p w14:paraId="1368320D">
                  <w:pPr>
                    <w:pStyle w:val="38"/>
                    <w:keepNext w:val="0"/>
                    <w:keepLines w:val="0"/>
                    <w:widowControl/>
                    <w:suppressLineNumbers w:val="0"/>
                    <w:bidi w:val="0"/>
                    <w:spacing w:before="0" w:beforeAutospacing="0" w:after="0" w:afterAutospacing="0"/>
                    <w:ind w:left="0" w:right="0"/>
                    <w:rPr>
                      <w:rFonts w:hint="default"/>
                      <w:b w:val="0"/>
                      <w:color w:val="000000"/>
                      <w:szCs w:val="22"/>
                    </w:rPr>
                  </w:pPr>
                  <w:r>
                    <w:rPr>
                      <w:rFonts w:hint="default"/>
                      <w:b w:val="0"/>
                      <w:color w:val="000000"/>
                      <w:szCs w:val="22"/>
                      <w:lang w:val="en-US" w:eastAsia="zh-CN"/>
                    </w:rPr>
                    <w:t>1h</w:t>
                  </w:r>
                </w:p>
              </w:tc>
              <w:tc>
                <w:tcPr>
                  <w:tcW w:w="617" w:type="dxa"/>
                  <w:shd w:val="clear" w:color="auto" w:fill="auto"/>
                  <w:vAlign w:val="center"/>
                </w:tcPr>
                <w:p w14:paraId="5E1BF8B2">
                  <w:pPr>
                    <w:pStyle w:val="38"/>
                    <w:keepNext w:val="0"/>
                    <w:keepLines w:val="0"/>
                    <w:widowControl/>
                    <w:suppressLineNumbers w:val="0"/>
                    <w:bidi w:val="0"/>
                    <w:spacing w:before="0" w:beforeAutospacing="0" w:after="0" w:afterAutospacing="0"/>
                    <w:ind w:left="0" w:right="0"/>
                    <w:rPr>
                      <w:rFonts w:hint="default"/>
                      <w:b w:val="0"/>
                      <w:color w:val="000000"/>
                      <w:szCs w:val="22"/>
                    </w:rPr>
                  </w:pPr>
                  <w:r>
                    <w:rPr>
                      <w:rFonts w:hint="default"/>
                      <w:b w:val="0"/>
                      <w:color w:val="000000"/>
                      <w:szCs w:val="22"/>
                      <w:lang w:val="en-US" w:eastAsia="zh-CN"/>
                    </w:rPr>
                    <w:t>1</w:t>
                  </w:r>
                  <w:r>
                    <w:rPr>
                      <w:rFonts w:hint="eastAsia"/>
                      <w:b w:val="0"/>
                      <w:color w:val="000000"/>
                      <w:szCs w:val="22"/>
                      <w:lang w:val="en-US" w:eastAsia="zh-CN"/>
                    </w:rPr>
                    <w:t>次</w:t>
                  </w:r>
                </w:p>
              </w:tc>
              <w:tc>
                <w:tcPr>
                  <w:tcW w:w="1018" w:type="dxa"/>
                  <w:tcBorders>
                    <w:right w:val="nil"/>
                  </w:tcBorders>
                  <w:shd w:val="clear" w:color="auto" w:fill="auto"/>
                  <w:vAlign w:val="center"/>
                </w:tcPr>
                <w:p w14:paraId="4FBA9036">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立即停产，修复后生产</w:t>
                  </w:r>
                </w:p>
              </w:tc>
            </w:tr>
            <w:tr w14:paraId="7727EDA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5" w:hRule="atLeast"/>
              </w:trPr>
              <w:tc>
                <w:tcPr>
                  <w:tcW w:w="473" w:type="dxa"/>
                  <w:tcBorders>
                    <w:left w:val="nil"/>
                  </w:tcBorders>
                  <w:shd w:val="clear" w:color="auto" w:fill="auto"/>
                  <w:vAlign w:val="center"/>
                </w:tcPr>
                <w:p w14:paraId="36BC610C">
                  <w:pPr>
                    <w:pStyle w:val="38"/>
                    <w:keepNext w:val="0"/>
                    <w:keepLines w:val="0"/>
                    <w:widowControl/>
                    <w:suppressLineNumbers w:val="0"/>
                    <w:bidi w:val="0"/>
                    <w:spacing w:before="0" w:beforeAutospacing="0" w:after="0" w:afterAutospacing="0"/>
                    <w:ind w:left="0" w:right="0"/>
                    <w:rPr>
                      <w:rFonts w:hint="default"/>
                      <w:b w:val="0"/>
                      <w:color w:val="000000"/>
                      <w:szCs w:val="22"/>
                    </w:rPr>
                  </w:pPr>
                  <w:r>
                    <w:rPr>
                      <w:rFonts w:hint="default"/>
                      <w:b w:val="0"/>
                      <w:color w:val="000000"/>
                      <w:szCs w:val="22"/>
                      <w:lang w:val="en-US" w:eastAsia="zh-CN"/>
                    </w:rPr>
                    <w:t>2</w:t>
                  </w:r>
                </w:p>
              </w:tc>
              <w:tc>
                <w:tcPr>
                  <w:tcW w:w="838" w:type="dxa"/>
                  <w:vMerge w:val="continue"/>
                  <w:shd w:val="clear" w:color="auto" w:fill="auto"/>
                  <w:vAlign w:val="center"/>
                </w:tcPr>
                <w:p w14:paraId="51597DCE">
                  <w:pPr>
                    <w:pStyle w:val="38"/>
                    <w:keepNext w:val="0"/>
                    <w:keepLines w:val="0"/>
                    <w:widowControl/>
                    <w:suppressLineNumbers w:val="0"/>
                    <w:bidi w:val="0"/>
                    <w:spacing w:before="0" w:beforeAutospacing="0" w:after="0" w:afterAutospacing="0"/>
                    <w:ind w:left="0" w:right="0"/>
                    <w:rPr>
                      <w:rFonts w:hint="default"/>
                      <w:b w:val="0"/>
                      <w:color w:val="000000"/>
                      <w:szCs w:val="22"/>
                    </w:rPr>
                  </w:pPr>
                </w:p>
              </w:tc>
              <w:tc>
                <w:tcPr>
                  <w:tcW w:w="761" w:type="dxa"/>
                  <w:vMerge w:val="continue"/>
                  <w:shd w:val="clear" w:color="auto" w:fill="auto"/>
                  <w:vAlign w:val="center"/>
                </w:tcPr>
                <w:p w14:paraId="5FE39CD5">
                  <w:pPr>
                    <w:pStyle w:val="38"/>
                    <w:keepNext w:val="0"/>
                    <w:keepLines w:val="0"/>
                    <w:widowControl/>
                    <w:suppressLineNumbers w:val="0"/>
                    <w:bidi w:val="0"/>
                    <w:spacing w:before="0" w:beforeAutospacing="0" w:after="0" w:afterAutospacing="0"/>
                    <w:ind w:left="0" w:right="0"/>
                    <w:rPr>
                      <w:rFonts w:hint="default"/>
                      <w:b w:val="0"/>
                      <w:color w:val="000000"/>
                      <w:szCs w:val="22"/>
                    </w:rPr>
                  </w:pPr>
                </w:p>
              </w:tc>
              <w:tc>
                <w:tcPr>
                  <w:tcW w:w="1172" w:type="dxa"/>
                  <w:shd w:val="clear" w:color="auto" w:fill="auto"/>
                  <w:vAlign w:val="center"/>
                </w:tcPr>
                <w:p w14:paraId="627C05C5">
                  <w:pPr>
                    <w:pStyle w:val="38"/>
                    <w:keepNext w:val="0"/>
                    <w:keepLines w:val="0"/>
                    <w:widowControl/>
                    <w:suppressLineNumbers w:val="0"/>
                    <w:bidi w:val="0"/>
                    <w:spacing w:before="0" w:beforeAutospacing="0" w:after="0" w:afterAutospacing="0"/>
                    <w:ind w:left="0" w:right="0"/>
                    <w:rPr>
                      <w:rFonts w:hint="default"/>
                      <w:b w:val="0"/>
                      <w:color w:val="000000"/>
                      <w:szCs w:val="22"/>
                    </w:rPr>
                  </w:pPr>
                  <w:r>
                    <w:rPr>
                      <w:rFonts w:hint="default"/>
                      <w:b w:val="0"/>
                      <w:color w:val="000000"/>
                      <w:szCs w:val="22"/>
                      <w:lang w:val="en-US" w:eastAsia="zh-CN"/>
                    </w:rPr>
                    <w:t>颗粒物</w:t>
                  </w:r>
                </w:p>
              </w:tc>
              <w:tc>
                <w:tcPr>
                  <w:tcW w:w="1554" w:type="dxa"/>
                  <w:shd w:val="clear" w:color="auto" w:fill="auto"/>
                  <w:vAlign w:val="center"/>
                </w:tcPr>
                <w:p w14:paraId="605872DF">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3.4648</w:t>
                  </w:r>
                </w:p>
              </w:tc>
              <w:tc>
                <w:tcPr>
                  <w:tcW w:w="1345" w:type="dxa"/>
                  <w:shd w:val="clear" w:color="auto" w:fill="auto"/>
                  <w:vAlign w:val="center"/>
                </w:tcPr>
                <w:p w14:paraId="6C704E86">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0.0693</w:t>
                  </w:r>
                </w:p>
              </w:tc>
              <w:tc>
                <w:tcPr>
                  <w:tcW w:w="665" w:type="dxa"/>
                  <w:shd w:val="clear" w:color="auto" w:fill="auto"/>
                  <w:vAlign w:val="center"/>
                </w:tcPr>
                <w:p w14:paraId="7BA13E02">
                  <w:pPr>
                    <w:pStyle w:val="38"/>
                    <w:keepNext w:val="0"/>
                    <w:keepLines w:val="0"/>
                    <w:widowControl/>
                    <w:suppressLineNumbers w:val="0"/>
                    <w:bidi w:val="0"/>
                    <w:spacing w:before="0" w:beforeAutospacing="0" w:after="0" w:afterAutospacing="0"/>
                    <w:ind w:left="0" w:right="0"/>
                    <w:rPr>
                      <w:rFonts w:hint="default"/>
                      <w:b w:val="0"/>
                      <w:color w:val="000000"/>
                      <w:szCs w:val="22"/>
                    </w:rPr>
                  </w:pPr>
                  <w:r>
                    <w:rPr>
                      <w:rFonts w:hint="default"/>
                      <w:b w:val="0"/>
                      <w:color w:val="000000"/>
                      <w:szCs w:val="22"/>
                      <w:lang w:val="en-US" w:eastAsia="zh-CN"/>
                    </w:rPr>
                    <w:t>1h</w:t>
                  </w:r>
                </w:p>
              </w:tc>
              <w:tc>
                <w:tcPr>
                  <w:tcW w:w="617" w:type="dxa"/>
                  <w:shd w:val="clear" w:color="auto" w:fill="auto"/>
                  <w:vAlign w:val="center"/>
                </w:tcPr>
                <w:p w14:paraId="6D567CCB">
                  <w:pPr>
                    <w:pStyle w:val="38"/>
                    <w:keepNext w:val="0"/>
                    <w:keepLines w:val="0"/>
                    <w:widowControl/>
                    <w:suppressLineNumbers w:val="0"/>
                    <w:bidi w:val="0"/>
                    <w:spacing w:before="0" w:beforeAutospacing="0" w:after="0" w:afterAutospacing="0"/>
                    <w:ind w:left="0" w:right="0"/>
                    <w:rPr>
                      <w:rFonts w:hint="default"/>
                      <w:b w:val="0"/>
                      <w:color w:val="000000"/>
                      <w:szCs w:val="22"/>
                    </w:rPr>
                  </w:pPr>
                  <w:r>
                    <w:rPr>
                      <w:rFonts w:hint="default"/>
                      <w:b w:val="0"/>
                      <w:color w:val="000000"/>
                      <w:szCs w:val="22"/>
                      <w:lang w:val="en-US" w:eastAsia="zh-CN"/>
                    </w:rPr>
                    <w:t>1</w:t>
                  </w:r>
                  <w:r>
                    <w:rPr>
                      <w:rFonts w:hint="eastAsia"/>
                      <w:b w:val="0"/>
                      <w:color w:val="000000"/>
                      <w:szCs w:val="22"/>
                      <w:lang w:val="en-US" w:eastAsia="zh-CN"/>
                    </w:rPr>
                    <w:t>次</w:t>
                  </w:r>
                </w:p>
              </w:tc>
              <w:tc>
                <w:tcPr>
                  <w:tcW w:w="1018" w:type="dxa"/>
                  <w:tcBorders>
                    <w:right w:val="nil"/>
                  </w:tcBorders>
                  <w:shd w:val="clear" w:color="auto" w:fill="auto"/>
                  <w:vAlign w:val="center"/>
                </w:tcPr>
                <w:p w14:paraId="53CEBC8A">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立即停产，修复后生产</w:t>
                  </w:r>
                </w:p>
              </w:tc>
            </w:tr>
            <w:tr w14:paraId="3EFA818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5" w:hRule="atLeast"/>
              </w:trPr>
              <w:tc>
                <w:tcPr>
                  <w:tcW w:w="473" w:type="dxa"/>
                  <w:tcBorders>
                    <w:left w:val="nil"/>
                  </w:tcBorders>
                  <w:shd w:val="clear" w:color="auto" w:fill="auto"/>
                  <w:vAlign w:val="center"/>
                </w:tcPr>
                <w:p w14:paraId="7A72C72E">
                  <w:pPr>
                    <w:pStyle w:val="38"/>
                    <w:keepNext w:val="0"/>
                    <w:keepLines w:val="0"/>
                    <w:widowControl/>
                    <w:suppressLineNumbers w:val="0"/>
                    <w:bidi w:val="0"/>
                    <w:spacing w:before="0" w:beforeAutospacing="0" w:after="0" w:afterAutospacing="0"/>
                    <w:ind w:left="0" w:right="0"/>
                    <w:rPr>
                      <w:rFonts w:hint="default"/>
                      <w:b w:val="0"/>
                      <w:color w:val="000000"/>
                      <w:szCs w:val="22"/>
                    </w:rPr>
                  </w:pPr>
                  <w:r>
                    <w:rPr>
                      <w:rFonts w:hint="default"/>
                      <w:b w:val="0"/>
                      <w:color w:val="000000"/>
                      <w:szCs w:val="22"/>
                      <w:lang w:val="en-US" w:eastAsia="zh-CN"/>
                    </w:rPr>
                    <w:t>3</w:t>
                  </w:r>
                </w:p>
              </w:tc>
              <w:tc>
                <w:tcPr>
                  <w:tcW w:w="838" w:type="dxa"/>
                  <w:vMerge w:val="restart"/>
                  <w:shd w:val="clear" w:color="auto" w:fill="auto"/>
                  <w:vAlign w:val="center"/>
                </w:tcPr>
                <w:p w14:paraId="066B715C">
                  <w:pPr>
                    <w:pStyle w:val="38"/>
                    <w:keepNext w:val="0"/>
                    <w:keepLines w:val="0"/>
                    <w:widowControl/>
                    <w:suppressLineNumbers w:val="0"/>
                    <w:bidi w:val="0"/>
                    <w:spacing w:before="0" w:beforeAutospacing="0" w:after="0" w:afterAutospacing="0"/>
                    <w:ind w:left="0" w:right="0"/>
                    <w:rPr>
                      <w:rFonts w:hint="default"/>
                      <w:b w:val="0"/>
                      <w:color w:val="000000"/>
                      <w:szCs w:val="22"/>
                    </w:rPr>
                  </w:pPr>
                  <w:r>
                    <w:rPr>
                      <w:rFonts w:hint="default"/>
                      <w:b w:val="0"/>
                      <w:color w:val="000000"/>
                      <w:szCs w:val="22"/>
                      <w:lang w:val="en-US" w:eastAsia="zh-CN"/>
                    </w:rPr>
                    <w:t>DA002</w:t>
                  </w:r>
                </w:p>
              </w:tc>
              <w:tc>
                <w:tcPr>
                  <w:tcW w:w="761" w:type="dxa"/>
                  <w:vMerge w:val="continue"/>
                  <w:shd w:val="clear" w:color="auto" w:fill="auto"/>
                  <w:vAlign w:val="center"/>
                </w:tcPr>
                <w:p w14:paraId="69D11440">
                  <w:pPr>
                    <w:pStyle w:val="38"/>
                    <w:keepNext w:val="0"/>
                    <w:keepLines w:val="0"/>
                    <w:widowControl/>
                    <w:suppressLineNumbers w:val="0"/>
                    <w:bidi w:val="0"/>
                    <w:spacing w:before="0" w:beforeAutospacing="0" w:after="0" w:afterAutospacing="0"/>
                    <w:ind w:left="0" w:right="0"/>
                    <w:rPr>
                      <w:rFonts w:hint="default"/>
                      <w:b w:val="0"/>
                      <w:color w:val="000000"/>
                      <w:szCs w:val="22"/>
                    </w:rPr>
                  </w:pPr>
                </w:p>
              </w:tc>
              <w:tc>
                <w:tcPr>
                  <w:tcW w:w="1172" w:type="dxa"/>
                  <w:shd w:val="clear" w:color="auto" w:fill="auto"/>
                  <w:vAlign w:val="center"/>
                </w:tcPr>
                <w:p w14:paraId="56F2E7CF">
                  <w:pPr>
                    <w:pStyle w:val="38"/>
                    <w:keepNext w:val="0"/>
                    <w:keepLines w:val="0"/>
                    <w:widowControl/>
                    <w:suppressLineNumbers w:val="0"/>
                    <w:bidi w:val="0"/>
                    <w:spacing w:before="0" w:beforeAutospacing="0" w:after="0" w:afterAutospacing="0"/>
                    <w:ind w:left="0" w:right="0"/>
                    <w:rPr>
                      <w:rFonts w:hint="default"/>
                      <w:b w:val="0"/>
                      <w:color w:val="000000"/>
                      <w:szCs w:val="22"/>
                    </w:rPr>
                  </w:pPr>
                  <w:r>
                    <w:rPr>
                      <w:rFonts w:hint="eastAsia"/>
                      <w:b w:val="0"/>
                      <w:color w:val="000000"/>
                      <w:szCs w:val="22"/>
                      <w:lang w:val="en-US" w:eastAsia="zh-CN"/>
                    </w:rPr>
                    <w:t>VOCs（以非甲烷总烃计）</w:t>
                  </w:r>
                </w:p>
              </w:tc>
              <w:tc>
                <w:tcPr>
                  <w:tcW w:w="1554" w:type="dxa"/>
                  <w:shd w:val="clear" w:color="auto" w:fill="auto"/>
                  <w:vAlign w:val="center"/>
                </w:tcPr>
                <w:p w14:paraId="3D4F2DAE">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5.144</w:t>
                  </w:r>
                </w:p>
              </w:tc>
              <w:tc>
                <w:tcPr>
                  <w:tcW w:w="1345" w:type="dxa"/>
                  <w:shd w:val="clear" w:color="auto" w:fill="auto"/>
                  <w:vAlign w:val="center"/>
                </w:tcPr>
                <w:p w14:paraId="39F1C8EC">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0.1029</w:t>
                  </w:r>
                </w:p>
              </w:tc>
              <w:tc>
                <w:tcPr>
                  <w:tcW w:w="665" w:type="dxa"/>
                  <w:shd w:val="clear" w:color="auto" w:fill="auto"/>
                  <w:vAlign w:val="center"/>
                </w:tcPr>
                <w:p w14:paraId="58FA357C">
                  <w:pPr>
                    <w:pStyle w:val="38"/>
                    <w:keepNext w:val="0"/>
                    <w:keepLines w:val="0"/>
                    <w:widowControl/>
                    <w:suppressLineNumbers w:val="0"/>
                    <w:bidi w:val="0"/>
                    <w:spacing w:before="0" w:beforeAutospacing="0" w:after="0" w:afterAutospacing="0"/>
                    <w:ind w:left="0" w:right="0"/>
                    <w:rPr>
                      <w:rFonts w:hint="default"/>
                      <w:b w:val="0"/>
                      <w:color w:val="000000"/>
                      <w:szCs w:val="22"/>
                    </w:rPr>
                  </w:pPr>
                  <w:r>
                    <w:rPr>
                      <w:rFonts w:hint="default"/>
                      <w:b w:val="0"/>
                      <w:color w:val="000000"/>
                      <w:szCs w:val="22"/>
                      <w:lang w:val="en-US" w:eastAsia="zh-CN"/>
                    </w:rPr>
                    <w:t>1h</w:t>
                  </w:r>
                </w:p>
              </w:tc>
              <w:tc>
                <w:tcPr>
                  <w:tcW w:w="617" w:type="dxa"/>
                  <w:shd w:val="clear" w:color="auto" w:fill="auto"/>
                  <w:vAlign w:val="center"/>
                </w:tcPr>
                <w:p w14:paraId="46A8B676">
                  <w:pPr>
                    <w:pStyle w:val="38"/>
                    <w:keepNext w:val="0"/>
                    <w:keepLines w:val="0"/>
                    <w:widowControl/>
                    <w:suppressLineNumbers w:val="0"/>
                    <w:bidi w:val="0"/>
                    <w:spacing w:before="0" w:beforeAutospacing="0" w:after="0" w:afterAutospacing="0"/>
                    <w:ind w:left="0" w:right="0"/>
                    <w:rPr>
                      <w:rFonts w:hint="default"/>
                      <w:b w:val="0"/>
                      <w:color w:val="000000"/>
                      <w:szCs w:val="22"/>
                    </w:rPr>
                  </w:pPr>
                  <w:r>
                    <w:rPr>
                      <w:rFonts w:hint="default"/>
                      <w:b w:val="0"/>
                      <w:color w:val="000000"/>
                      <w:szCs w:val="22"/>
                      <w:lang w:val="en-US" w:eastAsia="zh-CN"/>
                    </w:rPr>
                    <w:t>1</w:t>
                  </w:r>
                  <w:r>
                    <w:rPr>
                      <w:rFonts w:hint="eastAsia"/>
                      <w:b w:val="0"/>
                      <w:color w:val="000000"/>
                      <w:szCs w:val="22"/>
                      <w:lang w:val="en-US" w:eastAsia="zh-CN"/>
                    </w:rPr>
                    <w:t>次</w:t>
                  </w:r>
                </w:p>
              </w:tc>
              <w:tc>
                <w:tcPr>
                  <w:tcW w:w="1018" w:type="dxa"/>
                  <w:tcBorders>
                    <w:right w:val="nil"/>
                  </w:tcBorders>
                  <w:shd w:val="clear" w:color="auto" w:fill="auto"/>
                  <w:vAlign w:val="center"/>
                </w:tcPr>
                <w:p w14:paraId="2E5584D7">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立即停产，修复后生产</w:t>
                  </w:r>
                </w:p>
              </w:tc>
            </w:tr>
            <w:tr w14:paraId="04D3EE3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473" w:type="dxa"/>
                  <w:tcBorders>
                    <w:left w:val="nil"/>
                  </w:tcBorders>
                  <w:shd w:val="clear" w:color="auto" w:fill="auto"/>
                  <w:vAlign w:val="center"/>
                </w:tcPr>
                <w:p w14:paraId="372ABE2D">
                  <w:pPr>
                    <w:pStyle w:val="38"/>
                    <w:keepNext w:val="0"/>
                    <w:keepLines w:val="0"/>
                    <w:widowControl/>
                    <w:suppressLineNumbers w:val="0"/>
                    <w:bidi w:val="0"/>
                    <w:spacing w:before="0" w:beforeAutospacing="0" w:after="0" w:afterAutospacing="0"/>
                    <w:ind w:left="0" w:right="0"/>
                    <w:rPr>
                      <w:rFonts w:hint="default"/>
                      <w:b w:val="0"/>
                      <w:color w:val="000000"/>
                      <w:szCs w:val="22"/>
                    </w:rPr>
                  </w:pPr>
                  <w:r>
                    <w:rPr>
                      <w:rFonts w:hint="default"/>
                      <w:b w:val="0"/>
                      <w:color w:val="000000"/>
                      <w:szCs w:val="22"/>
                      <w:lang w:val="en-US" w:eastAsia="zh-CN"/>
                    </w:rPr>
                    <w:t>4</w:t>
                  </w:r>
                </w:p>
              </w:tc>
              <w:tc>
                <w:tcPr>
                  <w:tcW w:w="838" w:type="dxa"/>
                  <w:vMerge w:val="continue"/>
                  <w:shd w:val="clear" w:color="auto" w:fill="auto"/>
                  <w:vAlign w:val="center"/>
                </w:tcPr>
                <w:p w14:paraId="1F5302F0">
                  <w:pPr>
                    <w:pStyle w:val="38"/>
                    <w:keepNext w:val="0"/>
                    <w:keepLines w:val="0"/>
                    <w:widowControl/>
                    <w:suppressLineNumbers w:val="0"/>
                    <w:bidi w:val="0"/>
                    <w:spacing w:before="0" w:beforeAutospacing="0" w:after="0" w:afterAutospacing="0"/>
                    <w:ind w:left="0" w:right="0"/>
                    <w:rPr>
                      <w:rFonts w:hint="default"/>
                      <w:b w:val="0"/>
                      <w:color w:val="000000"/>
                      <w:szCs w:val="22"/>
                    </w:rPr>
                  </w:pPr>
                </w:p>
              </w:tc>
              <w:tc>
                <w:tcPr>
                  <w:tcW w:w="761" w:type="dxa"/>
                  <w:vMerge w:val="continue"/>
                  <w:shd w:val="clear" w:color="auto" w:fill="auto"/>
                  <w:vAlign w:val="center"/>
                </w:tcPr>
                <w:p w14:paraId="2FD4A6B1">
                  <w:pPr>
                    <w:pStyle w:val="38"/>
                    <w:keepNext w:val="0"/>
                    <w:keepLines w:val="0"/>
                    <w:widowControl/>
                    <w:suppressLineNumbers w:val="0"/>
                    <w:bidi w:val="0"/>
                    <w:spacing w:before="0" w:beforeAutospacing="0" w:after="0" w:afterAutospacing="0"/>
                    <w:ind w:left="0" w:right="0"/>
                    <w:rPr>
                      <w:rFonts w:hint="default"/>
                      <w:b w:val="0"/>
                      <w:color w:val="000000"/>
                      <w:szCs w:val="22"/>
                    </w:rPr>
                  </w:pPr>
                </w:p>
              </w:tc>
              <w:tc>
                <w:tcPr>
                  <w:tcW w:w="1172" w:type="dxa"/>
                  <w:shd w:val="clear" w:color="auto" w:fill="auto"/>
                  <w:vAlign w:val="center"/>
                </w:tcPr>
                <w:p w14:paraId="4AD10B08">
                  <w:pPr>
                    <w:pStyle w:val="38"/>
                    <w:keepNext w:val="0"/>
                    <w:keepLines w:val="0"/>
                    <w:widowControl/>
                    <w:suppressLineNumbers w:val="0"/>
                    <w:bidi w:val="0"/>
                    <w:spacing w:before="0" w:beforeAutospacing="0" w:after="0" w:afterAutospacing="0"/>
                    <w:ind w:left="0" w:right="0"/>
                    <w:rPr>
                      <w:rFonts w:hint="default"/>
                      <w:b w:val="0"/>
                      <w:color w:val="000000"/>
                      <w:szCs w:val="22"/>
                    </w:rPr>
                  </w:pPr>
                  <w:r>
                    <w:rPr>
                      <w:rFonts w:hint="default"/>
                      <w:b w:val="0"/>
                      <w:color w:val="000000"/>
                      <w:szCs w:val="22"/>
                      <w:lang w:val="en-US" w:eastAsia="zh-CN"/>
                    </w:rPr>
                    <w:t>颗粒物</w:t>
                  </w:r>
                </w:p>
              </w:tc>
              <w:tc>
                <w:tcPr>
                  <w:tcW w:w="1554" w:type="dxa"/>
                  <w:shd w:val="clear" w:color="auto" w:fill="auto"/>
                  <w:vAlign w:val="center"/>
                </w:tcPr>
                <w:p w14:paraId="6F1F90B7">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3.4648</w:t>
                  </w:r>
                </w:p>
              </w:tc>
              <w:tc>
                <w:tcPr>
                  <w:tcW w:w="1345" w:type="dxa"/>
                  <w:shd w:val="clear" w:color="auto" w:fill="auto"/>
                  <w:vAlign w:val="center"/>
                </w:tcPr>
                <w:p w14:paraId="511C15C4">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0.0693</w:t>
                  </w:r>
                </w:p>
              </w:tc>
              <w:tc>
                <w:tcPr>
                  <w:tcW w:w="665" w:type="dxa"/>
                  <w:shd w:val="clear" w:color="auto" w:fill="auto"/>
                  <w:vAlign w:val="center"/>
                </w:tcPr>
                <w:p w14:paraId="43AAEE52">
                  <w:pPr>
                    <w:pStyle w:val="38"/>
                    <w:keepNext w:val="0"/>
                    <w:keepLines w:val="0"/>
                    <w:widowControl/>
                    <w:suppressLineNumbers w:val="0"/>
                    <w:bidi w:val="0"/>
                    <w:spacing w:before="0" w:beforeAutospacing="0" w:after="0" w:afterAutospacing="0"/>
                    <w:ind w:left="0" w:right="0"/>
                    <w:rPr>
                      <w:rFonts w:hint="default"/>
                      <w:b w:val="0"/>
                      <w:color w:val="000000"/>
                      <w:szCs w:val="22"/>
                    </w:rPr>
                  </w:pPr>
                  <w:r>
                    <w:rPr>
                      <w:rFonts w:hint="default"/>
                      <w:b w:val="0"/>
                      <w:color w:val="000000"/>
                      <w:szCs w:val="22"/>
                      <w:lang w:val="en-US" w:eastAsia="zh-CN"/>
                    </w:rPr>
                    <w:t>1h</w:t>
                  </w:r>
                </w:p>
              </w:tc>
              <w:tc>
                <w:tcPr>
                  <w:tcW w:w="617" w:type="dxa"/>
                  <w:shd w:val="clear" w:color="auto" w:fill="auto"/>
                  <w:vAlign w:val="center"/>
                </w:tcPr>
                <w:p w14:paraId="67CAAA33">
                  <w:pPr>
                    <w:pStyle w:val="38"/>
                    <w:keepNext w:val="0"/>
                    <w:keepLines w:val="0"/>
                    <w:widowControl/>
                    <w:suppressLineNumbers w:val="0"/>
                    <w:bidi w:val="0"/>
                    <w:spacing w:before="0" w:beforeAutospacing="0" w:after="0" w:afterAutospacing="0"/>
                    <w:ind w:left="0" w:right="0"/>
                    <w:rPr>
                      <w:rFonts w:hint="default"/>
                      <w:b w:val="0"/>
                      <w:color w:val="000000"/>
                      <w:szCs w:val="22"/>
                    </w:rPr>
                  </w:pPr>
                  <w:r>
                    <w:rPr>
                      <w:rFonts w:hint="default"/>
                      <w:b w:val="0"/>
                      <w:color w:val="000000"/>
                      <w:szCs w:val="22"/>
                      <w:lang w:val="en-US" w:eastAsia="zh-CN"/>
                    </w:rPr>
                    <w:t>1</w:t>
                  </w:r>
                  <w:r>
                    <w:rPr>
                      <w:rFonts w:hint="eastAsia"/>
                      <w:b w:val="0"/>
                      <w:color w:val="000000"/>
                      <w:szCs w:val="22"/>
                      <w:lang w:val="en-US" w:eastAsia="zh-CN"/>
                    </w:rPr>
                    <w:t>次</w:t>
                  </w:r>
                </w:p>
              </w:tc>
              <w:tc>
                <w:tcPr>
                  <w:tcW w:w="1018" w:type="dxa"/>
                  <w:tcBorders>
                    <w:right w:val="nil"/>
                  </w:tcBorders>
                  <w:shd w:val="clear" w:color="auto" w:fill="auto"/>
                  <w:vAlign w:val="center"/>
                </w:tcPr>
                <w:p w14:paraId="71CEDF89">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立即停产，修复后生产</w:t>
                  </w:r>
                </w:p>
              </w:tc>
            </w:tr>
            <w:tr w14:paraId="2A811F2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473" w:type="dxa"/>
                  <w:tcBorders>
                    <w:left w:val="nil"/>
                  </w:tcBorders>
                  <w:shd w:val="clear" w:color="auto" w:fill="auto"/>
                  <w:vAlign w:val="center"/>
                </w:tcPr>
                <w:p w14:paraId="22FE3A66">
                  <w:pPr>
                    <w:pStyle w:val="38"/>
                    <w:keepNext w:val="0"/>
                    <w:keepLines w:val="0"/>
                    <w:widowControl/>
                    <w:suppressLineNumbers w:val="0"/>
                    <w:bidi w:val="0"/>
                    <w:spacing w:before="0" w:beforeAutospacing="0" w:after="0" w:afterAutospacing="0"/>
                    <w:ind w:left="0" w:right="0"/>
                    <w:rPr>
                      <w:rFonts w:hint="default"/>
                      <w:b w:val="0"/>
                      <w:color w:val="000000"/>
                      <w:szCs w:val="22"/>
                    </w:rPr>
                  </w:pPr>
                  <w:r>
                    <w:rPr>
                      <w:rFonts w:hint="default"/>
                      <w:b w:val="0"/>
                      <w:color w:val="000000"/>
                      <w:szCs w:val="22"/>
                      <w:lang w:val="en-US" w:eastAsia="zh-CN"/>
                    </w:rPr>
                    <w:t>5</w:t>
                  </w:r>
                </w:p>
              </w:tc>
              <w:tc>
                <w:tcPr>
                  <w:tcW w:w="838" w:type="dxa"/>
                  <w:vMerge w:val="restart"/>
                  <w:shd w:val="clear" w:color="auto" w:fill="auto"/>
                  <w:vAlign w:val="center"/>
                </w:tcPr>
                <w:p w14:paraId="3BB62AB7">
                  <w:pPr>
                    <w:pStyle w:val="38"/>
                    <w:keepNext w:val="0"/>
                    <w:keepLines w:val="0"/>
                    <w:widowControl/>
                    <w:suppressLineNumbers w:val="0"/>
                    <w:bidi w:val="0"/>
                    <w:spacing w:before="0" w:beforeAutospacing="0" w:after="0" w:afterAutospacing="0"/>
                    <w:ind w:left="0" w:right="0"/>
                    <w:rPr>
                      <w:rFonts w:hint="default"/>
                      <w:b w:val="0"/>
                      <w:color w:val="000000"/>
                      <w:szCs w:val="22"/>
                      <w:lang w:val="en-US"/>
                    </w:rPr>
                  </w:pPr>
                  <w:r>
                    <w:rPr>
                      <w:rFonts w:hint="default"/>
                      <w:b w:val="0"/>
                      <w:color w:val="000000"/>
                      <w:szCs w:val="22"/>
                      <w:lang w:val="en-US" w:eastAsia="zh-CN"/>
                    </w:rPr>
                    <w:t>DA00</w:t>
                  </w:r>
                  <w:r>
                    <w:rPr>
                      <w:rFonts w:hint="eastAsia"/>
                      <w:b w:val="0"/>
                      <w:color w:val="000000"/>
                      <w:szCs w:val="22"/>
                      <w:lang w:val="en-US" w:eastAsia="zh-CN"/>
                    </w:rPr>
                    <w:t>3</w:t>
                  </w:r>
                </w:p>
              </w:tc>
              <w:tc>
                <w:tcPr>
                  <w:tcW w:w="761" w:type="dxa"/>
                  <w:vMerge w:val="continue"/>
                  <w:shd w:val="clear" w:color="auto" w:fill="auto"/>
                  <w:vAlign w:val="center"/>
                </w:tcPr>
                <w:p w14:paraId="1EC7C138">
                  <w:pPr>
                    <w:pStyle w:val="38"/>
                    <w:keepNext w:val="0"/>
                    <w:keepLines w:val="0"/>
                    <w:widowControl/>
                    <w:suppressLineNumbers w:val="0"/>
                    <w:bidi w:val="0"/>
                    <w:spacing w:before="0" w:beforeAutospacing="0" w:after="0" w:afterAutospacing="0"/>
                    <w:ind w:left="0" w:right="0"/>
                    <w:rPr>
                      <w:rFonts w:hint="default"/>
                      <w:b w:val="0"/>
                      <w:color w:val="000000"/>
                      <w:szCs w:val="22"/>
                    </w:rPr>
                  </w:pPr>
                </w:p>
              </w:tc>
              <w:tc>
                <w:tcPr>
                  <w:tcW w:w="1172" w:type="dxa"/>
                  <w:shd w:val="clear" w:color="auto" w:fill="auto"/>
                  <w:vAlign w:val="center"/>
                </w:tcPr>
                <w:p w14:paraId="798892D2">
                  <w:pPr>
                    <w:pStyle w:val="38"/>
                    <w:keepNext w:val="0"/>
                    <w:keepLines w:val="0"/>
                    <w:widowControl/>
                    <w:suppressLineNumbers w:val="0"/>
                    <w:bidi w:val="0"/>
                    <w:spacing w:before="0" w:beforeAutospacing="0" w:after="0" w:afterAutospacing="0"/>
                    <w:ind w:left="0" w:right="0"/>
                    <w:rPr>
                      <w:rFonts w:hint="default"/>
                      <w:b w:val="0"/>
                      <w:color w:val="000000"/>
                      <w:szCs w:val="22"/>
                    </w:rPr>
                  </w:pPr>
                  <w:r>
                    <w:rPr>
                      <w:rFonts w:hint="eastAsia"/>
                      <w:b w:val="0"/>
                      <w:color w:val="000000"/>
                      <w:szCs w:val="22"/>
                      <w:lang w:val="en-US" w:eastAsia="zh-CN"/>
                    </w:rPr>
                    <w:t>VOCs（以非甲烷总烃计）</w:t>
                  </w:r>
                </w:p>
              </w:tc>
              <w:tc>
                <w:tcPr>
                  <w:tcW w:w="1554" w:type="dxa"/>
                  <w:shd w:val="clear" w:color="auto" w:fill="auto"/>
                  <w:vAlign w:val="center"/>
                </w:tcPr>
                <w:p w14:paraId="69C825E8">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5.144</w:t>
                  </w:r>
                </w:p>
              </w:tc>
              <w:tc>
                <w:tcPr>
                  <w:tcW w:w="1345" w:type="dxa"/>
                  <w:shd w:val="clear" w:color="auto" w:fill="auto"/>
                  <w:vAlign w:val="center"/>
                </w:tcPr>
                <w:p w14:paraId="1B944C46">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0.1029</w:t>
                  </w:r>
                </w:p>
              </w:tc>
              <w:tc>
                <w:tcPr>
                  <w:tcW w:w="665" w:type="dxa"/>
                  <w:shd w:val="clear" w:color="auto" w:fill="auto"/>
                  <w:vAlign w:val="center"/>
                </w:tcPr>
                <w:p w14:paraId="0586E022">
                  <w:pPr>
                    <w:pStyle w:val="38"/>
                    <w:keepNext w:val="0"/>
                    <w:keepLines w:val="0"/>
                    <w:widowControl/>
                    <w:suppressLineNumbers w:val="0"/>
                    <w:bidi w:val="0"/>
                    <w:spacing w:before="0" w:beforeAutospacing="0" w:after="0" w:afterAutospacing="0"/>
                    <w:ind w:left="0" w:right="0"/>
                    <w:rPr>
                      <w:rFonts w:hint="default"/>
                      <w:b w:val="0"/>
                      <w:color w:val="000000"/>
                      <w:szCs w:val="22"/>
                    </w:rPr>
                  </w:pPr>
                  <w:r>
                    <w:rPr>
                      <w:rFonts w:hint="default"/>
                      <w:b w:val="0"/>
                      <w:color w:val="000000"/>
                      <w:szCs w:val="22"/>
                      <w:lang w:val="en-US" w:eastAsia="zh-CN"/>
                    </w:rPr>
                    <w:t>1h</w:t>
                  </w:r>
                </w:p>
              </w:tc>
              <w:tc>
                <w:tcPr>
                  <w:tcW w:w="617" w:type="dxa"/>
                  <w:shd w:val="clear" w:color="auto" w:fill="auto"/>
                  <w:vAlign w:val="center"/>
                </w:tcPr>
                <w:p w14:paraId="0438EDB3">
                  <w:pPr>
                    <w:pStyle w:val="38"/>
                    <w:keepNext w:val="0"/>
                    <w:keepLines w:val="0"/>
                    <w:widowControl/>
                    <w:suppressLineNumbers w:val="0"/>
                    <w:bidi w:val="0"/>
                    <w:spacing w:before="0" w:beforeAutospacing="0" w:after="0" w:afterAutospacing="0"/>
                    <w:ind w:left="0" w:right="0"/>
                    <w:rPr>
                      <w:rFonts w:hint="default"/>
                      <w:b w:val="0"/>
                      <w:color w:val="000000"/>
                      <w:szCs w:val="22"/>
                    </w:rPr>
                  </w:pPr>
                  <w:r>
                    <w:rPr>
                      <w:rFonts w:hint="default"/>
                      <w:b w:val="0"/>
                      <w:color w:val="000000"/>
                      <w:szCs w:val="22"/>
                      <w:lang w:val="en-US" w:eastAsia="zh-CN"/>
                    </w:rPr>
                    <w:t>1</w:t>
                  </w:r>
                  <w:r>
                    <w:rPr>
                      <w:rFonts w:hint="eastAsia"/>
                      <w:b w:val="0"/>
                      <w:color w:val="000000"/>
                      <w:szCs w:val="22"/>
                      <w:lang w:val="en-US" w:eastAsia="zh-CN"/>
                    </w:rPr>
                    <w:t>次</w:t>
                  </w:r>
                </w:p>
              </w:tc>
              <w:tc>
                <w:tcPr>
                  <w:tcW w:w="1018" w:type="dxa"/>
                  <w:tcBorders>
                    <w:right w:val="nil"/>
                  </w:tcBorders>
                  <w:shd w:val="clear" w:color="auto" w:fill="auto"/>
                  <w:vAlign w:val="center"/>
                </w:tcPr>
                <w:p w14:paraId="5C26BBDB">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立即停产，修复后生产</w:t>
                  </w:r>
                </w:p>
              </w:tc>
            </w:tr>
            <w:tr w14:paraId="0F9D7CE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5" w:hRule="atLeast"/>
              </w:trPr>
              <w:tc>
                <w:tcPr>
                  <w:tcW w:w="473" w:type="dxa"/>
                  <w:tcBorders>
                    <w:left w:val="nil"/>
                    <w:bottom w:val="single" w:color="000000" w:sz="12" w:space="0"/>
                  </w:tcBorders>
                  <w:shd w:val="clear" w:color="auto" w:fill="auto"/>
                  <w:vAlign w:val="center"/>
                </w:tcPr>
                <w:p w14:paraId="09AC1C00">
                  <w:pPr>
                    <w:pStyle w:val="38"/>
                    <w:keepNext w:val="0"/>
                    <w:keepLines w:val="0"/>
                    <w:widowControl/>
                    <w:suppressLineNumbers w:val="0"/>
                    <w:bidi w:val="0"/>
                    <w:spacing w:before="0" w:beforeAutospacing="0" w:after="0" w:afterAutospacing="0"/>
                    <w:ind w:left="0" w:right="0"/>
                    <w:rPr>
                      <w:rFonts w:hint="default"/>
                      <w:b w:val="0"/>
                      <w:color w:val="000000"/>
                      <w:szCs w:val="22"/>
                    </w:rPr>
                  </w:pPr>
                  <w:r>
                    <w:rPr>
                      <w:rFonts w:hint="default"/>
                      <w:b w:val="0"/>
                      <w:color w:val="000000"/>
                      <w:szCs w:val="22"/>
                      <w:lang w:val="en-US" w:eastAsia="zh-CN"/>
                    </w:rPr>
                    <w:t>6</w:t>
                  </w:r>
                </w:p>
              </w:tc>
              <w:tc>
                <w:tcPr>
                  <w:tcW w:w="838" w:type="dxa"/>
                  <w:vMerge w:val="continue"/>
                  <w:tcBorders>
                    <w:bottom w:val="single" w:color="000000" w:sz="12" w:space="0"/>
                  </w:tcBorders>
                  <w:shd w:val="clear" w:color="auto" w:fill="auto"/>
                  <w:vAlign w:val="center"/>
                </w:tcPr>
                <w:p w14:paraId="16EF3F27">
                  <w:pPr>
                    <w:pStyle w:val="38"/>
                    <w:keepNext w:val="0"/>
                    <w:keepLines w:val="0"/>
                    <w:widowControl/>
                    <w:suppressLineNumbers w:val="0"/>
                    <w:bidi w:val="0"/>
                    <w:spacing w:before="0" w:beforeAutospacing="0" w:after="0" w:afterAutospacing="0"/>
                    <w:ind w:left="0" w:right="0"/>
                    <w:rPr>
                      <w:rFonts w:hint="default"/>
                      <w:b w:val="0"/>
                      <w:color w:val="000000"/>
                      <w:szCs w:val="22"/>
                    </w:rPr>
                  </w:pPr>
                </w:p>
              </w:tc>
              <w:tc>
                <w:tcPr>
                  <w:tcW w:w="761" w:type="dxa"/>
                  <w:vMerge w:val="continue"/>
                  <w:tcBorders>
                    <w:bottom w:val="single" w:color="000000" w:sz="12" w:space="0"/>
                  </w:tcBorders>
                  <w:shd w:val="clear" w:color="auto" w:fill="auto"/>
                  <w:vAlign w:val="center"/>
                </w:tcPr>
                <w:p w14:paraId="002023D9">
                  <w:pPr>
                    <w:pStyle w:val="38"/>
                    <w:keepNext w:val="0"/>
                    <w:keepLines w:val="0"/>
                    <w:widowControl/>
                    <w:suppressLineNumbers w:val="0"/>
                    <w:bidi w:val="0"/>
                    <w:spacing w:before="0" w:beforeAutospacing="0" w:after="0" w:afterAutospacing="0"/>
                    <w:ind w:left="0" w:right="0"/>
                    <w:rPr>
                      <w:rFonts w:hint="default"/>
                      <w:b w:val="0"/>
                      <w:color w:val="000000"/>
                      <w:szCs w:val="22"/>
                    </w:rPr>
                  </w:pPr>
                </w:p>
              </w:tc>
              <w:tc>
                <w:tcPr>
                  <w:tcW w:w="1172" w:type="dxa"/>
                  <w:tcBorders>
                    <w:bottom w:val="single" w:color="000000" w:sz="12" w:space="0"/>
                  </w:tcBorders>
                  <w:shd w:val="clear" w:color="auto" w:fill="auto"/>
                  <w:vAlign w:val="center"/>
                </w:tcPr>
                <w:p w14:paraId="5538137B">
                  <w:pPr>
                    <w:pStyle w:val="38"/>
                    <w:keepNext w:val="0"/>
                    <w:keepLines w:val="0"/>
                    <w:widowControl/>
                    <w:suppressLineNumbers w:val="0"/>
                    <w:bidi w:val="0"/>
                    <w:spacing w:before="0" w:beforeAutospacing="0" w:after="0" w:afterAutospacing="0"/>
                    <w:ind w:left="0" w:right="0"/>
                    <w:rPr>
                      <w:rFonts w:hint="default"/>
                      <w:b w:val="0"/>
                      <w:color w:val="000000"/>
                      <w:szCs w:val="22"/>
                    </w:rPr>
                  </w:pPr>
                  <w:r>
                    <w:rPr>
                      <w:rFonts w:hint="default"/>
                      <w:b w:val="0"/>
                      <w:color w:val="000000"/>
                      <w:szCs w:val="22"/>
                      <w:lang w:val="en-US" w:eastAsia="zh-CN"/>
                    </w:rPr>
                    <w:t>颗粒物</w:t>
                  </w:r>
                </w:p>
              </w:tc>
              <w:tc>
                <w:tcPr>
                  <w:tcW w:w="1554" w:type="dxa"/>
                  <w:tcBorders>
                    <w:bottom w:val="single" w:color="000000" w:sz="12" w:space="0"/>
                  </w:tcBorders>
                  <w:shd w:val="clear" w:color="auto" w:fill="auto"/>
                  <w:vAlign w:val="center"/>
                </w:tcPr>
                <w:p w14:paraId="7481E490">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3.4648</w:t>
                  </w:r>
                </w:p>
              </w:tc>
              <w:tc>
                <w:tcPr>
                  <w:tcW w:w="1345" w:type="dxa"/>
                  <w:tcBorders>
                    <w:bottom w:val="single" w:color="000000" w:sz="12" w:space="0"/>
                  </w:tcBorders>
                  <w:shd w:val="clear" w:color="auto" w:fill="auto"/>
                  <w:vAlign w:val="center"/>
                </w:tcPr>
                <w:p w14:paraId="48F899D3">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0.0693</w:t>
                  </w:r>
                </w:p>
              </w:tc>
              <w:tc>
                <w:tcPr>
                  <w:tcW w:w="665" w:type="dxa"/>
                  <w:tcBorders>
                    <w:bottom w:val="single" w:color="000000" w:sz="12" w:space="0"/>
                  </w:tcBorders>
                  <w:shd w:val="clear" w:color="auto" w:fill="auto"/>
                  <w:vAlign w:val="center"/>
                </w:tcPr>
                <w:p w14:paraId="44E66B03">
                  <w:pPr>
                    <w:pStyle w:val="38"/>
                    <w:keepNext w:val="0"/>
                    <w:keepLines w:val="0"/>
                    <w:widowControl/>
                    <w:suppressLineNumbers w:val="0"/>
                    <w:bidi w:val="0"/>
                    <w:spacing w:before="0" w:beforeAutospacing="0" w:after="0" w:afterAutospacing="0"/>
                    <w:ind w:left="0" w:right="0"/>
                    <w:rPr>
                      <w:rFonts w:hint="default"/>
                      <w:b w:val="0"/>
                      <w:color w:val="000000"/>
                      <w:szCs w:val="22"/>
                    </w:rPr>
                  </w:pPr>
                  <w:r>
                    <w:rPr>
                      <w:rFonts w:hint="default"/>
                      <w:b w:val="0"/>
                      <w:color w:val="000000"/>
                      <w:szCs w:val="22"/>
                      <w:lang w:val="en-US" w:eastAsia="zh-CN"/>
                    </w:rPr>
                    <w:t>1h</w:t>
                  </w:r>
                </w:p>
              </w:tc>
              <w:tc>
                <w:tcPr>
                  <w:tcW w:w="617" w:type="dxa"/>
                  <w:tcBorders>
                    <w:bottom w:val="single" w:color="000000" w:sz="12" w:space="0"/>
                  </w:tcBorders>
                  <w:shd w:val="clear" w:color="auto" w:fill="auto"/>
                  <w:vAlign w:val="center"/>
                </w:tcPr>
                <w:p w14:paraId="33131DD8">
                  <w:pPr>
                    <w:pStyle w:val="38"/>
                    <w:keepNext w:val="0"/>
                    <w:keepLines w:val="0"/>
                    <w:widowControl/>
                    <w:suppressLineNumbers w:val="0"/>
                    <w:bidi w:val="0"/>
                    <w:spacing w:before="0" w:beforeAutospacing="0" w:after="0" w:afterAutospacing="0"/>
                    <w:ind w:left="0" w:right="0"/>
                    <w:rPr>
                      <w:rFonts w:hint="default"/>
                      <w:b w:val="0"/>
                      <w:color w:val="000000"/>
                      <w:szCs w:val="22"/>
                    </w:rPr>
                  </w:pPr>
                  <w:r>
                    <w:rPr>
                      <w:rFonts w:hint="default"/>
                      <w:b w:val="0"/>
                      <w:color w:val="000000"/>
                      <w:szCs w:val="22"/>
                      <w:lang w:val="en-US" w:eastAsia="zh-CN"/>
                    </w:rPr>
                    <w:t>1</w:t>
                  </w:r>
                  <w:r>
                    <w:rPr>
                      <w:rFonts w:hint="eastAsia"/>
                      <w:b w:val="0"/>
                      <w:color w:val="000000"/>
                      <w:szCs w:val="22"/>
                      <w:lang w:val="en-US" w:eastAsia="zh-CN"/>
                    </w:rPr>
                    <w:t>次</w:t>
                  </w:r>
                </w:p>
              </w:tc>
              <w:tc>
                <w:tcPr>
                  <w:tcW w:w="1018" w:type="dxa"/>
                  <w:tcBorders>
                    <w:bottom w:val="single" w:color="000000" w:sz="12" w:space="0"/>
                    <w:right w:val="nil"/>
                  </w:tcBorders>
                  <w:shd w:val="clear" w:color="auto" w:fill="auto"/>
                  <w:vAlign w:val="center"/>
                </w:tcPr>
                <w:p w14:paraId="4A4BE1A7">
                  <w:pPr>
                    <w:pStyle w:val="38"/>
                    <w:keepNext w:val="0"/>
                    <w:keepLines w:val="0"/>
                    <w:widowControl/>
                    <w:suppressLineNumbers w:val="0"/>
                    <w:bidi w:val="0"/>
                    <w:spacing w:before="0" w:beforeAutospacing="0" w:after="0" w:afterAutospacing="0"/>
                    <w:ind w:left="0" w:right="0"/>
                    <w:rPr>
                      <w:rFonts w:hint="eastAsia"/>
                      <w:b w:val="0"/>
                      <w:color w:val="000000"/>
                      <w:szCs w:val="22"/>
                    </w:rPr>
                  </w:pPr>
                  <w:r>
                    <w:rPr>
                      <w:rFonts w:hint="eastAsia"/>
                      <w:b w:val="0"/>
                      <w:color w:val="000000"/>
                      <w:szCs w:val="22"/>
                      <w:lang w:val="en-US" w:eastAsia="zh-CN"/>
                    </w:rPr>
                    <w:t>立即停产，修复后生产</w:t>
                  </w:r>
                </w:p>
              </w:tc>
            </w:tr>
          </w:tbl>
          <w:p w14:paraId="28236D96">
            <w:pPr>
              <w:keepNext w:val="0"/>
              <w:keepLines w:val="0"/>
              <w:widowControl w:val="0"/>
              <w:suppressLineNumbers w:val="0"/>
              <w:bidi w:val="0"/>
              <w:spacing w:before="0" w:beforeAutospacing="0" w:after="0" w:afterAutospacing="0" w:line="360" w:lineRule="auto"/>
              <w:ind w:left="0" w:right="0"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（2）非正常排放防治措施</w:t>
            </w:r>
          </w:p>
          <w:p w14:paraId="44B186FC">
            <w:pPr>
              <w:keepNext w:val="0"/>
              <w:keepLines w:val="0"/>
              <w:widowControl w:val="0"/>
              <w:suppressLineNumbers w:val="0"/>
              <w:bidi w:val="0"/>
              <w:spacing w:before="0" w:beforeAutospacing="0" w:after="0" w:afterAutospacing="0" w:line="360" w:lineRule="auto"/>
              <w:ind w:left="0" w:right="0"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针对以上非正常排放情形，本评价建议建设单位在生产运营期间采取以下控制措施以避免或减少废气非正常排放。</w:t>
            </w:r>
          </w:p>
          <w:p w14:paraId="09C7A8BE">
            <w:pPr>
              <w:keepNext w:val="0"/>
              <w:keepLines w:val="0"/>
              <w:widowControl w:val="0"/>
              <w:suppressLineNumbers w:val="0"/>
              <w:bidi w:val="0"/>
              <w:spacing w:before="0" w:beforeAutospacing="0" w:after="0" w:afterAutospacing="0" w:line="360" w:lineRule="auto"/>
              <w:ind w:left="0" w:right="0"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①规范车间生产操作，避免因员工操作不当导致工艺设备、环保设施故障引发废气事故排放。</w:t>
            </w:r>
          </w:p>
          <w:p w14:paraId="0F5E4442">
            <w:pPr>
              <w:keepNext w:val="0"/>
              <w:keepLines w:val="0"/>
              <w:widowControl w:val="0"/>
              <w:suppressLineNumbers w:val="0"/>
              <w:bidi w:val="0"/>
              <w:spacing w:before="0" w:beforeAutospacing="0" w:after="0" w:afterAutospacing="0" w:line="360" w:lineRule="auto"/>
              <w:ind w:left="0" w:right="0"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②定期对生产设施及废气处理设施进行检查维护，杜绝非正常工况发生，避免非正常排放出现后才采取维护措施。</w:t>
            </w:r>
          </w:p>
          <w:p w14:paraId="76C12FEA">
            <w:pPr>
              <w:keepNext w:val="0"/>
              <w:keepLines w:val="0"/>
              <w:widowControl w:val="0"/>
              <w:suppressLineNumbers w:val="0"/>
              <w:bidi w:val="0"/>
              <w:spacing w:before="0" w:beforeAutospacing="0" w:after="0" w:afterAutospacing="0" w:line="360" w:lineRule="auto"/>
              <w:ind w:left="0" w:right="0" w:firstLine="480" w:firstLineChars="200"/>
              <w:jc w:val="both"/>
              <w:rPr>
                <w:rFonts w:hint="default" w:ascii="Times New Roman" w:hAnsi="Times New Roman" w:eastAsia="宋体" w:cs="宋体"/>
                <w:color w:val="auto"/>
                <w:kern w:val="2"/>
                <w:sz w:val="24"/>
                <w:szCs w:val="24"/>
                <w:highlight w:val="none"/>
                <w:lang w:val="en-US" w:eastAsia="zh-CN" w:bidi="ar-SA"/>
              </w:rPr>
            </w:pPr>
            <w:r>
              <w:rPr>
                <w:rFonts w:hint="default" w:ascii="Times New Roman" w:hAnsi="Times New Roman" w:eastAsia="宋体" w:cs="宋体"/>
                <w:color w:val="auto"/>
                <w:kern w:val="2"/>
                <w:sz w:val="24"/>
                <w:szCs w:val="24"/>
                <w:highlight w:val="none"/>
                <w:lang w:val="en-US" w:eastAsia="zh-CN" w:bidi="ar-SA"/>
              </w:rPr>
              <w:t>综上，项目在采取上述非正常排放防范措施后，非正常排放发生频率较低，非正常排放下污染物排放量较少，非正常工况可及时得到处理，因此本项目废气非正常排放对周边大气环境影响较小。</w:t>
            </w:r>
          </w:p>
          <w:p w14:paraId="4206B03E">
            <w:pPr>
              <w:pStyle w:val="3"/>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 xml:space="preserve">运营期声环境影响分析和污染防治措施 </w:t>
            </w:r>
          </w:p>
          <w:p w14:paraId="435D3A4A">
            <w:pPr>
              <w:pStyle w:val="4"/>
              <w:suppressLineNumbers w:val="0"/>
              <w:bidi w:val="0"/>
              <w:spacing w:before="0" w:beforeAutospacing="0" w:after="0" w:afterAutospacing="0"/>
              <w:ind w:left="0" w:right="0"/>
              <w:rPr>
                <w:rFonts w:hint="default"/>
                <w:lang w:val="en-US" w:eastAsia="zh-CN"/>
              </w:rPr>
            </w:pPr>
            <w:r>
              <w:rPr>
                <w:rFonts w:hint="eastAsia"/>
                <w:lang w:val="en-US" w:eastAsia="zh-CN"/>
              </w:rPr>
              <w:t>噪声污染源强分析</w:t>
            </w:r>
          </w:p>
          <w:p w14:paraId="0CB0591A">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本项目主要的噪声污染源为</w:t>
            </w:r>
            <w:r>
              <w:rPr>
                <w:rFonts w:hint="default" w:ascii="Times New Roman" w:hAnsi="Times New Roman" w:eastAsia="宋体" w:cs="Times New Roman"/>
                <w:color w:val="auto"/>
                <w:sz w:val="24"/>
                <w:szCs w:val="24"/>
                <w:highlight w:val="none"/>
                <w:lang w:eastAsia="zh-CN"/>
              </w:rPr>
              <w:t>项目生产设备</w:t>
            </w:r>
            <w:r>
              <w:rPr>
                <w:rFonts w:hint="default" w:ascii="Times New Roman" w:hAnsi="Times New Roman" w:eastAsia="宋体" w:cs="Times New Roman"/>
                <w:color w:val="auto"/>
                <w:sz w:val="24"/>
                <w:szCs w:val="24"/>
                <w:highlight w:val="none"/>
              </w:rPr>
              <w:t>运行</w:t>
            </w:r>
            <w:r>
              <w:rPr>
                <w:rFonts w:hint="default" w:ascii="Times New Roman" w:hAnsi="Times New Roman" w:eastAsia="宋体" w:cs="Times New Roman"/>
                <w:color w:val="auto"/>
                <w:sz w:val="24"/>
                <w:szCs w:val="24"/>
                <w:highlight w:val="none"/>
                <w:lang w:eastAsia="zh-CN"/>
              </w:rPr>
              <w:t>过程中</w:t>
            </w:r>
            <w:r>
              <w:rPr>
                <w:rFonts w:hint="default" w:ascii="Times New Roman" w:hAnsi="Times New Roman" w:eastAsia="宋体" w:cs="Times New Roman"/>
                <w:color w:val="auto"/>
                <w:sz w:val="24"/>
                <w:szCs w:val="24"/>
                <w:highlight w:val="none"/>
              </w:rPr>
              <w:t>产生的噪声，根据类比分析，各设备噪声源强详见表</w:t>
            </w:r>
            <w:r>
              <w:rPr>
                <w:rFonts w:hint="default"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w:t>
            </w:r>
          </w:p>
          <w:p w14:paraId="446C485A">
            <w:pPr>
              <w:pStyle w:val="39"/>
              <w:keepNext w:val="0"/>
              <w:keepLines w:val="0"/>
              <w:suppressLineNumbers w:val="0"/>
              <w:bidi w:val="0"/>
              <w:spacing w:before="0" w:beforeAutospacing="0" w:after="0" w:afterAutospacing="0"/>
              <w:ind w:left="0" w:right="0"/>
              <w:rPr>
                <w:rFonts w:hint="default"/>
              </w:rPr>
            </w:pPr>
            <w:r>
              <w:rPr>
                <w:rFonts w:hint="eastAsia"/>
              </w:rPr>
              <w:t>表</w:t>
            </w:r>
            <w:r>
              <w:rPr>
                <w:rFonts w:hint="eastAsia"/>
                <w:lang w:val="en-US" w:eastAsia="zh-CN"/>
              </w:rPr>
              <w:t>4.3-1 项目设备噪声</w:t>
            </w:r>
            <w:r>
              <w:rPr>
                <w:rFonts w:hint="eastAsia"/>
              </w:rPr>
              <w:t>一览表</w:t>
            </w:r>
          </w:p>
          <w:tbl>
            <w:tblPr>
              <w:tblStyle w:val="29"/>
              <w:tblW w:w="0" w:type="auto"/>
              <w:tblInd w:w="5"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04"/>
              <w:gridCol w:w="530"/>
              <w:gridCol w:w="452"/>
              <w:gridCol w:w="776"/>
              <w:gridCol w:w="1731"/>
              <w:gridCol w:w="1183"/>
              <w:gridCol w:w="845"/>
              <w:gridCol w:w="530"/>
              <w:gridCol w:w="929"/>
              <w:gridCol w:w="1061"/>
            </w:tblGrid>
            <w:tr w14:paraId="4AB3A80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30" w:hRule="atLeast"/>
              </w:trPr>
              <w:tc>
                <w:tcPr>
                  <w:tcW w:w="1034" w:type="dxa"/>
                  <w:gridSpan w:val="2"/>
                  <w:tcBorders>
                    <w:top w:val="single" w:color="000000" w:sz="12" w:space="0"/>
                    <w:left w:val="nil"/>
                    <w:tl2br w:val="nil"/>
                  </w:tcBorders>
                  <w:shd w:val="clear" w:color="auto" w:fill="auto"/>
                  <w:vAlign w:val="center"/>
                </w:tcPr>
                <w:p w14:paraId="7F26869C">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r>
                    <w:rPr>
                      <w:rFonts w:hint="eastAsia"/>
                      <w:b w:val="0"/>
                      <w:color w:val="000000"/>
                      <w:szCs w:val="22"/>
                      <w:lang w:val="en-US" w:eastAsia="zh-CN"/>
                    </w:rPr>
                    <w:t>噪声源</w:t>
                  </w:r>
                </w:p>
              </w:tc>
              <w:tc>
                <w:tcPr>
                  <w:tcW w:w="452" w:type="dxa"/>
                  <w:tcBorders>
                    <w:top w:val="single" w:color="000000" w:sz="12" w:space="0"/>
                  </w:tcBorders>
                  <w:shd w:val="clear" w:color="auto" w:fill="auto"/>
                  <w:vAlign w:val="center"/>
                </w:tcPr>
                <w:p w14:paraId="58150667">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r>
                    <w:rPr>
                      <w:rFonts w:hint="eastAsia"/>
                      <w:b w:val="0"/>
                      <w:color w:val="000000"/>
                      <w:szCs w:val="22"/>
                      <w:lang w:val="en-US" w:eastAsia="zh-CN"/>
                    </w:rPr>
                    <w:t>数量</w:t>
                  </w:r>
                </w:p>
              </w:tc>
              <w:tc>
                <w:tcPr>
                  <w:tcW w:w="776" w:type="dxa"/>
                  <w:tcBorders>
                    <w:top w:val="single" w:color="000000" w:sz="12" w:space="0"/>
                  </w:tcBorders>
                  <w:shd w:val="clear" w:color="auto" w:fill="auto"/>
                  <w:vAlign w:val="center"/>
                </w:tcPr>
                <w:p w14:paraId="454998F4">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r>
                    <w:rPr>
                      <w:rFonts w:hint="eastAsia"/>
                      <w:b w:val="0"/>
                      <w:color w:val="000000"/>
                      <w:szCs w:val="22"/>
                      <w:lang w:val="en-US" w:eastAsia="zh-CN"/>
                    </w:rPr>
                    <w:t>产生噪声值</w:t>
                  </w:r>
                </w:p>
              </w:tc>
              <w:tc>
                <w:tcPr>
                  <w:tcW w:w="1731" w:type="dxa"/>
                  <w:tcBorders>
                    <w:top w:val="single" w:color="000000" w:sz="12" w:space="0"/>
                  </w:tcBorders>
                  <w:shd w:val="clear" w:color="auto" w:fill="auto"/>
                  <w:vAlign w:val="center"/>
                </w:tcPr>
                <w:p w14:paraId="294104CD">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r>
                    <w:rPr>
                      <w:rFonts w:hint="eastAsia"/>
                      <w:b w:val="0"/>
                      <w:color w:val="000000"/>
                      <w:szCs w:val="22"/>
                      <w:lang w:val="en-US" w:eastAsia="zh-CN"/>
                    </w:rPr>
                    <w:t>经纬度</w:t>
                  </w:r>
                </w:p>
              </w:tc>
              <w:tc>
                <w:tcPr>
                  <w:tcW w:w="1183" w:type="dxa"/>
                  <w:tcBorders>
                    <w:top w:val="single" w:color="000000" w:sz="12" w:space="0"/>
                  </w:tcBorders>
                  <w:shd w:val="clear" w:color="auto" w:fill="auto"/>
                  <w:vAlign w:val="center"/>
                </w:tcPr>
                <w:p w14:paraId="38914AAD">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r>
                    <w:rPr>
                      <w:rFonts w:hint="eastAsia"/>
                      <w:b w:val="0"/>
                      <w:color w:val="000000"/>
                      <w:szCs w:val="22"/>
                      <w:lang w:val="en-US" w:eastAsia="zh-CN"/>
                    </w:rPr>
                    <w:t>降噪措施</w:t>
                  </w:r>
                </w:p>
              </w:tc>
              <w:tc>
                <w:tcPr>
                  <w:tcW w:w="845" w:type="dxa"/>
                  <w:tcBorders>
                    <w:top w:val="single" w:color="000000" w:sz="12" w:space="0"/>
                  </w:tcBorders>
                  <w:shd w:val="clear" w:color="auto" w:fill="auto"/>
                  <w:vAlign w:val="center"/>
                </w:tcPr>
                <w:p w14:paraId="23A12493">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r>
                    <w:rPr>
                      <w:rFonts w:hint="eastAsia"/>
                      <w:b w:val="0"/>
                      <w:color w:val="000000"/>
                      <w:szCs w:val="22"/>
                      <w:lang w:val="en-US" w:eastAsia="zh-CN"/>
                    </w:rPr>
                    <w:t>持续时间（h）</w:t>
                  </w:r>
                </w:p>
              </w:tc>
              <w:tc>
                <w:tcPr>
                  <w:tcW w:w="530" w:type="dxa"/>
                  <w:tcBorders>
                    <w:top w:val="single" w:color="000000" w:sz="12" w:space="0"/>
                  </w:tcBorders>
                  <w:shd w:val="clear" w:color="auto" w:fill="auto"/>
                  <w:vAlign w:val="center"/>
                </w:tcPr>
                <w:p w14:paraId="611DB31F">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r>
                    <w:rPr>
                      <w:rFonts w:hint="eastAsia"/>
                      <w:b w:val="0"/>
                      <w:color w:val="000000"/>
                      <w:szCs w:val="22"/>
                      <w:lang w:val="en-US" w:eastAsia="zh-CN"/>
                    </w:rPr>
                    <w:t>产生噪声值</w:t>
                  </w:r>
                </w:p>
              </w:tc>
              <w:tc>
                <w:tcPr>
                  <w:tcW w:w="929" w:type="dxa"/>
                  <w:tcBorders>
                    <w:top w:val="single" w:color="000000" w:sz="12" w:space="0"/>
                  </w:tcBorders>
                  <w:shd w:val="clear" w:color="auto" w:fill="auto"/>
                  <w:vAlign w:val="center"/>
                </w:tcPr>
                <w:p w14:paraId="06FAFE44">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r>
                    <w:rPr>
                      <w:rFonts w:hint="eastAsia"/>
                      <w:b w:val="0"/>
                      <w:color w:val="000000"/>
                      <w:szCs w:val="22"/>
                      <w:lang w:val="en-US" w:eastAsia="zh-CN"/>
                    </w:rPr>
                    <w:t>降噪效果dB（A）</w:t>
                  </w:r>
                </w:p>
              </w:tc>
              <w:tc>
                <w:tcPr>
                  <w:tcW w:w="1061" w:type="dxa"/>
                  <w:tcBorders>
                    <w:top w:val="single" w:color="000000" w:sz="12" w:space="0"/>
                    <w:right w:val="nil"/>
                  </w:tcBorders>
                  <w:shd w:val="clear" w:color="auto" w:fill="auto"/>
                  <w:vAlign w:val="center"/>
                </w:tcPr>
                <w:p w14:paraId="52C33CBD">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r>
                    <w:rPr>
                      <w:rFonts w:hint="eastAsia"/>
                      <w:b w:val="0"/>
                      <w:color w:val="000000"/>
                      <w:szCs w:val="22"/>
                      <w:lang w:val="en-US" w:eastAsia="zh-CN"/>
                    </w:rPr>
                    <w:t>降噪叠加后噪声源值dB（A）</w:t>
                  </w:r>
                </w:p>
              </w:tc>
            </w:tr>
            <w:tr w14:paraId="1FAE132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0" w:hRule="atLeast"/>
              </w:trPr>
              <w:tc>
                <w:tcPr>
                  <w:tcW w:w="504" w:type="dxa"/>
                  <w:vMerge w:val="restart"/>
                  <w:tcBorders>
                    <w:left w:val="nil"/>
                  </w:tcBorders>
                  <w:shd w:val="clear" w:color="auto" w:fill="auto"/>
                  <w:vAlign w:val="center"/>
                </w:tcPr>
                <w:p w14:paraId="13964A82">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r>
                    <w:rPr>
                      <w:rFonts w:hint="eastAsia"/>
                      <w:b w:val="0"/>
                      <w:color w:val="000000"/>
                      <w:szCs w:val="22"/>
                      <w:lang w:val="en-US" w:eastAsia="zh-CN"/>
                    </w:rPr>
                    <w:t>生产设备</w:t>
                  </w:r>
                </w:p>
              </w:tc>
              <w:tc>
                <w:tcPr>
                  <w:tcW w:w="530" w:type="dxa"/>
                  <w:shd w:val="clear" w:color="auto" w:fill="auto"/>
                  <w:vAlign w:val="center"/>
                </w:tcPr>
                <w:p w14:paraId="4B9A443C">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r>
                    <w:rPr>
                      <w:rFonts w:hint="eastAsia"/>
                      <w:b w:val="0"/>
                      <w:color w:val="000000"/>
                      <w:szCs w:val="22"/>
                      <w:lang w:val="en-US" w:eastAsia="zh-CN"/>
                    </w:rPr>
                    <w:t>水帘柜</w:t>
                  </w:r>
                </w:p>
              </w:tc>
              <w:tc>
                <w:tcPr>
                  <w:tcW w:w="452" w:type="dxa"/>
                  <w:shd w:val="clear" w:color="auto" w:fill="auto"/>
                  <w:vAlign w:val="center"/>
                </w:tcPr>
                <w:p w14:paraId="4551B563">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9</w:t>
                  </w:r>
                </w:p>
              </w:tc>
              <w:tc>
                <w:tcPr>
                  <w:tcW w:w="776" w:type="dxa"/>
                  <w:shd w:val="clear" w:color="auto" w:fill="auto"/>
                  <w:vAlign w:val="center"/>
                </w:tcPr>
                <w:p w14:paraId="0DC5D81B">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70-80</w:t>
                  </w:r>
                </w:p>
              </w:tc>
              <w:tc>
                <w:tcPr>
                  <w:tcW w:w="1731" w:type="dxa"/>
                  <w:shd w:val="clear" w:color="auto" w:fill="auto"/>
                  <w:vAlign w:val="center"/>
                </w:tcPr>
                <w:p w14:paraId="1F4418D0">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r>
                    <w:rPr>
                      <w:rFonts w:hint="eastAsia"/>
                      <w:b w:val="0"/>
                      <w:color w:val="000000"/>
                      <w:szCs w:val="22"/>
                      <w:lang w:val="en-US" w:eastAsia="zh-CN"/>
                    </w:rPr>
                    <w:t>119.4203,25.7648</w:t>
                  </w:r>
                </w:p>
              </w:tc>
              <w:tc>
                <w:tcPr>
                  <w:tcW w:w="1183" w:type="dxa"/>
                  <w:vMerge w:val="restart"/>
                  <w:shd w:val="clear" w:color="auto" w:fill="auto"/>
                  <w:vAlign w:val="center"/>
                </w:tcPr>
                <w:p w14:paraId="7E3152ED">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r>
                    <w:rPr>
                      <w:rFonts w:hint="eastAsia"/>
                      <w:b w:val="0"/>
                      <w:color w:val="000000"/>
                      <w:szCs w:val="22"/>
                      <w:lang w:val="en-US" w:eastAsia="zh-CN"/>
                    </w:rPr>
                    <w:t>高噪声设备基础安装减振，进行装消声器等降噪措施</w:t>
                  </w:r>
                </w:p>
              </w:tc>
              <w:tc>
                <w:tcPr>
                  <w:tcW w:w="845" w:type="dxa"/>
                  <w:shd w:val="clear" w:color="auto" w:fill="auto"/>
                  <w:vAlign w:val="center"/>
                </w:tcPr>
                <w:p w14:paraId="1DF8CC00">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12</w:t>
                  </w:r>
                </w:p>
              </w:tc>
              <w:tc>
                <w:tcPr>
                  <w:tcW w:w="530" w:type="dxa"/>
                  <w:shd w:val="clear" w:color="auto" w:fill="auto"/>
                  <w:vAlign w:val="center"/>
                </w:tcPr>
                <w:p w14:paraId="5E303613">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75</w:t>
                  </w:r>
                </w:p>
              </w:tc>
              <w:tc>
                <w:tcPr>
                  <w:tcW w:w="929" w:type="dxa"/>
                  <w:shd w:val="clear" w:color="auto" w:fill="auto"/>
                  <w:vAlign w:val="center"/>
                </w:tcPr>
                <w:p w14:paraId="286990D7">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45</w:t>
                  </w:r>
                </w:p>
              </w:tc>
              <w:tc>
                <w:tcPr>
                  <w:tcW w:w="1061" w:type="dxa"/>
                  <w:tcBorders>
                    <w:right w:val="nil"/>
                  </w:tcBorders>
                  <w:shd w:val="clear" w:color="auto" w:fill="auto"/>
                  <w:vAlign w:val="center"/>
                </w:tcPr>
                <w:p w14:paraId="5E5584BF">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64</w:t>
                  </w:r>
                </w:p>
              </w:tc>
            </w:tr>
            <w:tr w14:paraId="2DBAE1D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504" w:type="dxa"/>
                  <w:vMerge w:val="continue"/>
                  <w:tcBorders>
                    <w:left w:val="nil"/>
                  </w:tcBorders>
                  <w:shd w:val="clear" w:color="auto" w:fill="auto"/>
                  <w:vAlign w:val="center"/>
                </w:tcPr>
                <w:p w14:paraId="3906B33F">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p>
              </w:tc>
              <w:tc>
                <w:tcPr>
                  <w:tcW w:w="530" w:type="dxa"/>
                  <w:shd w:val="clear" w:color="auto" w:fill="auto"/>
                  <w:vAlign w:val="center"/>
                </w:tcPr>
                <w:p w14:paraId="0B6ED844">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r>
                    <w:rPr>
                      <w:rFonts w:hint="eastAsia"/>
                      <w:b w:val="0"/>
                      <w:color w:val="000000"/>
                      <w:szCs w:val="22"/>
                      <w:lang w:val="en-US" w:eastAsia="zh-CN"/>
                    </w:rPr>
                    <w:t>喷漆平板线</w:t>
                  </w:r>
                </w:p>
              </w:tc>
              <w:tc>
                <w:tcPr>
                  <w:tcW w:w="452" w:type="dxa"/>
                  <w:shd w:val="clear" w:color="auto" w:fill="auto"/>
                  <w:vAlign w:val="center"/>
                </w:tcPr>
                <w:p w14:paraId="6C85D818">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3</w:t>
                  </w:r>
                </w:p>
              </w:tc>
              <w:tc>
                <w:tcPr>
                  <w:tcW w:w="776" w:type="dxa"/>
                  <w:shd w:val="clear" w:color="auto" w:fill="auto"/>
                  <w:vAlign w:val="center"/>
                </w:tcPr>
                <w:p w14:paraId="3550B139">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75-85</w:t>
                  </w:r>
                </w:p>
              </w:tc>
              <w:tc>
                <w:tcPr>
                  <w:tcW w:w="1731" w:type="dxa"/>
                  <w:shd w:val="clear" w:color="auto" w:fill="auto"/>
                  <w:vAlign w:val="center"/>
                </w:tcPr>
                <w:p w14:paraId="0A2267BD">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r>
                    <w:rPr>
                      <w:rFonts w:hint="eastAsia"/>
                      <w:b w:val="0"/>
                      <w:color w:val="000000"/>
                      <w:szCs w:val="22"/>
                      <w:lang w:val="en-US" w:eastAsia="zh-CN"/>
                    </w:rPr>
                    <w:t>119.4203,26.7647</w:t>
                  </w:r>
                </w:p>
              </w:tc>
              <w:tc>
                <w:tcPr>
                  <w:tcW w:w="1183" w:type="dxa"/>
                  <w:vMerge w:val="continue"/>
                  <w:shd w:val="clear" w:color="auto" w:fill="auto"/>
                  <w:vAlign w:val="center"/>
                </w:tcPr>
                <w:p w14:paraId="07DD0CEE">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p>
              </w:tc>
              <w:tc>
                <w:tcPr>
                  <w:tcW w:w="845" w:type="dxa"/>
                  <w:shd w:val="clear" w:color="auto" w:fill="auto"/>
                  <w:vAlign w:val="center"/>
                </w:tcPr>
                <w:p w14:paraId="2327D4C1">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12</w:t>
                  </w:r>
                </w:p>
              </w:tc>
              <w:tc>
                <w:tcPr>
                  <w:tcW w:w="530" w:type="dxa"/>
                  <w:shd w:val="clear" w:color="auto" w:fill="auto"/>
                  <w:vAlign w:val="center"/>
                </w:tcPr>
                <w:p w14:paraId="688C0D93">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80</w:t>
                  </w:r>
                </w:p>
              </w:tc>
              <w:tc>
                <w:tcPr>
                  <w:tcW w:w="929" w:type="dxa"/>
                  <w:shd w:val="clear" w:color="auto" w:fill="auto"/>
                  <w:vAlign w:val="center"/>
                </w:tcPr>
                <w:p w14:paraId="59F689D6">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50</w:t>
                  </w:r>
                </w:p>
              </w:tc>
              <w:tc>
                <w:tcPr>
                  <w:tcW w:w="1061" w:type="dxa"/>
                  <w:tcBorders>
                    <w:right w:val="nil"/>
                  </w:tcBorders>
                  <w:shd w:val="clear" w:color="auto" w:fill="auto"/>
                  <w:vAlign w:val="center"/>
                </w:tcPr>
                <w:p w14:paraId="3821E734">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69</w:t>
                  </w:r>
                </w:p>
              </w:tc>
            </w:tr>
            <w:tr w14:paraId="586AA63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04" w:type="dxa"/>
                  <w:vMerge w:val="continue"/>
                  <w:tcBorders>
                    <w:left w:val="nil"/>
                  </w:tcBorders>
                  <w:shd w:val="clear" w:color="auto" w:fill="auto"/>
                  <w:vAlign w:val="center"/>
                </w:tcPr>
                <w:p w14:paraId="62D3AA18">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p>
              </w:tc>
              <w:tc>
                <w:tcPr>
                  <w:tcW w:w="530" w:type="dxa"/>
                  <w:shd w:val="clear" w:color="auto" w:fill="auto"/>
                  <w:vAlign w:val="center"/>
                </w:tcPr>
                <w:p w14:paraId="6D647341">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r>
                    <w:rPr>
                      <w:rFonts w:hint="eastAsia"/>
                      <w:b w:val="0"/>
                      <w:color w:val="000000"/>
                      <w:szCs w:val="22"/>
                      <w:lang w:val="en-US" w:eastAsia="zh-CN"/>
                    </w:rPr>
                    <w:t>抛光机</w:t>
                  </w:r>
                </w:p>
              </w:tc>
              <w:tc>
                <w:tcPr>
                  <w:tcW w:w="452" w:type="dxa"/>
                  <w:shd w:val="clear" w:color="auto" w:fill="auto"/>
                  <w:vAlign w:val="center"/>
                </w:tcPr>
                <w:p w14:paraId="4B4C8CF1">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20</w:t>
                  </w:r>
                </w:p>
              </w:tc>
              <w:tc>
                <w:tcPr>
                  <w:tcW w:w="776" w:type="dxa"/>
                  <w:shd w:val="clear" w:color="auto" w:fill="auto"/>
                  <w:vAlign w:val="center"/>
                </w:tcPr>
                <w:p w14:paraId="520BF0C9">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80-90</w:t>
                  </w:r>
                </w:p>
              </w:tc>
              <w:tc>
                <w:tcPr>
                  <w:tcW w:w="1731" w:type="dxa"/>
                  <w:shd w:val="clear" w:color="auto" w:fill="auto"/>
                  <w:vAlign w:val="center"/>
                </w:tcPr>
                <w:p w14:paraId="5CA23EF4">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r>
                    <w:rPr>
                      <w:rFonts w:hint="eastAsia"/>
                      <w:b w:val="0"/>
                      <w:color w:val="000000"/>
                      <w:szCs w:val="22"/>
                      <w:lang w:val="en-US" w:eastAsia="zh-CN"/>
                    </w:rPr>
                    <w:t>119.4203,26.7647</w:t>
                  </w:r>
                </w:p>
              </w:tc>
              <w:tc>
                <w:tcPr>
                  <w:tcW w:w="1183" w:type="dxa"/>
                  <w:vMerge w:val="continue"/>
                  <w:shd w:val="clear" w:color="auto" w:fill="auto"/>
                  <w:vAlign w:val="center"/>
                </w:tcPr>
                <w:p w14:paraId="37A8F99A">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p>
              </w:tc>
              <w:tc>
                <w:tcPr>
                  <w:tcW w:w="845" w:type="dxa"/>
                  <w:shd w:val="clear" w:color="auto" w:fill="auto"/>
                  <w:vAlign w:val="center"/>
                </w:tcPr>
                <w:p w14:paraId="169C9172">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12</w:t>
                  </w:r>
                </w:p>
              </w:tc>
              <w:tc>
                <w:tcPr>
                  <w:tcW w:w="530" w:type="dxa"/>
                  <w:shd w:val="clear" w:color="auto" w:fill="auto"/>
                  <w:vAlign w:val="center"/>
                </w:tcPr>
                <w:p w14:paraId="13AF1BB0">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85</w:t>
                  </w:r>
                </w:p>
              </w:tc>
              <w:tc>
                <w:tcPr>
                  <w:tcW w:w="929" w:type="dxa"/>
                  <w:shd w:val="clear" w:color="auto" w:fill="auto"/>
                  <w:vAlign w:val="center"/>
                </w:tcPr>
                <w:p w14:paraId="164339E9">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55</w:t>
                  </w:r>
                </w:p>
              </w:tc>
              <w:tc>
                <w:tcPr>
                  <w:tcW w:w="1061" w:type="dxa"/>
                  <w:tcBorders>
                    <w:right w:val="nil"/>
                  </w:tcBorders>
                  <w:shd w:val="clear" w:color="auto" w:fill="auto"/>
                  <w:vAlign w:val="center"/>
                </w:tcPr>
                <w:p w14:paraId="46C99370">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74</w:t>
                  </w:r>
                </w:p>
              </w:tc>
            </w:tr>
            <w:tr w14:paraId="67D65A2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04" w:type="dxa"/>
                  <w:vMerge w:val="continue"/>
                  <w:tcBorders>
                    <w:left w:val="nil"/>
                  </w:tcBorders>
                  <w:shd w:val="clear" w:color="auto" w:fill="auto"/>
                  <w:vAlign w:val="center"/>
                </w:tcPr>
                <w:p w14:paraId="3C447E30">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p>
              </w:tc>
              <w:tc>
                <w:tcPr>
                  <w:tcW w:w="530" w:type="dxa"/>
                  <w:shd w:val="clear" w:color="auto" w:fill="auto"/>
                  <w:vAlign w:val="center"/>
                </w:tcPr>
                <w:p w14:paraId="3A595FE4">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r>
                    <w:rPr>
                      <w:rFonts w:hint="eastAsia"/>
                      <w:b w:val="0"/>
                      <w:color w:val="000000"/>
                      <w:szCs w:val="22"/>
                      <w:lang w:val="en-US" w:eastAsia="zh-CN"/>
                    </w:rPr>
                    <w:t>喷枪</w:t>
                  </w:r>
                </w:p>
              </w:tc>
              <w:tc>
                <w:tcPr>
                  <w:tcW w:w="452" w:type="dxa"/>
                  <w:shd w:val="clear" w:color="auto" w:fill="auto"/>
                  <w:vAlign w:val="center"/>
                </w:tcPr>
                <w:p w14:paraId="1290E439">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20</w:t>
                  </w:r>
                </w:p>
              </w:tc>
              <w:tc>
                <w:tcPr>
                  <w:tcW w:w="776" w:type="dxa"/>
                  <w:shd w:val="clear" w:color="auto" w:fill="auto"/>
                  <w:vAlign w:val="center"/>
                </w:tcPr>
                <w:p w14:paraId="39EDA807">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65-75</w:t>
                  </w:r>
                </w:p>
              </w:tc>
              <w:tc>
                <w:tcPr>
                  <w:tcW w:w="1731" w:type="dxa"/>
                  <w:shd w:val="clear" w:color="auto" w:fill="auto"/>
                  <w:vAlign w:val="center"/>
                </w:tcPr>
                <w:p w14:paraId="61B84A37">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r>
                    <w:rPr>
                      <w:rFonts w:hint="eastAsia"/>
                      <w:b w:val="0"/>
                      <w:color w:val="000000"/>
                      <w:szCs w:val="22"/>
                      <w:lang w:val="en-US" w:eastAsia="zh-CN"/>
                    </w:rPr>
                    <w:t>119.4203,26.7647</w:t>
                  </w:r>
                </w:p>
              </w:tc>
              <w:tc>
                <w:tcPr>
                  <w:tcW w:w="1183" w:type="dxa"/>
                  <w:vMerge w:val="continue"/>
                  <w:shd w:val="clear" w:color="auto" w:fill="auto"/>
                  <w:vAlign w:val="center"/>
                </w:tcPr>
                <w:p w14:paraId="6968497F">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p>
              </w:tc>
              <w:tc>
                <w:tcPr>
                  <w:tcW w:w="845" w:type="dxa"/>
                  <w:shd w:val="clear" w:color="auto" w:fill="auto"/>
                  <w:vAlign w:val="center"/>
                </w:tcPr>
                <w:p w14:paraId="1FE3B11C">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12</w:t>
                  </w:r>
                </w:p>
              </w:tc>
              <w:tc>
                <w:tcPr>
                  <w:tcW w:w="530" w:type="dxa"/>
                  <w:shd w:val="clear" w:color="auto" w:fill="auto"/>
                  <w:vAlign w:val="center"/>
                </w:tcPr>
                <w:p w14:paraId="1F7B9145">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68</w:t>
                  </w:r>
                </w:p>
              </w:tc>
              <w:tc>
                <w:tcPr>
                  <w:tcW w:w="929" w:type="dxa"/>
                  <w:shd w:val="clear" w:color="auto" w:fill="auto"/>
                  <w:vAlign w:val="center"/>
                </w:tcPr>
                <w:p w14:paraId="545AEEE9">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38</w:t>
                  </w:r>
                </w:p>
              </w:tc>
              <w:tc>
                <w:tcPr>
                  <w:tcW w:w="1061" w:type="dxa"/>
                  <w:tcBorders>
                    <w:right w:val="nil"/>
                  </w:tcBorders>
                  <w:shd w:val="clear" w:color="auto" w:fill="auto"/>
                  <w:vAlign w:val="center"/>
                </w:tcPr>
                <w:p w14:paraId="0822F9E4">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56</w:t>
                  </w:r>
                </w:p>
              </w:tc>
            </w:tr>
            <w:tr w14:paraId="36AC85C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04" w:type="dxa"/>
                  <w:vMerge w:val="continue"/>
                  <w:tcBorders>
                    <w:left w:val="nil"/>
                  </w:tcBorders>
                  <w:shd w:val="clear" w:color="auto" w:fill="auto"/>
                  <w:vAlign w:val="center"/>
                </w:tcPr>
                <w:p w14:paraId="2663B090">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p>
              </w:tc>
              <w:tc>
                <w:tcPr>
                  <w:tcW w:w="530" w:type="dxa"/>
                  <w:shd w:val="clear" w:color="auto" w:fill="auto"/>
                  <w:vAlign w:val="center"/>
                </w:tcPr>
                <w:p w14:paraId="00F7834D">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r>
                    <w:rPr>
                      <w:rFonts w:hint="eastAsia"/>
                      <w:b w:val="0"/>
                      <w:color w:val="000000"/>
                      <w:szCs w:val="22"/>
                      <w:lang w:val="en-US" w:eastAsia="zh-CN"/>
                    </w:rPr>
                    <w:t>电面包炉</w:t>
                  </w:r>
                </w:p>
              </w:tc>
              <w:tc>
                <w:tcPr>
                  <w:tcW w:w="452" w:type="dxa"/>
                  <w:shd w:val="clear" w:color="auto" w:fill="auto"/>
                  <w:vAlign w:val="center"/>
                </w:tcPr>
                <w:p w14:paraId="39A3A21A">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2</w:t>
                  </w:r>
                </w:p>
              </w:tc>
              <w:tc>
                <w:tcPr>
                  <w:tcW w:w="776" w:type="dxa"/>
                  <w:shd w:val="clear" w:color="auto" w:fill="auto"/>
                  <w:vAlign w:val="center"/>
                </w:tcPr>
                <w:p w14:paraId="03FFF997">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60-70</w:t>
                  </w:r>
                </w:p>
              </w:tc>
              <w:tc>
                <w:tcPr>
                  <w:tcW w:w="1731" w:type="dxa"/>
                  <w:shd w:val="clear" w:color="auto" w:fill="auto"/>
                  <w:vAlign w:val="center"/>
                </w:tcPr>
                <w:p w14:paraId="61C7F21C">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r>
                    <w:rPr>
                      <w:rFonts w:hint="eastAsia"/>
                      <w:b w:val="0"/>
                      <w:color w:val="000000"/>
                      <w:szCs w:val="22"/>
                      <w:lang w:val="en-US" w:eastAsia="zh-CN"/>
                    </w:rPr>
                    <w:t>119.4205,25.7650</w:t>
                  </w:r>
                </w:p>
              </w:tc>
              <w:tc>
                <w:tcPr>
                  <w:tcW w:w="1183" w:type="dxa"/>
                  <w:vMerge w:val="continue"/>
                  <w:shd w:val="clear" w:color="auto" w:fill="auto"/>
                  <w:vAlign w:val="center"/>
                </w:tcPr>
                <w:p w14:paraId="69BA5D4E">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p>
              </w:tc>
              <w:tc>
                <w:tcPr>
                  <w:tcW w:w="845" w:type="dxa"/>
                  <w:shd w:val="clear" w:color="auto" w:fill="auto"/>
                  <w:vAlign w:val="center"/>
                </w:tcPr>
                <w:p w14:paraId="06A0A02F">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12</w:t>
                  </w:r>
                </w:p>
              </w:tc>
              <w:tc>
                <w:tcPr>
                  <w:tcW w:w="530" w:type="dxa"/>
                  <w:shd w:val="clear" w:color="auto" w:fill="auto"/>
                  <w:vAlign w:val="center"/>
                </w:tcPr>
                <w:p w14:paraId="16C57F7F">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65</w:t>
                  </w:r>
                </w:p>
              </w:tc>
              <w:tc>
                <w:tcPr>
                  <w:tcW w:w="929" w:type="dxa"/>
                  <w:shd w:val="clear" w:color="auto" w:fill="auto"/>
                  <w:vAlign w:val="center"/>
                </w:tcPr>
                <w:p w14:paraId="6F0823ED">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35</w:t>
                  </w:r>
                </w:p>
              </w:tc>
              <w:tc>
                <w:tcPr>
                  <w:tcW w:w="1061" w:type="dxa"/>
                  <w:tcBorders>
                    <w:right w:val="nil"/>
                  </w:tcBorders>
                  <w:shd w:val="clear" w:color="auto" w:fill="auto"/>
                  <w:vAlign w:val="center"/>
                </w:tcPr>
                <w:p w14:paraId="259D3742">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53</w:t>
                  </w:r>
                </w:p>
              </w:tc>
            </w:tr>
            <w:tr w14:paraId="2853A4A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1034" w:type="dxa"/>
                  <w:gridSpan w:val="2"/>
                  <w:tcBorders>
                    <w:left w:val="nil"/>
                  </w:tcBorders>
                  <w:shd w:val="clear" w:color="auto" w:fill="auto"/>
                  <w:vAlign w:val="center"/>
                </w:tcPr>
                <w:p w14:paraId="0790D2C2">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r>
                    <w:rPr>
                      <w:rFonts w:hint="eastAsia"/>
                      <w:b w:val="0"/>
                      <w:color w:val="000000"/>
                      <w:szCs w:val="22"/>
                      <w:lang w:val="en-US" w:eastAsia="zh-CN"/>
                    </w:rPr>
                    <w:t>空压机</w:t>
                  </w:r>
                </w:p>
              </w:tc>
              <w:tc>
                <w:tcPr>
                  <w:tcW w:w="452" w:type="dxa"/>
                  <w:shd w:val="clear" w:color="auto" w:fill="auto"/>
                  <w:vAlign w:val="center"/>
                </w:tcPr>
                <w:p w14:paraId="705F1AF8">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1</w:t>
                  </w:r>
                </w:p>
              </w:tc>
              <w:tc>
                <w:tcPr>
                  <w:tcW w:w="776" w:type="dxa"/>
                  <w:shd w:val="clear" w:color="auto" w:fill="auto"/>
                  <w:vAlign w:val="center"/>
                </w:tcPr>
                <w:p w14:paraId="2252EF9D">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85-95</w:t>
                  </w:r>
                </w:p>
              </w:tc>
              <w:tc>
                <w:tcPr>
                  <w:tcW w:w="1731" w:type="dxa"/>
                  <w:shd w:val="clear" w:color="auto" w:fill="auto"/>
                  <w:vAlign w:val="center"/>
                </w:tcPr>
                <w:p w14:paraId="13F80F3E">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r>
                    <w:rPr>
                      <w:rFonts w:hint="eastAsia"/>
                      <w:b w:val="0"/>
                      <w:color w:val="000000"/>
                      <w:szCs w:val="22"/>
                      <w:lang w:val="en-US" w:eastAsia="zh-CN"/>
                    </w:rPr>
                    <w:t>119.4204,25.7648</w:t>
                  </w:r>
                </w:p>
              </w:tc>
              <w:tc>
                <w:tcPr>
                  <w:tcW w:w="1183" w:type="dxa"/>
                  <w:vMerge w:val="continue"/>
                  <w:shd w:val="clear" w:color="auto" w:fill="auto"/>
                  <w:vAlign w:val="center"/>
                </w:tcPr>
                <w:p w14:paraId="6DD56509">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p>
              </w:tc>
              <w:tc>
                <w:tcPr>
                  <w:tcW w:w="845" w:type="dxa"/>
                  <w:shd w:val="clear" w:color="auto" w:fill="auto"/>
                  <w:vAlign w:val="center"/>
                </w:tcPr>
                <w:p w14:paraId="7CAD9D17">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12</w:t>
                  </w:r>
                </w:p>
              </w:tc>
              <w:tc>
                <w:tcPr>
                  <w:tcW w:w="530" w:type="dxa"/>
                  <w:shd w:val="clear" w:color="auto" w:fill="auto"/>
                  <w:vAlign w:val="center"/>
                </w:tcPr>
                <w:p w14:paraId="1626E3CF">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90</w:t>
                  </w:r>
                </w:p>
              </w:tc>
              <w:tc>
                <w:tcPr>
                  <w:tcW w:w="929" w:type="dxa"/>
                  <w:shd w:val="clear" w:color="auto" w:fill="auto"/>
                  <w:vAlign w:val="center"/>
                </w:tcPr>
                <w:p w14:paraId="7CDC1A44">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60</w:t>
                  </w:r>
                </w:p>
              </w:tc>
              <w:tc>
                <w:tcPr>
                  <w:tcW w:w="1061" w:type="dxa"/>
                  <w:tcBorders>
                    <w:right w:val="nil"/>
                  </w:tcBorders>
                  <w:shd w:val="clear" w:color="auto" w:fill="auto"/>
                  <w:vAlign w:val="center"/>
                </w:tcPr>
                <w:p w14:paraId="4752E801">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80</w:t>
                  </w:r>
                </w:p>
              </w:tc>
            </w:tr>
            <w:tr w14:paraId="195E187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1034" w:type="dxa"/>
                  <w:gridSpan w:val="2"/>
                  <w:tcBorders>
                    <w:left w:val="nil"/>
                    <w:bottom w:val="single" w:color="000000" w:sz="12" w:space="0"/>
                  </w:tcBorders>
                  <w:shd w:val="clear" w:color="auto" w:fill="auto"/>
                  <w:vAlign w:val="center"/>
                </w:tcPr>
                <w:p w14:paraId="03892C35">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r>
                    <w:rPr>
                      <w:rFonts w:hint="eastAsia"/>
                      <w:b w:val="0"/>
                      <w:color w:val="000000"/>
                      <w:szCs w:val="22"/>
                      <w:lang w:val="en-US" w:eastAsia="zh-CN"/>
                    </w:rPr>
                    <w:t>风机</w:t>
                  </w:r>
                </w:p>
              </w:tc>
              <w:tc>
                <w:tcPr>
                  <w:tcW w:w="452" w:type="dxa"/>
                  <w:tcBorders>
                    <w:bottom w:val="single" w:color="000000" w:sz="12" w:space="0"/>
                  </w:tcBorders>
                  <w:shd w:val="clear" w:color="auto" w:fill="auto"/>
                  <w:noWrap/>
                  <w:vAlign w:val="center"/>
                </w:tcPr>
                <w:p w14:paraId="5A7D6241">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3</w:t>
                  </w:r>
                </w:p>
              </w:tc>
              <w:tc>
                <w:tcPr>
                  <w:tcW w:w="776" w:type="dxa"/>
                  <w:tcBorders>
                    <w:bottom w:val="single" w:color="000000" w:sz="12" w:space="0"/>
                  </w:tcBorders>
                  <w:shd w:val="clear" w:color="auto" w:fill="auto"/>
                  <w:vAlign w:val="center"/>
                </w:tcPr>
                <w:p w14:paraId="2A53741D">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85-90</w:t>
                  </w:r>
                </w:p>
              </w:tc>
              <w:tc>
                <w:tcPr>
                  <w:tcW w:w="1731" w:type="dxa"/>
                  <w:tcBorders>
                    <w:bottom w:val="single" w:color="000000" w:sz="12" w:space="0"/>
                  </w:tcBorders>
                  <w:shd w:val="clear" w:color="auto" w:fill="auto"/>
                  <w:vAlign w:val="center"/>
                </w:tcPr>
                <w:p w14:paraId="4FBD5BC1">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r>
                    <w:rPr>
                      <w:rFonts w:hint="eastAsia"/>
                      <w:b w:val="0"/>
                      <w:color w:val="000000"/>
                      <w:szCs w:val="22"/>
                      <w:lang w:val="en-US" w:eastAsia="zh-CN"/>
                    </w:rPr>
                    <w:t>119.4204,25.7649</w:t>
                  </w:r>
                </w:p>
              </w:tc>
              <w:tc>
                <w:tcPr>
                  <w:tcW w:w="1183" w:type="dxa"/>
                  <w:vMerge w:val="continue"/>
                  <w:tcBorders>
                    <w:bottom w:val="single" w:color="000000" w:sz="12" w:space="0"/>
                  </w:tcBorders>
                  <w:shd w:val="clear" w:color="auto" w:fill="auto"/>
                  <w:vAlign w:val="center"/>
                </w:tcPr>
                <w:p w14:paraId="32DB6A52">
                  <w:pPr>
                    <w:pStyle w:val="38"/>
                    <w:keepNext w:val="0"/>
                    <w:keepLines w:val="0"/>
                    <w:widowControl/>
                    <w:suppressLineNumbers w:val="0"/>
                    <w:bidi w:val="0"/>
                    <w:spacing w:before="0" w:beforeAutospacing="0" w:after="0" w:afterAutospacing="0"/>
                    <w:ind w:left="0" w:right="0"/>
                    <w:jc w:val="center"/>
                    <w:rPr>
                      <w:rFonts w:hint="eastAsia"/>
                      <w:b w:val="0"/>
                      <w:color w:val="000000"/>
                      <w:szCs w:val="22"/>
                    </w:rPr>
                  </w:pPr>
                </w:p>
              </w:tc>
              <w:tc>
                <w:tcPr>
                  <w:tcW w:w="845" w:type="dxa"/>
                  <w:tcBorders>
                    <w:bottom w:val="single" w:color="000000" w:sz="12" w:space="0"/>
                  </w:tcBorders>
                  <w:shd w:val="clear" w:color="auto" w:fill="auto"/>
                  <w:vAlign w:val="center"/>
                </w:tcPr>
                <w:p w14:paraId="6222BED2">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12</w:t>
                  </w:r>
                </w:p>
              </w:tc>
              <w:tc>
                <w:tcPr>
                  <w:tcW w:w="530" w:type="dxa"/>
                  <w:tcBorders>
                    <w:bottom w:val="single" w:color="000000" w:sz="12" w:space="0"/>
                  </w:tcBorders>
                  <w:shd w:val="clear" w:color="auto" w:fill="auto"/>
                  <w:vAlign w:val="center"/>
                </w:tcPr>
                <w:p w14:paraId="26072EE9">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87</w:t>
                  </w:r>
                </w:p>
              </w:tc>
              <w:tc>
                <w:tcPr>
                  <w:tcW w:w="929" w:type="dxa"/>
                  <w:tcBorders>
                    <w:bottom w:val="single" w:color="000000" w:sz="12" w:space="0"/>
                  </w:tcBorders>
                  <w:shd w:val="clear" w:color="auto" w:fill="auto"/>
                  <w:vAlign w:val="center"/>
                </w:tcPr>
                <w:p w14:paraId="641D4E3E">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57</w:t>
                  </w:r>
                </w:p>
              </w:tc>
              <w:tc>
                <w:tcPr>
                  <w:tcW w:w="1061" w:type="dxa"/>
                  <w:tcBorders>
                    <w:bottom w:val="single" w:color="000000" w:sz="12" w:space="0"/>
                    <w:right w:val="nil"/>
                  </w:tcBorders>
                  <w:shd w:val="clear" w:color="auto" w:fill="auto"/>
                  <w:vAlign w:val="center"/>
                </w:tcPr>
                <w:p w14:paraId="0D63E97E">
                  <w:pPr>
                    <w:pStyle w:val="38"/>
                    <w:keepNext w:val="0"/>
                    <w:keepLines w:val="0"/>
                    <w:widowControl/>
                    <w:suppressLineNumbers w:val="0"/>
                    <w:bidi w:val="0"/>
                    <w:spacing w:before="0" w:beforeAutospacing="0" w:after="0" w:afterAutospacing="0"/>
                    <w:ind w:left="0" w:right="0"/>
                    <w:jc w:val="center"/>
                    <w:rPr>
                      <w:rFonts w:hint="default"/>
                      <w:b w:val="0"/>
                      <w:color w:val="000000"/>
                      <w:szCs w:val="22"/>
                    </w:rPr>
                  </w:pPr>
                  <w:r>
                    <w:rPr>
                      <w:rFonts w:hint="default"/>
                      <w:b w:val="0"/>
                      <w:color w:val="000000"/>
                      <w:szCs w:val="22"/>
                      <w:lang w:val="en-US" w:eastAsia="zh-CN"/>
                    </w:rPr>
                    <w:t>76</w:t>
                  </w:r>
                </w:p>
              </w:tc>
            </w:tr>
          </w:tbl>
          <w:p w14:paraId="05628106">
            <w:pPr>
              <w:pStyle w:val="4"/>
              <w:suppressLineNumbers w:val="0"/>
              <w:bidi w:val="0"/>
              <w:spacing w:before="0" w:beforeAutospacing="0" w:after="0" w:afterAutospacing="0"/>
              <w:ind w:left="0" w:right="0"/>
              <w:rPr>
                <w:rFonts w:hint="eastAsia"/>
                <w:lang w:val="en-US" w:eastAsia="zh-CN"/>
              </w:rPr>
            </w:pPr>
            <w:r>
              <w:rPr>
                <w:rFonts w:hint="default"/>
              </w:rPr>
              <w:t>运营期声环境影响分析</w:t>
            </w:r>
          </w:p>
          <w:p w14:paraId="402202D0">
            <w:pPr>
              <w:keepNext w:val="0"/>
              <w:keepLines w:val="0"/>
              <w:suppressLineNumbers w:val="0"/>
              <w:bidi w:val="0"/>
              <w:spacing w:before="0" w:beforeAutospacing="0" w:after="0" w:afterAutospacing="0"/>
              <w:ind w:left="0" w:right="0"/>
              <w:rPr>
                <w:rFonts w:hint="eastAsia"/>
              </w:rPr>
            </w:pPr>
            <w:r>
              <w:rPr>
                <w:rFonts w:hint="eastAsia"/>
              </w:rPr>
              <w:t>本评价将对机械设备产生的噪声值进行衰减预测，根据《环境影响评价技术导则—声环境》（HJ2.4-2021）推荐的预测模式，具体室内等效室外声源声功率计算、户外传播衰减、几何衰减、噪声贡献值叠加等计算模式如下：</w:t>
            </w:r>
          </w:p>
          <w:p w14:paraId="01619359">
            <w:pPr>
              <w:keepNext w:val="0"/>
              <w:keepLines w:val="0"/>
              <w:suppressLineNumbers w:val="0"/>
              <w:bidi w:val="0"/>
              <w:spacing w:before="0" w:beforeAutospacing="0" w:after="0" w:afterAutospacing="0"/>
              <w:ind w:left="0" w:right="0"/>
              <w:rPr>
                <w:rFonts w:hint="eastAsia"/>
              </w:rPr>
            </w:pPr>
            <w:r>
              <w:rPr>
                <w:rFonts w:hint="eastAsia"/>
              </w:rPr>
              <w:t>（1）单个室外的点声源在预测点产生的声级计算基本公式</w:t>
            </w:r>
          </w:p>
          <w:p w14:paraId="113DC92D">
            <w:pPr>
              <w:keepNext w:val="0"/>
              <w:keepLines w:val="0"/>
              <w:suppressLineNumbers w:val="0"/>
              <w:bidi w:val="0"/>
              <w:spacing w:before="0" w:beforeAutospacing="0" w:after="0" w:afterAutospacing="0"/>
              <w:ind w:left="0" w:right="0"/>
              <w:rPr>
                <w:rFonts w:hint="eastAsia"/>
              </w:rPr>
            </w:pPr>
            <w:r>
              <w:rPr>
                <w:rFonts w:hint="eastAsia"/>
              </w:rPr>
              <w:t>某个声源在预测点的倍频带声压级的计算公式如下：</w:t>
            </w:r>
          </w:p>
          <w:p w14:paraId="50C7FBA7">
            <w:pPr>
              <w:pStyle w:val="15"/>
              <w:keepNext w:val="0"/>
              <w:keepLines w:val="0"/>
              <w:suppressLineNumbers w:val="0"/>
              <w:bidi w:val="0"/>
              <w:spacing w:before="0" w:beforeAutospacing="0" w:after="0" w:afterAutospacing="0"/>
              <w:ind w:left="0" w:right="0"/>
              <w:jc w:val="center"/>
            </w:pPr>
            <w:r>
              <w:fldChar w:fldCharType="begin"/>
            </w:r>
            <w:r>
              <w:instrText xml:space="preserve"> INCLUDEPICTURE "C:\\Users\\Admin\\AppData\\Local\\Temp\\ksohtml12936\\wps2.png" \* MERGEFORMATINET </w:instrText>
            </w:r>
            <w:r>
              <w:fldChar w:fldCharType="separate"/>
            </w:r>
            <w:r>
              <w:fldChar w:fldCharType="begin"/>
            </w:r>
            <w:r>
              <w:instrText xml:space="preserve"> INCLUDEPICTURE  "C:\\Users\\Admin\\AppData\\Local\\Temp\\ksohtml12936\\wps2.png" \* MERGEFORMATINET </w:instrText>
            </w:r>
            <w:r>
              <w:fldChar w:fldCharType="separate"/>
            </w:r>
            <w:r>
              <w:fldChar w:fldCharType="begin"/>
            </w:r>
            <w:r>
              <w:instrText xml:space="preserve"> INCLUDEPICTURE  "C:\\Users\\Admin\\AppData\\Local\\Temp\\ksohtml12936\\wps2.png" \* MERGEFORMATINET </w:instrText>
            </w:r>
            <w:r>
              <w:fldChar w:fldCharType="separate"/>
            </w:r>
            <w:r>
              <w:fldChar w:fldCharType="begin"/>
            </w:r>
            <w:r>
              <w:instrText xml:space="preserve"> INCLUDEPICTURE  "C:\\Users\\Admin\\AppData\\Local\\Temp\\ksohtml12936\\wps2.png" \* MERGEFORMATINET </w:instrText>
            </w:r>
            <w:r>
              <w:fldChar w:fldCharType="separate"/>
            </w:r>
            <w:r>
              <w:fldChar w:fldCharType="begin"/>
            </w:r>
            <w:r>
              <w:instrText xml:space="preserve"> INCLUDEPICTURE  "C:\\Users\\Admin\\AppData\\Local\\Temp\\ksohtml12936\\wps2.png" \* MERGEFORMATINET </w:instrText>
            </w:r>
            <w:r>
              <w:fldChar w:fldCharType="separate"/>
            </w:r>
            <w:r>
              <w:fldChar w:fldCharType="begin"/>
            </w:r>
            <w:r>
              <w:instrText xml:space="preserve"> INCLUDEPICTURE  "C:\\Users\\Admin\\AppData\\Local\\Temp\\ksohtml12936\\wps2.png" \* MERGEFORMATINET </w:instrText>
            </w:r>
            <w:r>
              <w:fldChar w:fldCharType="separate"/>
            </w:r>
            <w:r>
              <w:fldChar w:fldCharType="begin"/>
            </w:r>
            <w:r>
              <w:instrText xml:space="preserve"> INCLUDEPICTURE  "C:\\Users\\Admin\\AppData\\Local\\Temp\\ksohtml12936\\wps2.png" \* MERGEFORMATINET </w:instrText>
            </w:r>
            <w:r>
              <w:fldChar w:fldCharType="separate"/>
            </w:r>
            <w:r>
              <w:fldChar w:fldCharType="begin"/>
            </w:r>
            <w:r>
              <w:instrText xml:space="preserve"> INCLUDEPICTURE  "C:\\Users\\Admin\\AppData\\Local\\Temp\\ksohtml12936\\wps2.png" \* MERGEFORMATINET </w:instrText>
            </w:r>
            <w:r>
              <w:fldChar w:fldCharType="separate"/>
            </w:r>
            <w:r>
              <w:drawing>
                <wp:inline distT="0" distB="0" distL="114300" distR="114300">
                  <wp:extent cx="2522220" cy="716280"/>
                  <wp:effectExtent l="0" t="0" r="11430" b="7620"/>
                  <wp:docPr id="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
                          <pic:cNvPicPr>
                            <a:picLocks noChangeAspect="1"/>
                          </pic:cNvPicPr>
                        </pic:nvPicPr>
                        <pic:blipFill>
                          <a:blip r:embed="rId23" r:link="rId24"/>
                          <a:stretch>
                            <a:fillRect/>
                          </a:stretch>
                        </pic:blipFill>
                        <pic:spPr>
                          <a:xfrm>
                            <a:off x="0" y="0"/>
                            <a:ext cx="2522220" cy="716280"/>
                          </a:xfrm>
                          <a:prstGeom prst="rect">
                            <a:avLst/>
                          </a:prstGeom>
                          <a:noFill/>
                          <a:ln>
                            <a:noFill/>
                          </a:ln>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p>
          <w:p w14:paraId="526849A8">
            <w:pPr>
              <w:keepNext w:val="0"/>
              <w:keepLines w:val="0"/>
              <w:suppressLineNumbers w:val="0"/>
              <w:bidi w:val="0"/>
              <w:spacing w:before="0" w:beforeAutospacing="0" w:after="0" w:afterAutospacing="0"/>
              <w:ind w:left="0" w:right="0"/>
              <w:rPr>
                <w:rFonts w:hint="eastAsia"/>
              </w:rPr>
            </w:pPr>
            <w:r>
              <w:rPr>
                <w:rFonts w:hint="eastAsia"/>
              </w:rPr>
              <w:t>式中：</w:t>
            </w:r>
          </w:p>
          <w:p w14:paraId="7C97D843">
            <w:pPr>
              <w:keepNext w:val="0"/>
              <w:keepLines w:val="0"/>
              <w:suppressLineNumbers w:val="0"/>
              <w:bidi w:val="0"/>
              <w:spacing w:before="0" w:beforeAutospacing="0" w:after="0" w:afterAutospacing="0"/>
              <w:ind w:left="0" w:right="0"/>
              <w:rPr>
                <w:rFonts w:hint="eastAsia"/>
              </w:rPr>
            </w:pPr>
            <w:r>
              <w:rPr>
                <w:rFonts w:hint="eastAsia"/>
              </w:rPr>
              <w:t>Lw——倍频带声功率级，dB；</w:t>
            </w:r>
          </w:p>
          <w:p w14:paraId="10E0845D">
            <w:pPr>
              <w:keepNext w:val="0"/>
              <w:keepLines w:val="0"/>
              <w:suppressLineNumbers w:val="0"/>
              <w:bidi w:val="0"/>
              <w:spacing w:before="0" w:beforeAutospacing="0" w:after="0" w:afterAutospacing="0"/>
              <w:ind w:left="0" w:right="0"/>
              <w:rPr>
                <w:rFonts w:hint="eastAsia"/>
              </w:rPr>
            </w:pPr>
            <w:r>
              <w:rPr>
                <w:rFonts w:hint="eastAsia"/>
              </w:rPr>
              <w:t>Dc——指向性校正。对辐射到自由空间的全向点声源，Dc=0dB；</w:t>
            </w:r>
          </w:p>
          <w:p w14:paraId="437AC489">
            <w:pPr>
              <w:keepNext w:val="0"/>
              <w:keepLines w:val="0"/>
              <w:suppressLineNumbers w:val="0"/>
              <w:bidi w:val="0"/>
              <w:spacing w:before="0" w:beforeAutospacing="0" w:after="0" w:afterAutospacing="0"/>
              <w:ind w:left="0" w:right="0"/>
              <w:rPr>
                <w:rFonts w:hint="eastAsia"/>
              </w:rPr>
            </w:pPr>
            <w:r>
              <w:rPr>
                <w:rFonts w:hint="eastAsia"/>
              </w:rPr>
              <w:t>A—倍频带衰减，dB；</w:t>
            </w:r>
          </w:p>
          <w:p w14:paraId="215B87D8">
            <w:pPr>
              <w:keepNext w:val="0"/>
              <w:keepLines w:val="0"/>
              <w:suppressLineNumbers w:val="0"/>
              <w:bidi w:val="0"/>
              <w:spacing w:before="0" w:beforeAutospacing="0" w:after="0" w:afterAutospacing="0"/>
              <w:ind w:left="0" w:right="0"/>
              <w:rPr>
                <w:rFonts w:hint="eastAsia"/>
              </w:rPr>
            </w:pPr>
            <w:r>
              <w:rPr>
                <w:rFonts w:hint="eastAsia"/>
              </w:rPr>
              <w:t>Adiv—几何发散引起的倍频带衰减，dB；</w:t>
            </w:r>
          </w:p>
          <w:p w14:paraId="31026927">
            <w:pPr>
              <w:keepNext w:val="0"/>
              <w:keepLines w:val="0"/>
              <w:suppressLineNumbers w:val="0"/>
              <w:bidi w:val="0"/>
              <w:spacing w:before="0" w:beforeAutospacing="0" w:after="0" w:afterAutospacing="0"/>
              <w:ind w:left="0" w:right="0"/>
              <w:rPr>
                <w:rFonts w:hint="eastAsia"/>
              </w:rPr>
            </w:pPr>
            <w:r>
              <w:rPr>
                <w:rFonts w:hint="eastAsia"/>
              </w:rPr>
              <w:t>Aatm—大气吸收引起的倍频带衰减，dB；</w:t>
            </w:r>
          </w:p>
          <w:p w14:paraId="56529C20">
            <w:pPr>
              <w:keepNext w:val="0"/>
              <w:keepLines w:val="0"/>
              <w:suppressLineNumbers w:val="0"/>
              <w:bidi w:val="0"/>
              <w:spacing w:before="0" w:beforeAutospacing="0" w:after="0" w:afterAutospacing="0"/>
              <w:ind w:left="0" w:right="0"/>
              <w:rPr>
                <w:rFonts w:hint="eastAsia"/>
              </w:rPr>
            </w:pPr>
            <w:r>
              <w:rPr>
                <w:rFonts w:hint="eastAsia"/>
              </w:rPr>
              <w:t>Agr—地面效应引起的倍频带衰减，dB；</w:t>
            </w:r>
          </w:p>
          <w:p w14:paraId="661B7928">
            <w:pPr>
              <w:keepNext w:val="0"/>
              <w:keepLines w:val="0"/>
              <w:suppressLineNumbers w:val="0"/>
              <w:bidi w:val="0"/>
              <w:spacing w:before="0" w:beforeAutospacing="0" w:after="0" w:afterAutospacing="0"/>
              <w:ind w:left="0" w:right="0"/>
              <w:rPr>
                <w:rFonts w:hint="eastAsia"/>
              </w:rPr>
            </w:pPr>
            <w:r>
              <w:rPr>
                <w:rFonts w:hint="eastAsia"/>
              </w:rPr>
              <w:t>Abar—声屏障引起的倍频带衰减，dB；</w:t>
            </w:r>
          </w:p>
          <w:p w14:paraId="7C03712A">
            <w:pPr>
              <w:keepNext w:val="0"/>
              <w:keepLines w:val="0"/>
              <w:suppressLineNumbers w:val="0"/>
              <w:bidi w:val="0"/>
              <w:spacing w:before="0" w:beforeAutospacing="0" w:after="0" w:afterAutospacing="0"/>
              <w:ind w:left="0" w:right="0"/>
              <w:rPr>
                <w:rFonts w:hint="eastAsia"/>
              </w:rPr>
            </w:pPr>
            <w:r>
              <w:rPr>
                <w:rFonts w:hint="eastAsia"/>
              </w:rPr>
              <w:t>Amisc—其他多方面效应引起的倍频带衰减，dB。</w:t>
            </w:r>
          </w:p>
          <w:p w14:paraId="2AD16C6C">
            <w:pPr>
              <w:keepNext w:val="0"/>
              <w:keepLines w:val="0"/>
              <w:suppressLineNumbers w:val="0"/>
              <w:bidi w:val="0"/>
              <w:spacing w:before="0" w:beforeAutospacing="0" w:after="0" w:afterAutospacing="0"/>
              <w:ind w:left="0" w:right="0"/>
              <w:rPr>
                <w:rFonts w:hint="eastAsia"/>
              </w:rPr>
            </w:pPr>
            <w:r>
              <w:rPr>
                <w:rFonts w:hint="eastAsia"/>
              </w:rPr>
              <w:t>如已知靠近声源处某点的倍频带声压级Lp（r0）时，相同方向预测点位置的倍频带声压级Lp（r）的计算公式为：</w:t>
            </w:r>
          </w:p>
          <w:p w14:paraId="6D1149AD">
            <w:pPr>
              <w:pStyle w:val="15"/>
              <w:keepNext w:val="0"/>
              <w:keepLines w:val="0"/>
              <w:suppressLineNumbers w:val="0"/>
              <w:bidi w:val="0"/>
              <w:spacing w:before="0" w:beforeAutospacing="0" w:after="0" w:afterAutospacing="0"/>
              <w:ind w:left="0" w:right="0"/>
              <w:jc w:val="center"/>
            </w:pPr>
            <w:r>
              <w:fldChar w:fldCharType="begin"/>
            </w:r>
            <w:r>
              <w:instrText xml:space="preserve"> INCLUDEPICTURE "C:\\Users\\Admin\\AppData\\Local\\Temp\\ksohtml12936\\wps3.png" \* MERGEFORMATINET </w:instrText>
            </w:r>
            <w:r>
              <w:fldChar w:fldCharType="separate"/>
            </w:r>
            <w:r>
              <w:fldChar w:fldCharType="begin"/>
            </w:r>
            <w:r>
              <w:instrText xml:space="preserve"> INCLUDEPICTURE  "C:\\Users\\Admin\\AppData\\Local\\Temp\\ksohtml12936\\wps3.png" \* MERGEFORMATINET </w:instrText>
            </w:r>
            <w:r>
              <w:fldChar w:fldCharType="separate"/>
            </w:r>
            <w:r>
              <w:fldChar w:fldCharType="begin"/>
            </w:r>
            <w:r>
              <w:instrText xml:space="preserve"> INCLUDEPICTURE  "C:\\Users\\Admin\\AppData\\Local\\Temp\\ksohtml12936\\wps3.png" \* MERGEFORMATINET </w:instrText>
            </w:r>
            <w:r>
              <w:fldChar w:fldCharType="separate"/>
            </w:r>
            <w:r>
              <w:fldChar w:fldCharType="begin"/>
            </w:r>
            <w:r>
              <w:instrText xml:space="preserve"> INCLUDEPICTURE  "C:\\Users\\Admin\\AppData\\Local\\Temp\\ksohtml12936\\wps3.png" \* MERGEFORMATINET </w:instrText>
            </w:r>
            <w:r>
              <w:fldChar w:fldCharType="separate"/>
            </w:r>
            <w:r>
              <w:fldChar w:fldCharType="begin"/>
            </w:r>
            <w:r>
              <w:instrText xml:space="preserve"> INCLUDEPICTURE  "C:\\Users\\Admin\\AppData\\Local\\Temp\\ksohtml12936\\wps3.png" \* MERGEFORMATINET </w:instrText>
            </w:r>
            <w:r>
              <w:fldChar w:fldCharType="separate"/>
            </w:r>
            <w:r>
              <w:fldChar w:fldCharType="begin"/>
            </w:r>
            <w:r>
              <w:instrText xml:space="preserve"> INCLUDEPICTURE  "C:\\Users\\Admin\\AppData\\Local\\Temp\\ksohtml12936\\wps3.png" \* MERGEFORMATINET </w:instrText>
            </w:r>
            <w:r>
              <w:fldChar w:fldCharType="separate"/>
            </w:r>
            <w:r>
              <w:fldChar w:fldCharType="begin"/>
            </w:r>
            <w:r>
              <w:instrText xml:space="preserve"> INCLUDEPICTURE  "C:\\Users\\Admin\\AppData\\Local\\Temp\\ksohtml12936\\wps3.png" \* MERGEFORMATINET </w:instrText>
            </w:r>
            <w:r>
              <w:fldChar w:fldCharType="separate"/>
            </w:r>
            <w:r>
              <w:fldChar w:fldCharType="begin"/>
            </w:r>
            <w:r>
              <w:instrText xml:space="preserve"> INCLUDEPICTURE  "C:\\Users\\Admin\\AppData\\Local\\Temp\\ksohtml12936\\wps3.png" \* MERGEFORMATINET </w:instrText>
            </w:r>
            <w:r>
              <w:fldChar w:fldCharType="separate"/>
            </w:r>
            <w:r>
              <w:drawing>
                <wp:inline distT="0" distB="0" distL="114300" distR="114300">
                  <wp:extent cx="1638300" cy="335280"/>
                  <wp:effectExtent l="0" t="0" r="0" b="7620"/>
                  <wp:docPr id="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pic:cNvPicPr>
                            <a:picLocks noChangeAspect="1"/>
                          </pic:cNvPicPr>
                        </pic:nvPicPr>
                        <pic:blipFill>
                          <a:blip r:embed="rId25" r:link="rId26"/>
                          <a:stretch>
                            <a:fillRect/>
                          </a:stretch>
                        </pic:blipFill>
                        <pic:spPr>
                          <a:xfrm>
                            <a:off x="0" y="0"/>
                            <a:ext cx="1638300" cy="335280"/>
                          </a:xfrm>
                          <a:prstGeom prst="rect">
                            <a:avLst/>
                          </a:prstGeom>
                          <a:noFill/>
                          <a:ln>
                            <a:noFill/>
                          </a:ln>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p>
          <w:p w14:paraId="1DF72025">
            <w:pPr>
              <w:keepNext w:val="0"/>
              <w:keepLines w:val="0"/>
              <w:suppressLineNumbers w:val="0"/>
              <w:bidi w:val="0"/>
              <w:spacing w:before="0" w:beforeAutospacing="0" w:after="0" w:afterAutospacing="0"/>
              <w:ind w:left="0" w:right="0"/>
              <w:rPr>
                <w:rFonts w:hint="eastAsia"/>
              </w:rPr>
            </w:pPr>
            <w:r>
              <w:rPr>
                <w:rFonts w:hint="eastAsia"/>
              </w:rPr>
              <w:t>预测点的A声级LA</w:t>
            </w:r>
            <w:r>
              <w:rPr>
                <w:rFonts w:hint="eastAsia"/>
                <w:lang w:eastAsia="zh-CN"/>
              </w:rPr>
              <w:t>（</w:t>
            </w:r>
            <w:r>
              <w:rPr>
                <w:rFonts w:hint="eastAsia"/>
              </w:rPr>
              <w:t>r</w:t>
            </w:r>
            <w:r>
              <w:rPr>
                <w:rFonts w:hint="eastAsia"/>
                <w:lang w:eastAsia="zh-CN"/>
              </w:rPr>
              <w:t>）</w:t>
            </w:r>
            <w:r>
              <w:rPr>
                <w:rFonts w:hint="eastAsia"/>
              </w:rPr>
              <w:t>，可利用8个倍频带的声压级按下式计算：</w:t>
            </w:r>
          </w:p>
          <w:p w14:paraId="2AF55421">
            <w:pPr>
              <w:pStyle w:val="15"/>
              <w:keepNext w:val="0"/>
              <w:keepLines w:val="0"/>
              <w:suppressLineNumbers w:val="0"/>
              <w:bidi w:val="0"/>
              <w:spacing w:before="0" w:beforeAutospacing="0" w:after="0" w:afterAutospacing="0"/>
              <w:ind w:left="0" w:right="0"/>
              <w:jc w:val="center"/>
            </w:pPr>
            <w:r>
              <w:fldChar w:fldCharType="begin"/>
            </w:r>
            <w:r>
              <w:instrText xml:space="preserve"> INCLUDEPICTURE "C:\\Users\\Admin\\AppData\\Local\\Temp\\ksohtml12936\\wps4.png" \* MERGEFORMATINET </w:instrText>
            </w:r>
            <w:r>
              <w:fldChar w:fldCharType="separate"/>
            </w:r>
            <w:r>
              <w:fldChar w:fldCharType="begin"/>
            </w:r>
            <w:r>
              <w:instrText xml:space="preserve"> INCLUDEPICTURE  "C:\\Users\\Admin\\AppData\\Local\\Temp\\ksohtml12936\\wps4.png" \* MERGEFORMATINET </w:instrText>
            </w:r>
            <w:r>
              <w:fldChar w:fldCharType="separate"/>
            </w:r>
            <w:r>
              <w:fldChar w:fldCharType="begin"/>
            </w:r>
            <w:r>
              <w:instrText xml:space="preserve"> INCLUDEPICTURE  "C:\\Users\\Admin\\AppData\\Local\\Temp\\ksohtml12936\\wps4.png" \* MERGEFORMATINET </w:instrText>
            </w:r>
            <w:r>
              <w:fldChar w:fldCharType="separate"/>
            </w:r>
            <w:r>
              <w:fldChar w:fldCharType="begin"/>
            </w:r>
            <w:r>
              <w:instrText xml:space="preserve"> INCLUDEPICTURE  "C:\\Users\\Admin\\AppData\\Local\\Temp\\ksohtml12936\\wps4.png" \* MERGEFORMATINET </w:instrText>
            </w:r>
            <w:r>
              <w:fldChar w:fldCharType="separate"/>
            </w:r>
            <w:r>
              <w:fldChar w:fldCharType="begin"/>
            </w:r>
            <w:r>
              <w:instrText xml:space="preserve"> INCLUDEPICTURE  "C:\\Users\\Admin\\AppData\\Local\\Temp\\ksohtml12936\\wps4.png" \* MERGEFORMATINET </w:instrText>
            </w:r>
            <w:r>
              <w:fldChar w:fldCharType="separate"/>
            </w:r>
            <w:r>
              <w:fldChar w:fldCharType="begin"/>
            </w:r>
            <w:r>
              <w:instrText xml:space="preserve"> INCLUDEPICTURE  "C:\\Users\\Admin\\AppData\\Local\\Temp\\ksohtml12936\\wps4.png" \* MERGEFORMATINET </w:instrText>
            </w:r>
            <w:r>
              <w:fldChar w:fldCharType="separate"/>
            </w:r>
            <w:r>
              <w:fldChar w:fldCharType="begin"/>
            </w:r>
            <w:r>
              <w:instrText xml:space="preserve"> INCLUDEPICTURE  "C:\\Users\\Admin\\AppData\\Local\\Temp\\ksohtml12936\\wps4.png" \* MERGEFORMATINET </w:instrText>
            </w:r>
            <w:r>
              <w:fldChar w:fldCharType="separate"/>
            </w:r>
            <w:r>
              <w:fldChar w:fldCharType="begin"/>
            </w:r>
            <w:r>
              <w:instrText xml:space="preserve"> INCLUDEPICTURE  "C:\\Users\\Admin\\AppData\\Local\\Temp\\ksohtml12936\\wps4.png" \* MERGEFORMATINET </w:instrText>
            </w:r>
            <w:r>
              <w:fldChar w:fldCharType="separate"/>
            </w:r>
            <w:r>
              <w:drawing>
                <wp:inline distT="0" distB="0" distL="114300" distR="114300">
                  <wp:extent cx="2712720" cy="571500"/>
                  <wp:effectExtent l="0" t="0" r="11430" b="0"/>
                  <wp:docPr id="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
                          <pic:cNvPicPr>
                            <a:picLocks noChangeAspect="1"/>
                          </pic:cNvPicPr>
                        </pic:nvPicPr>
                        <pic:blipFill>
                          <a:blip r:embed="rId27" r:link="rId28"/>
                          <a:stretch>
                            <a:fillRect/>
                          </a:stretch>
                        </pic:blipFill>
                        <pic:spPr>
                          <a:xfrm>
                            <a:off x="0" y="0"/>
                            <a:ext cx="2712720" cy="571500"/>
                          </a:xfrm>
                          <a:prstGeom prst="rect">
                            <a:avLst/>
                          </a:prstGeom>
                          <a:noFill/>
                          <a:ln>
                            <a:noFill/>
                          </a:ln>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p>
          <w:p w14:paraId="245336E9">
            <w:pPr>
              <w:keepNext w:val="0"/>
              <w:keepLines w:val="0"/>
              <w:suppressLineNumbers w:val="0"/>
              <w:bidi w:val="0"/>
              <w:spacing w:before="0" w:beforeAutospacing="0" w:after="0" w:afterAutospacing="0"/>
              <w:ind w:left="0" w:right="0"/>
              <w:rPr>
                <w:rFonts w:hint="eastAsia"/>
              </w:rPr>
            </w:pPr>
            <w:r>
              <w:rPr>
                <w:rFonts w:hint="eastAsia"/>
              </w:rPr>
              <w:t>式中：</w:t>
            </w:r>
          </w:p>
          <w:p w14:paraId="7344C0FD">
            <w:pPr>
              <w:keepNext w:val="0"/>
              <w:keepLines w:val="0"/>
              <w:suppressLineNumbers w:val="0"/>
              <w:bidi w:val="0"/>
              <w:spacing w:before="0" w:beforeAutospacing="0" w:after="0" w:afterAutospacing="0"/>
              <w:ind w:left="0" w:right="0"/>
              <w:rPr>
                <w:rFonts w:hint="eastAsia"/>
              </w:rPr>
            </w:pPr>
            <w:r>
              <w:rPr>
                <w:rFonts w:hint="eastAsia"/>
              </w:rPr>
              <w:t>Lpi</w:t>
            </w:r>
            <w:r>
              <w:rPr>
                <w:rFonts w:hint="eastAsia"/>
                <w:lang w:eastAsia="zh-CN"/>
              </w:rPr>
              <w:t>（</w:t>
            </w:r>
            <w:r>
              <w:rPr>
                <w:rFonts w:hint="eastAsia"/>
              </w:rPr>
              <w:t>r</w:t>
            </w:r>
            <w:r>
              <w:rPr>
                <w:rFonts w:hint="eastAsia"/>
                <w:lang w:eastAsia="zh-CN"/>
              </w:rPr>
              <w:t>）</w:t>
            </w:r>
            <w:r>
              <w:rPr>
                <w:rFonts w:hint="eastAsia"/>
              </w:rPr>
              <w:t>----预测点（r）处，第i倍频带声压级，dB；</w:t>
            </w:r>
          </w:p>
          <w:p w14:paraId="08A7C674">
            <w:pPr>
              <w:keepNext w:val="0"/>
              <w:keepLines w:val="0"/>
              <w:suppressLineNumbers w:val="0"/>
              <w:bidi w:val="0"/>
              <w:spacing w:before="0" w:beforeAutospacing="0" w:after="0" w:afterAutospacing="0"/>
              <w:ind w:left="0" w:right="0"/>
              <w:rPr>
                <w:rFonts w:hint="eastAsia"/>
              </w:rPr>
            </w:pPr>
            <w:r>
              <w:rPr>
                <w:rFonts w:hint="eastAsia"/>
              </w:rPr>
              <w:t>△Li—i倍频带A计算网络修正值，dB（见导则附录B）。</w:t>
            </w:r>
          </w:p>
          <w:p w14:paraId="01C324CB">
            <w:pPr>
              <w:keepNext w:val="0"/>
              <w:keepLines w:val="0"/>
              <w:suppressLineNumbers w:val="0"/>
              <w:bidi w:val="0"/>
              <w:spacing w:before="0" w:beforeAutospacing="0" w:after="0" w:afterAutospacing="0"/>
              <w:ind w:left="0" w:right="0"/>
              <w:rPr>
                <w:rFonts w:hint="eastAsia"/>
              </w:rPr>
            </w:pPr>
            <w:r>
              <w:rPr>
                <w:rFonts w:hint="eastAsia"/>
              </w:rPr>
              <w:t>（2）室内声源等效室外声源声功率级计算方法</w:t>
            </w:r>
          </w:p>
          <w:p w14:paraId="190DA68F">
            <w:pPr>
              <w:keepNext w:val="0"/>
              <w:keepLines w:val="0"/>
              <w:suppressLineNumbers w:val="0"/>
              <w:bidi w:val="0"/>
              <w:spacing w:before="0" w:beforeAutospacing="0" w:after="0" w:afterAutospacing="0"/>
              <w:ind w:left="0" w:right="0"/>
              <w:rPr>
                <w:rFonts w:hint="eastAsia"/>
              </w:rPr>
            </w:pPr>
            <w:r>
              <w:rPr>
                <w:rFonts w:hint="eastAsia"/>
              </w:rPr>
              <w:t>如下图所示，声源位于室内，室内声源可采用等效室外声源声功率级法进行计算。设靠近开口处（或窗户）室内、室外某倍频带的声压级分别为Lp1和Lp2。若声源所在室内声场为近似扩散声场，则室内的倍频带声压级可按下式近似求出：</w:t>
            </w:r>
          </w:p>
          <w:p w14:paraId="1E797CE0">
            <w:pPr>
              <w:pStyle w:val="15"/>
              <w:keepNext w:val="0"/>
              <w:keepLines w:val="0"/>
              <w:suppressLineNumbers w:val="0"/>
              <w:bidi w:val="0"/>
              <w:spacing w:before="0" w:beforeAutospacing="0" w:after="0" w:afterAutospacing="0"/>
              <w:ind w:left="0" w:right="0"/>
              <w:jc w:val="center"/>
            </w:pPr>
            <w:r>
              <w:fldChar w:fldCharType="begin"/>
            </w:r>
            <w:r>
              <w:instrText xml:space="preserve"> INCLUDEPICTURE "C:\\Users\\Admin\\AppData\\Local\\Temp\\ksohtml12936\\wps5.png" \* MERGEFORMATINET </w:instrText>
            </w:r>
            <w:r>
              <w:fldChar w:fldCharType="separate"/>
            </w:r>
            <w:r>
              <w:fldChar w:fldCharType="begin"/>
            </w:r>
            <w:r>
              <w:instrText xml:space="preserve"> INCLUDEPICTURE  "C:\\Users\\Admin\\AppData\\Local\\Temp\\ksohtml12936\\wps5.png" \* MERGEFORMATINET </w:instrText>
            </w:r>
            <w:r>
              <w:fldChar w:fldCharType="separate"/>
            </w:r>
            <w:r>
              <w:fldChar w:fldCharType="begin"/>
            </w:r>
            <w:r>
              <w:instrText xml:space="preserve"> INCLUDEPICTURE  "C:\\Users\\Admin\\AppData\\Local\\Temp\\ksohtml12936\\wps5.png" \* MERGEFORMATINET </w:instrText>
            </w:r>
            <w:r>
              <w:fldChar w:fldCharType="separate"/>
            </w:r>
            <w:r>
              <w:fldChar w:fldCharType="begin"/>
            </w:r>
            <w:r>
              <w:instrText xml:space="preserve"> INCLUDEPICTURE  "C:\\Users\\Admin\\AppData\\Local\\Temp\\ksohtml12936\\wps5.png" \* MERGEFORMATINET </w:instrText>
            </w:r>
            <w:r>
              <w:fldChar w:fldCharType="separate"/>
            </w:r>
            <w:r>
              <w:fldChar w:fldCharType="begin"/>
            </w:r>
            <w:r>
              <w:instrText xml:space="preserve"> INCLUDEPICTURE  "C:\\Users\\Admin\\AppData\\Local\\Temp\\ksohtml12936\\wps5.png" \* MERGEFORMATINET </w:instrText>
            </w:r>
            <w:r>
              <w:fldChar w:fldCharType="separate"/>
            </w:r>
            <w:r>
              <w:fldChar w:fldCharType="begin"/>
            </w:r>
            <w:r>
              <w:instrText xml:space="preserve"> INCLUDEPICTURE  "C:\\Users\\Admin\\AppData\\Local\\Temp\\ksohtml12936\\wps5.png" \* MERGEFORMATINET </w:instrText>
            </w:r>
            <w:r>
              <w:fldChar w:fldCharType="separate"/>
            </w:r>
            <w:r>
              <w:fldChar w:fldCharType="begin"/>
            </w:r>
            <w:r>
              <w:instrText xml:space="preserve"> INCLUDEPICTURE  "C:\\Users\\Admin\\AppData\\Local\\Temp\\ksohtml12936\\wps5.png" \* MERGEFORMATINET </w:instrText>
            </w:r>
            <w:r>
              <w:fldChar w:fldCharType="separate"/>
            </w:r>
            <w:r>
              <w:fldChar w:fldCharType="begin"/>
            </w:r>
            <w:r>
              <w:instrText xml:space="preserve"> INCLUDEPICTURE  "C:\\Users\\Admin\\AppData\\Local\\Temp\\ksohtml12936\\wps5.png" \* MERGEFORMATINET </w:instrText>
            </w:r>
            <w:r>
              <w:fldChar w:fldCharType="separate"/>
            </w:r>
            <w:r>
              <w:drawing>
                <wp:inline distT="0" distB="0" distL="114300" distR="114300">
                  <wp:extent cx="1752600" cy="381000"/>
                  <wp:effectExtent l="0" t="0" r="0" b="0"/>
                  <wp:docPr id="9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7"/>
                          <pic:cNvPicPr>
                            <a:picLocks noChangeAspect="1"/>
                          </pic:cNvPicPr>
                        </pic:nvPicPr>
                        <pic:blipFill>
                          <a:blip r:embed="rId29" r:link="rId30"/>
                          <a:stretch>
                            <a:fillRect/>
                          </a:stretch>
                        </pic:blipFill>
                        <pic:spPr>
                          <a:xfrm>
                            <a:off x="0" y="0"/>
                            <a:ext cx="1752600" cy="381000"/>
                          </a:xfrm>
                          <a:prstGeom prst="rect">
                            <a:avLst/>
                          </a:prstGeom>
                          <a:noFill/>
                          <a:ln>
                            <a:noFill/>
                          </a:ln>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p>
          <w:p w14:paraId="70F82DCB">
            <w:pPr>
              <w:keepNext w:val="0"/>
              <w:keepLines w:val="0"/>
              <w:suppressLineNumbers w:val="0"/>
              <w:bidi w:val="0"/>
              <w:spacing w:before="0" w:beforeAutospacing="0" w:after="0" w:afterAutospacing="0"/>
              <w:ind w:left="0" w:right="0"/>
              <w:rPr>
                <w:rFonts w:hint="eastAsia"/>
              </w:rPr>
            </w:pPr>
            <w:r>
              <w:rPr>
                <w:rFonts w:hint="eastAsia"/>
              </w:rPr>
              <w:t>式中：TL-隔墙（或窗户）倍频带的隔声量，dB。</w:t>
            </w:r>
          </w:p>
          <w:p w14:paraId="0DA71526">
            <w:pPr>
              <w:pStyle w:val="15"/>
              <w:keepNext w:val="0"/>
              <w:keepLines w:val="0"/>
              <w:suppressLineNumbers w:val="0"/>
              <w:bidi w:val="0"/>
              <w:spacing w:before="0" w:beforeAutospacing="0" w:after="0" w:afterAutospacing="0"/>
              <w:ind w:left="0" w:right="0"/>
              <w:jc w:val="center"/>
            </w:pPr>
            <w:r>
              <w:fldChar w:fldCharType="begin"/>
            </w:r>
            <w:r>
              <w:instrText xml:space="preserve"> INCLUDEPICTURE "C:\\Users\\Admin\\AppData\\Local\\Temp\\ksohtml12936\\wps6.png" \* MERGEFORMATINET </w:instrText>
            </w:r>
            <w:r>
              <w:fldChar w:fldCharType="separate"/>
            </w:r>
            <w:r>
              <w:fldChar w:fldCharType="begin"/>
            </w:r>
            <w:r>
              <w:instrText xml:space="preserve"> INCLUDEPICTURE  "C:\\Users\\Admin\\AppData\\Local\\Temp\\ksohtml12936\\wps6.png" \* MERGEFORMATINET </w:instrText>
            </w:r>
            <w:r>
              <w:fldChar w:fldCharType="separate"/>
            </w:r>
            <w:r>
              <w:fldChar w:fldCharType="begin"/>
            </w:r>
            <w:r>
              <w:instrText xml:space="preserve"> INCLUDEPICTURE  "C:\\Users\\Admin\\AppData\\Local\\Temp\\ksohtml12936\\wps6.png" \* MERGEFORMATINET </w:instrText>
            </w:r>
            <w:r>
              <w:fldChar w:fldCharType="separate"/>
            </w:r>
            <w:r>
              <w:fldChar w:fldCharType="begin"/>
            </w:r>
            <w:r>
              <w:instrText xml:space="preserve"> INCLUDEPICTURE  "C:\\Users\\Admin\\AppData\\Local\\Temp\\ksohtml12936\\wps6.png" \* MERGEFORMATINET </w:instrText>
            </w:r>
            <w:r>
              <w:fldChar w:fldCharType="separate"/>
            </w:r>
            <w:r>
              <w:fldChar w:fldCharType="begin"/>
            </w:r>
            <w:r>
              <w:instrText xml:space="preserve"> INCLUDEPICTURE  "C:\\Users\\Admin\\AppData\\Local\\Temp\\ksohtml12936\\wps6.png" \* MERGEFORMATINET </w:instrText>
            </w:r>
            <w:r>
              <w:fldChar w:fldCharType="separate"/>
            </w:r>
            <w:r>
              <w:fldChar w:fldCharType="begin"/>
            </w:r>
            <w:r>
              <w:instrText xml:space="preserve"> INCLUDEPICTURE  "C:\\Users\\Admin\\AppData\\Local\\Temp\\ksohtml12936\\wps6.png" \* MERGEFORMATINET </w:instrText>
            </w:r>
            <w:r>
              <w:fldChar w:fldCharType="separate"/>
            </w:r>
            <w:r>
              <w:fldChar w:fldCharType="begin"/>
            </w:r>
            <w:r>
              <w:instrText xml:space="preserve"> INCLUDEPICTURE  "C:\\Users\\Admin\\AppData\\Local\\Temp\\ksohtml12936\\wps6.png" \* MERGEFORMATINET </w:instrText>
            </w:r>
            <w:r>
              <w:fldChar w:fldCharType="separate"/>
            </w:r>
            <w:r>
              <w:fldChar w:fldCharType="begin"/>
            </w:r>
            <w:r>
              <w:instrText xml:space="preserve"> INCLUDEPICTURE  "C:\\Users\\Admin\\AppData\\Local\\Temp\\ksohtml12936\\wps6.png" \* MERGEFORMATINET </w:instrText>
            </w:r>
            <w:r>
              <w:fldChar w:fldCharType="separate"/>
            </w:r>
            <w:r>
              <w:drawing>
                <wp:inline distT="0" distB="0" distL="114300" distR="114300">
                  <wp:extent cx="3025140" cy="1661160"/>
                  <wp:effectExtent l="0" t="0" r="3810" b="15240"/>
                  <wp:docPr id="9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8"/>
                          <pic:cNvPicPr>
                            <a:picLocks noChangeAspect="1"/>
                          </pic:cNvPicPr>
                        </pic:nvPicPr>
                        <pic:blipFill>
                          <a:blip r:embed="rId31" r:link="rId32"/>
                          <a:stretch>
                            <a:fillRect/>
                          </a:stretch>
                        </pic:blipFill>
                        <pic:spPr>
                          <a:xfrm>
                            <a:off x="0" y="0"/>
                            <a:ext cx="3025140" cy="1661160"/>
                          </a:xfrm>
                          <a:prstGeom prst="rect">
                            <a:avLst/>
                          </a:prstGeom>
                          <a:noFill/>
                          <a:ln>
                            <a:noFill/>
                          </a:ln>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p>
          <w:p w14:paraId="262DDD09">
            <w:pPr>
              <w:keepNext w:val="0"/>
              <w:keepLines w:val="0"/>
              <w:suppressLineNumbers w:val="0"/>
              <w:bidi w:val="0"/>
              <w:spacing w:before="0" w:beforeAutospacing="0" w:after="0" w:afterAutospacing="0"/>
              <w:ind w:left="0" w:right="0"/>
              <w:rPr>
                <w:rFonts w:hint="eastAsia"/>
              </w:rPr>
            </w:pPr>
            <w:r>
              <w:rPr>
                <w:rFonts w:hint="eastAsia"/>
              </w:rPr>
              <w:t>按下式计算某一室内声源靠近围护结构处产生的倍频带声压级：</w:t>
            </w:r>
          </w:p>
          <w:p w14:paraId="6BD55C83">
            <w:pPr>
              <w:pStyle w:val="15"/>
              <w:keepNext w:val="0"/>
              <w:keepLines w:val="0"/>
              <w:suppressLineNumbers w:val="0"/>
              <w:bidi w:val="0"/>
              <w:spacing w:before="0" w:beforeAutospacing="0" w:after="0" w:afterAutospacing="0"/>
              <w:ind w:left="0" w:right="0"/>
              <w:jc w:val="center"/>
            </w:pPr>
            <w:r>
              <w:fldChar w:fldCharType="begin"/>
            </w:r>
            <w:r>
              <w:instrText xml:space="preserve"> INCLUDEPICTURE "C:\\Users\\Admin\\AppData\\Local\\Temp\\ksohtml12936\\wps7.png" \* MERGEFORMATINET </w:instrText>
            </w:r>
            <w:r>
              <w:fldChar w:fldCharType="separate"/>
            </w:r>
            <w:r>
              <w:fldChar w:fldCharType="begin"/>
            </w:r>
            <w:r>
              <w:instrText xml:space="preserve"> INCLUDEPICTURE  "C:\\Users\\Admin\\AppData\\Local\\Temp\\ksohtml12936\\wps7.png" \* MERGEFORMATINET </w:instrText>
            </w:r>
            <w:r>
              <w:fldChar w:fldCharType="separate"/>
            </w:r>
            <w:r>
              <w:fldChar w:fldCharType="begin"/>
            </w:r>
            <w:r>
              <w:instrText xml:space="preserve"> INCLUDEPICTURE  "C:\\Users\\Admin\\AppData\\Local\\Temp\\ksohtml12936\\wps7.png" \* MERGEFORMATINET </w:instrText>
            </w:r>
            <w:r>
              <w:fldChar w:fldCharType="separate"/>
            </w:r>
            <w:r>
              <w:fldChar w:fldCharType="begin"/>
            </w:r>
            <w:r>
              <w:instrText xml:space="preserve"> INCLUDEPICTURE  "C:\\Users\\Admin\\AppData\\Local\\Temp\\ksohtml12936\\wps7.png" \* MERGEFORMATINET </w:instrText>
            </w:r>
            <w:r>
              <w:fldChar w:fldCharType="separate"/>
            </w:r>
            <w:r>
              <w:fldChar w:fldCharType="begin"/>
            </w:r>
            <w:r>
              <w:instrText xml:space="preserve"> INCLUDEPICTURE  "C:\\Users\\Admin\\AppData\\Local\\Temp\\ksohtml12936\\wps7.png" \* MERGEFORMATINET </w:instrText>
            </w:r>
            <w:r>
              <w:fldChar w:fldCharType="separate"/>
            </w:r>
            <w:r>
              <w:fldChar w:fldCharType="begin"/>
            </w:r>
            <w:r>
              <w:instrText xml:space="preserve"> INCLUDEPICTURE  "C:\\Users\\Admin\\AppData\\Local\\Temp\\ksohtml12936\\wps7.png" \* MERGEFORMATINET </w:instrText>
            </w:r>
            <w:r>
              <w:fldChar w:fldCharType="separate"/>
            </w:r>
            <w:r>
              <w:fldChar w:fldCharType="begin"/>
            </w:r>
            <w:r>
              <w:instrText xml:space="preserve"> INCLUDEPICTURE  "C:\\Users\\Admin\\AppData\\Local\\Temp\\ksohtml12936\\wps7.png" \* MERGEFORMATINET </w:instrText>
            </w:r>
            <w:r>
              <w:fldChar w:fldCharType="separate"/>
            </w:r>
            <w:r>
              <w:fldChar w:fldCharType="begin"/>
            </w:r>
            <w:r>
              <w:instrText xml:space="preserve"> INCLUDEPICTURE  "C:\\Users\\Admin\\AppData\\Local\\Temp\\ksohtml12936\\wps7.png" \* MERGEFORMATINET </w:instrText>
            </w:r>
            <w:r>
              <w:fldChar w:fldCharType="separate"/>
            </w:r>
            <w:r>
              <w:drawing>
                <wp:inline distT="0" distB="0" distL="114300" distR="114300">
                  <wp:extent cx="2308860" cy="571500"/>
                  <wp:effectExtent l="0" t="0" r="15240" b="0"/>
                  <wp:docPr id="9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
                          <pic:cNvPicPr>
                            <a:picLocks noChangeAspect="1"/>
                          </pic:cNvPicPr>
                        </pic:nvPicPr>
                        <pic:blipFill>
                          <a:blip r:embed="rId33" r:link="rId34"/>
                          <a:stretch>
                            <a:fillRect/>
                          </a:stretch>
                        </pic:blipFill>
                        <pic:spPr>
                          <a:xfrm>
                            <a:off x="0" y="0"/>
                            <a:ext cx="2308860" cy="571500"/>
                          </a:xfrm>
                          <a:prstGeom prst="rect">
                            <a:avLst/>
                          </a:prstGeom>
                          <a:noFill/>
                          <a:ln>
                            <a:noFill/>
                          </a:ln>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p>
          <w:p w14:paraId="2AD45A0C">
            <w:pPr>
              <w:keepNext w:val="0"/>
              <w:keepLines w:val="0"/>
              <w:suppressLineNumbers w:val="0"/>
              <w:bidi w:val="0"/>
              <w:spacing w:before="0" w:beforeAutospacing="0" w:after="0" w:afterAutospacing="0"/>
              <w:ind w:left="0" w:right="0"/>
              <w:rPr>
                <w:rFonts w:hint="eastAsia"/>
              </w:rPr>
            </w:pPr>
            <w:r>
              <w:rPr>
                <w:rFonts w:hint="eastAsia"/>
              </w:rPr>
              <w:t>式中：</w:t>
            </w:r>
          </w:p>
          <w:p w14:paraId="66967597">
            <w:pPr>
              <w:keepNext w:val="0"/>
              <w:keepLines w:val="0"/>
              <w:suppressLineNumbers w:val="0"/>
              <w:bidi w:val="0"/>
              <w:spacing w:before="0" w:beforeAutospacing="0" w:after="0" w:afterAutospacing="0"/>
              <w:ind w:left="0" w:right="0"/>
              <w:rPr>
                <w:rFonts w:hint="eastAsia"/>
              </w:rPr>
            </w:pPr>
            <w:r>
              <w:rPr>
                <w:rFonts w:hint="eastAsia"/>
              </w:rPr>
              <w:t>Q----指向性因素；通常对无指向性声源，当声源放在房间中心时，Q=1；当放在一面墙的中心时，Q=2；当放在两面墙夹角处时；Q=4；当放在三面墙夹角处时，Q=8。</w:t>
            </w:r>
          </w:p>
          <w:p w14:paraId="461D36D3">
            <w:pPr>
              <w:keepNext w:val="0"/>
              <w:keepLines w:val="0"/>
              <w:suppressLineNumbers w:val="0"/>
              <w:bidi w:val="0"/>
              <w:spacing w:before="0" w:beforeAutospacing="0" w:after="0" w:afterAutospacing="0"/>
              <w:ind w:left="0" w:right="0"/>
              <w:rPr>
                <w:rFonts w:hint="eastAsia"/>
              </w:rPr>
            </w:pPr>
            <w:r>
              <w:rPr>
                <w:rFonts w:hint="eastAsia"/>
              </w:rPr>
              <w:t>R----房间系数；R=Sα/</w:t>
            </w:r>
            <w:r>
              <w:rPr>
                <w:rFonts w:hint="eastAsia"/>
                <w:lang w:eastAsia="zh-CN"/>
              </w:rPr>
              <w:t>（</w:t>
            </w:r>
            <w:r>
              <w:rPr>
                <w:rFonts w:hint="eastAsia"/>
              </w:rPr>
              <w:t>1-α</w:t>
            </w:r>
            <w:r>
              <w:rPr>
                <w:rFonts w:hint="eastAsia"/>
                <w:lang w:eastAsia="zh-CN"/>
              </w:rPr>
              <w:t>）</w:t>
            </w:r>
            <w:r>
              <w:rPr>
                <w:rFonts w:hint="eastAsia"/>
              </w:rPr>
              <w:t>，S为房间内表面面积，m2；α为平均吸声系数。</w:t>
            </w:r>
          </w:p>
          <w:p w14:paraId="682E5244">
            <w:pPr>
              <w:keepNext w:val="0"/>
              <w:keepLines w:val="0"/>
              <w:suppressLineNumbers w:val="0"/>
              <w:bidi w:val="0"/>
              <w:spacing w:before="0" w:beforeAutospacing="0" w:after="0" w:afterAutospacing="0"/>
              <w:ind w:left="0" w:right="0"/>
              <w:rPr>
                <w:rFonts w:hint="eastAsia"/>
              </w:rPr>
            </w:pPr>
            <w:r>
              <w:rPr>
                <w:rFonts w:hint="eastAsia"/>
              </w:rPr>
              <w:t>r-----声源到靠近围护结构某点处的距离，m。</w:t>
            </w:r>
          </w:p>
          <w:p w14:paraId="2F3C6471">
            <w:pPr>
              <w:keepNext w:val="0"/>
              <w:keepLines w:val="0"/>
              <w:suppressLineNumbers w:val="0"/>
              <w:bidi w:val="0"/>
              <w:spacing w:before="0" w:beforeAutospacing="0" w:after="0" w:afterAutospacing="0"/>
              <w:ind w:left="0" w:right="0"/>
              <w:rPr>
                <w:rFonts w:hint="eastAsia"/>
              </w:rPr>
            </w:pPr>
            <w:r>
              <w:rPr>
                <w:rFonts w:hint="eastAsia"/>
              </w:rPr>
              <w:t>②计算出所有室内声源在靠近围护结构处产生的i倍频带叠加声压级：</w:t>
            </w:r>
          </w:p>
          <w:p w14:paraId="027B0BB3">
            <w:pPr>
              <w:pStyle w:val="15"/>
              <w:keepNext w:val="0"/>
              <w:keepLines w:val="0"/>
              <w:suppressLineNumbers w:val="0"/>
              <w:bidi w:val="0"/>
              <w:spacing w:before="0" w:beforeAutospacing="0" w:after="0" w:afterAutospacing="0"/>
              <w:ind w:left="0" w:right="0"/>
              <w:jc w:val="center"/>
            </w:pPr>
            <w:r>
              <w:fldChar w:fldCharType="begin"/>
            </w:r>
            <w:r>
              <w:instrText xml:space="preserve"> INCLUDEPICTURE "C:\\Users\\Admin\\AppData\\Local\\Temp\\ksohtml12936\\wps8.png" \* MERGEFORMATINET </w:instrText>
            </w:r>
            <w:r>
              <w:fldChar w:fldCharType="separate"/>
            </w:r>
            <w:r>
              <w:fldChar w:fldCharType="begin"/>
            </w:r>
            <w:r>
              <w:instrText xml:space="preserve"> INCLUDEPICTURE  "C:\\Users\\Admin\\AppData\\Local\\Temp\\ksohtml12936\\wps8.png" \* MERGEFORMATINET </w:instrText>
            </w:r>
            <w:r>
              <w:fldChar w:fldCharType="separate"/>
            </w:r>
            <w:r>
              <w:fldChar w:fldCharType="begin"/>
            </w:r>
            <w:r>
              <w:instrText xml:space="preserve"> INCLUDEPICTURE  "C:\\Users\\Admin\\AppData\\Local\\Temp\\ksohtml12936\\wps8.png" \* MERGEFORMATINET </w:instrText>
            </w:r>
            <w:r>
              <w:fldChar w:fldCharType="separate"/>
            </w:r>
            <w:r>
              <w:fldChar w:fldCharType="begin"/>
            </w:r>
            <w:r>
              <w:instrText xml:space="preserve"> INCLUDEPICTURE  "C:\\Users\\Admin\\AppData\\Local\\Temp\\ksohtml12936\\wps8.png" \* MERGEFORMATINET </w:instrText>
            </w:r>
            <w:r>
              <w:fldChar w:fldCharType="separate"/>
            </w:r>
            <w:r>
              <w:fldChar w:fldCharType="begin"/>
            </w:r>
            <w:r>
              <w:instrText xml:space="preserve"> INCLUDEPICTURE  "C:\\Users\\Admin\\AppData\\Local\\Temp\\ksohtml12936\\wps8.png" \* MERGEFORMATINET </w:instrText>
            </w:r>
            <w:r>
              <w:fldChar w:fldCharType="separate"/>
            </w:r>
            <w:r>
              <w:fldChar w:fldCharType="begin"/>
            </w:r>
            <w:r>
              <w:instrText xml:space="preserve"> INCLUDEPICTURE  "C:\\Users\\Admin\\AppData\\Local\\Temp\\ksohtml12936\\wps8.png" \* MERGEFORMATINET </w:instrText>
            </w:r>
            <w:r>
              <w:fldChar w:fldCharType="separate"/>
            </w:r>
            <w:r>
              <w:fldChar w:fldCharType="begin"/>
            </w:r>
            <w:r>
              <w:instrText xml:space="preserve"> INCLUDEPICTURE  "C:\\Users\\Admin\\AppData\\Local\\Temp\\ksohtml12936\\wps8.png" \* MERGEFORMATINET </w:instrText>
            </w:r>
            <w:r>
              <w:fldChar w:fldCharType="separate"/>
            </w:r>
            <w:r>
              <w:fldChar w:fldCharType="begin"/>
            </w:r>
            <w:r>
              <w:instrText xml:space="preserve"> INCLUDEPICTURE  "C:\\Users\\Admin\\AppData\\Local\\Temp\\ksohtml12936\\wps8.png" \* MERGEFORMATINET </w:instrText>
            </w:r>
            <w:r>
              <w:fldChar w:fldCharType="separate"/>
            </w:r>
            <w:r>
              <w:drawing>
                <wp:inline distT="0" distB="0" distL="114300" distR="114300">
                  <wp:extent cx="2103120" cy="670560"/>
                  <wp:effectExtent l="0" t="0" r="11430" b="15240"/>
                  <wp:docPr id="10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
                          <pic:cNvPicPr>
                            <a:picLocks noChangeAspect="1"/>
                          </pic:cNvPicPr>
                        </pic:nvPicPr>
                        <pic:blipFill>
                          <a:blip r:embed="rId35" r:link="rId36"/>
                          <a:stretch>
                            <a:fillRect/>
                          </a:stretch>
                        </pic:blipFill>
                        <pic:spPr>
                          <a:xfrm>
                            <a:off x="0" y="0"/>
                            <a:ext cx="2103120" cy="670560"/>
                          </a:xfrm>
                          <a:prstGeom prst="rect">
                            <a:avLst/>
                          </a:prstGeom>
                          <a:noFill/>
                          <a:ln>
                            <a:noFill/>
                          </a:ln>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p>
          <w:p w14:paraId="53690FD0">
            <w:pPr>
              <w:keepNext w:val="0"/>
              <w:keepLines w:val="0"/>
              <w:suppressLineNumbers w:val="0"/>
              <w:bidi w:val="0"/>
              <w:spacing w:before="0" w:beforeAutospacing="0" w:after="0" w:afterAutospacing="0"/>
              <w:ind w:left="0" w:right="0"/>
              <w:rPr>
                <w:rFonts w:hint="eastAsia"/>
              </w:rPr>
            </w:pPr>
            <w:r>
              <w:rPr>
                <w:rFonts w:hint="eastAsia"/>
              </w:rPr>
              <w:t>式中：</w:t>
            </w:r>
          </w:p>
          <w:p w14:paraId="4809875F">
            <w:pPr>
              <w:keepNext w:val="0"/>
              <w:keepLines w:val="0"/>
              <w:suppressLineNumbers w:val="0"/>
              <w:bidi w:val="0"/>
              <w:spacing w:before="0" w:beforeAutospacing="0" w:after="0" w:afterAutospacing="0"/>
              <w:ind w:left="0" w:right="0"/>
              <w:rPr>
                <w:rFonts w:hint="eastAsia"/>
              </w:rPr>
            </w:pPr>
            <w:r>
              <w:rPr>
                <w:rFonts w:hint="eastAsia"/>
              </w:rPr>
              <w:t>Lp1i</w:t>
            </w:r>
            <w:r>
              <w:rPr>
                <w:rFonts w:hint="eastAsia"/>
                <w:lang w:eastAsia="zh-CN"/>
              </w:rPr>
              <w:t>（</w:t>
            </w:r>
            <w:r>
              <w:rPr>
                <w:rFonts w:hint="eastAsia"/>
              </w:rPr>
              <w:t>T</w:t>
            </w:r>
            <w:r>
              <w:rPr>
                <w:rFonts w:hint="eastAsia"/>
                <w:lang w:eastAsia="zh-CN"/>
              </w:rPr>
              <w:t>）</w:t>
            </w:r>
            <w:r>
              <w:rPr>
                <w:rFonts w:hint="eastAsia"/>
              </w:rPr>
              <w:t>---靠近围护结构处室内N个声源i倍频带的叠加声压级，dB；</w:t>
            </w:r>
          </w:p>
          <w:p w14:paraId="64F3AAA6">
            <w:pPr>
              <w:keepNext w:val="0"/>
              <w:keepLines w:val="0"/>
              <w:suppressLineNumbers w:val="0"/>
              <w:bidi w:val="0"/>
              <w:spacing w:before="0" w:beforeAutospacing="0" w:after="0" w:afterAutospacing="0"/>
              <w:ind w:left="0" w:right="0"/>
              <w:rPr>
                <w:rFonts w:hint="eastAsia"/>
              </w:rPr>
            </w:pPr>
            <w:r>
              <w:rPr>
                <w:rFonts w:hint="eastAsia"/>
              </w:rPr>
              <w:t>Lp1ij---室内j声源i倍频带的声压级，dB；</w:t>
            </w:r>
          </w:p>
          <w:p w14:paraId="138ADFFD">
            <w:pPr>
              <w:keepNext w:val="0"/>
              <w:keepLines w:val="0"/>
              <w:suppressLineNumbers w:val="0"/>
              <w:bidi w:val="0"/>
              <w:spacing w:before="0" w:beforeAutospacing="0" w:after="0" w:afterAutospacing="0"/>
              <w:ind w:left="0" w:right="0"/>
              <w:rPr>
                <w:rFonts w:hint="eastAsia"/>
              </w:rPr>
            </w:pPr>
            <w:r>
              <w:rPr>
                <w:rFonts w:hint="eastAsia"/>
              </w:rPr>
              <w:t>N---室内声源总数。</w:t>
            </w:r>
          </w:p>
          <w:p w14:paraId="39BA5B1C">
            <w:pPr>
              <w:keepNext w:val="0"/>
              <w:keepLines w:val="0"/>
              <w:suppressLineNumbers w:val="0"/>
              <w:bidi w:val="0"/>
              <w:spacing w:before="0" w:beforeAutospacing="0" w:after="0" w:afterAutospacing="0"/>
              <w:ind w:left="0" w:right="0"/>
              <w:rPr>
                <w:rFonts w:hint="eastAsia"/>
              </w:rPr>
            </w:pPr>
            <w:r>
              <w:rPr>
                <w:rFonts w:hint="eastAsia"/>
              </w:rPr>
              <w:t>③计算出室外靠近围护结构处的声压级：</w:t>
            </w:r>
          </w:p>
          <w:p w14:paraId="7A9A1D40">
            <w:pPr>
              <w:pStyle w:val="15"/>
              <w:keepNext w:val="0"/>
              <w:keepLines w:val="0"/>
              <w:suppressLineNumbers w:val="0"/>
              <w:bidi w:val="0"/>
              <w:spacing w:before="0" w:beforeAutospacing="0" w:after="0" w:afterAutospacing="0"/>
              <w:ind w:left="0" w:right="0"/>
              <w:jc w:val="center"/>
            </w:pPr>
            <w:r>
              <w:fldChar w:fldCharType="begin"/>
            </w:r>
            <w:r>
              <w:instrText xml:space="preserve"> INCLUDEPICTURE "C:\\Users\\Admin\\AppData\\Local\\Temp\\ksohtml12936\\wps9.png" \* MERGEFORMATINET </w:instrText>
            </w:r>
            <w:r>
              <w:fldChar w:fldCharType="separate"/>
            </w:r>
            <w:r>
              <w:fldChar w:fldCharType="begin"/>
            </w:r>
            <w:r>
              <w:instrText xml:space="preserve"> INCLUDEPICTURE  "C:\\Users\\Admin\\AppData\\Local\\Temp\\ksohtml12936\\wps9.png" \* MERGEFORMATINET </w:instrText>
            </w:r>
            <w:r>
              <w:fldChar w:fldCharType="separate"/>
            </w:r>
            <w:r>
              <w:fldChar w:fldCharType="begin"/>
            </w:r>
            <w:r>
              <w:instrText xml:space="preserve"> INCLUDEPICTURE  "C:\\Users\\Admin\\AppData\\Local\\Temp\\ksohtml12936\\wps9.png" \* MERGEFORMATINET </w:instrText>
            </w:r>
            <w:r>
              <w:fldChar w:fldCharType="separate"/>
            </w:r>
            <w:r>
              <w:fldChar w:fldCharType="begin"/>
            </w:r>
            <w:r>
              <w:instrText xml:space="preserve"> INCLUDEPICTURE  "C:\\Users\\Admin\\AppData\\Local\\Temp\\ksohtml12936\\wps9.png" \* MERGEFORMATINET </w:instrText>
            </w:r>
            <w:r>
              <w:fldChar w:fldCharType="separate"/>
            </w:r>
            <w:r>
              <w:fldChar w:fldCharType="begin"/>
            </w:r>
            <w:r>
              <w:instrText xml:space="preserve"> INCLUDEPICTURE  "C:\\Users\\Admin\\AppData\\Local\\Temp\\ksohtml12936\\wps9.png" \* MERGEFORMATINET </w:instrText>
            </w:r>
            <w:r>
              <w:fldChar w:fldCharType="separate"/>
            </w:r>
            <w:r>
              <w:fldChar w:fldCharType="begin"/>
            </w:r>
            <w:r>
              <w:instrText xml:space="preserve"> INCLUDEPICTURE  "C:\\Users\\Admin\\AppData\\Local\\Temp\\ksohtml12936\\wps9.png" \* MERGEFORMATINET </w:instrText>
            </w:r>
            <w:r>
              <w:fldChar w:fldCharType="separate"/>
            </w:r>
            <w:r>
              <w:fldChar w:fldCharType="begin"/>
            </w:r>
            <w:r>
              <w:instrText xml:space="preserve"> INCLUDEPICTURE  "C:\\Users\\Admin\\AppData\\Local\\Temp\\ksohtml12936\\wps9.png" \* MERGEFORMATINET </w:instrText>
            </w:r>
            <w:r>
              <w:fldChar w:fldCharType="separate"/>
            </w:r>
            <w:r>
              <w:fldChar w:fldCharType="begin"/>
            </w:r>
            <w:r>
              <w:instrText xml:space="preserve"> INCLUDEPICTURE  "C:\\Users\\Admin\\AppData\\Local\\Temp\\ksohtml12936\\wps9.png" \* MERGEFORMATINET </w:instrText>
            </w:r>
            <w:r>
              <w:fldChar w:fldCharType="separate"/>
            </w:r>
            <w:r>
              <w:drawing>
                <wp:inline distT="0" distB="0" distL="114300" distR="114300">
                  <wp:extent cx="2423160" cy="365760"/>
                  <wp:effectExtent l="0" t="0" r="15240" b="1524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37" r:link="rId38"/>
                          <a:stretch>
                            <a:fillRect/>
                          </a:stretch>
                        </pic:blipFill>
                        <pic:spPr>
                          <a:xfrm>
                            <a:off x="0" y="0"/>
                            <a:ext cx="2423160" cy="365760"/>
                          </a:xfrm>
                          <a:prstGeom prst="rect">
                            <a:avLst/>
                          </a:prstGeom>
                          <a:noFill/>
                          <a:ln>
                            <a:noFill/>
                          </a:ln>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p>
          <w:p w14:paraId="1E5A50E8">
            <w:pPr>
              <w:keepNext w:val="0"/>
              <w:keepLines w:val="0"/>
              <w:suppressLineNumbers w:val="0"/>
              <w:bidi w:val="0"/>
              <w:spacing w:before="0" w:beforeAutospacing="0" w:after="0" w:afterAutospacing="0"/>
              <w:ind w:left="0" w:right="0"/>
              <w:rPr>
                <w:rFonts w:hint="eastAsia"/>
              </w:rPr>
            </w:pPr>
            <w:r>
              <w:rPr>
                <w:rFonts w:hint="eastAsia"/>
              </w:rPr>
              <w:t>式中：</w:t>
            </w:r>
          </w:p>
          <w:p w14:paraId="7CE1D524">
            <w:pPr>
              <w:keepNext w:val="0"/>
              <w:keepLines w:val="0"/>
              <w:suppressLineNumbers w:val="0"/>
              <w:bidi w:val="0"/>
              <w:spacing w:before="0" w:beforeAutospacing="0" w:after="0" w:afterAutospacing="0"/>
              <w:ind w:left="0" w:right="0"/>
              <w:rPr>
                <w:rFonts w:hint="eastAsia"/>
              </w:rPr>
            </w:pPr>
            <w:r>
              <w:rPr>
                <w:rFonts w:hint="eastAsia"/>
              </w:rPr>
              <w:t>Lp2i</w:t>
            </w:r>
            <w:r>
              <w:rPr>
                <w:rFonts w:hint="eastAsia"/>
                <w:lang w:eastAsia="zh-CN"/>
              </w:rPr>
              <w:t>（</w:t>
            </w:r>
            <w:r>
              <w:rPr>
                <w:rFonts w:hint="eastAsia"/>
              </w:rPr>
              <w:t>T</w:t>
            </w:r>
            <w:r>
              <w:rPr>
                <w:rFonts w:hint="eastAsia"/>
                <w:lang w:eastAsia="zh-CN"/>
              </w:rPr>
              <w:t>）</w:t>
            </w:r>
            <w:r>
              <w:rPr>
                <w:rFonts w:hint="eastAsia"/>
              </w:rPr>
              <w:t>---靠近围护结构处室内N个声源i倍频带的叠加声压级，dB；</w:t>
            </w:r>
          </w:p>
          <w:p w14:paraId="2CA831C7">
            <w:pPr>
              <w:keepNext w:val="0"/>
              <w:keepLines w:val="0"/>
              <w:suppressLineNumbers w:val="0"/>
              <w:bidi w:val="0"/>
              <w:spacing w:before="0" w:beforeAutospacing="0" w:after="0" w:afterAutospacing="0"/>
              <w:ind w:left="0" w:right="0"/>
              <w:rPr>
                <w:rFonts w:hint="eastAsia"/>
              </w:rPr>
            </w:pPr>
            <w:r>
              <w:rPr>
                <w:rFonts w:hint="eastAsia"/>
              </w:rPr>
              <w:t>TLi---围护结构i倍频带的隔声量，dB。</w:t>
            </w:r>
          </w:p>
          <w:p w14:paraId="22AE1253">
            <w:pPr>
              <w:keepNext w:val="0"/>
              <w:keepLines w:val="0"/>
              <w:suppressLineNumbers w:val="0"/>
              <w:bidi w:val="0"/>
              <w:spacing w:before="0" w:beforeAutospacing="0" w:after="0" w:afterAutospacing="0"/>
              <w:ind w:left="0" w:right="0"/>
              <w:rPr>
                <w:rFonts w:hint="eastAsia"/>
              </w:rPr>
            </w:pPr>
            <w:r>
              <w:rPr>
                <w:rFonts w:hint="eastAsia"/>
              </w:rPr>
              <w:t>④将室外声源的声压级和透声面积换算成等效的室外声源，计算出中心位置位于透声面积（S）处的等效声源的倍频带的声功率级：</w:t>
            </w:r>
          </w:p>
          <w:p w14:paraId="6E703C9F">
            <w:pPr>
              <w:pStyle w:val="15"/>
              <w:keepNext w:val="0"/>
              <w:keepLines w:val="0"/>
              <w:suppressLineNumbers w:val="0"/>
              <w:bidi w:val="0"/>
              <w:spacing w:before="0" w:beforeAutospacing="0" w:after="0" w:afterAutospacing="0"/>
              <w:ind w:left="0" w:right="0"/>
              <w:jc w:val="center"/>
            </w:pPr>
            <w:r>
              <w:fldChar w:fldCharType="begin"/>
            </w:r>
            <w:r>
              <w:instrText xml:space="preserve"> INCLUDEPICTURE "C:\\Users\\Admin\\AppData\\Local\\Temp\\ksohtml12936\\wps10.png" \* MERGEFORMATINET </w:instrText>
            </w:r>
            <w:r>
              <w:fldChar w:fldCharType="separate"/>
            </w:r>
            <w:r>
              <w:fldChar w:fldCharType="begin"/>
            </w:r>
            <w:r>
              <w:instrText xml:space="preserve"> INCLUDEPICTURE  "C:\\Users\\Admin\\AppData\\Local\\Temp\\ksohtml12936\\wps10.png" \* MERGEFORMATINET </w:instrText>
            </w:r>
            <w:r>
              <w:fldChar w:fldCharType="separate"/>
            </w:r>
            <w:r>
              <w:fldChar w:fldCharType="begin"/>
            </w:r>
            <w:r>
              <w:instrText xml:space="preserve"> INCLUDEPICTURE  "C:\\Users\\Admin\\AppData\\Local\\Temp\\ksohtml12936\\wps10.png" \* MERGEFORMATINET </w:instrText>
            </w:r>
            <w:r>
              <w:fldChar w:fldCharType="separate"/>
            </w:r>
            <w:r>
              <w:fldChar w:fldCharType="begin"/>
            </w:r>
            <w:r>
              <w:instrText xml:space="preserve"> INCLUDEPICTURE  "C:\\Users\\Admin\\AppData\\Local\\Temp\\ksohtml12936\\wps10.png" \* MERGEFORMATINET </w:instrText>
            </w:r>
            <w:r>
              <w:fldChar w:fldCharType="separate"/>
            </w:r>
            <w:r>
              <w:fldChar w:fldCharType="begin"/>
            </w:r>
            <w:r>
              <w:instrText xml:space="preserve"> INCLUDEPICTURE  "C:\\Users\\Admin\\AppData\\Local\\Temp\\ksohtml12936\\wps10.png" \* MERGEFORMATINET </w:instrText>
            </w:r>
            <w:r>
              <w:fldChar w:fldCharType="separate"/>
            </w:r>
            <w:r>
              <w:fldChar w:fldCharType="begin"/>
            </w:r>
            <w:r>
              <w:instrText xml:space="preserve"> INCLUDEPICTURE  "C:\\Users\\Admin\\AppData\\Local\\Temp\\ksohtml12936\\wps10.png" \* MERGEFORMATINET </w:instrText>
            </w:r>
            <w:r>
              <w:fldChar w:fldCharType="separate"/>
            </w:r>
            <w:r>
              <w:fldChar w:fldCharType="begin"/>
            </w:r>
            <w:r>
              <w:instrText xml:space="preserve"> INCLUDEPICTURE  "C:\\Users\\Admin\\AppData\\Local\\Temp\\ksohtml12936\\wps10.png" \* MERGEFORMATINET </w:instrText>
            </w:r>
            <w:r>
              <w:fldChar w:fldCharType="separate"/>
            </w:r>
            <w:r>
              <w:fldChar w:fldCharType="begin"/>
            </w:r>
            <w:r>
              <w:instrText xml:space="preserve"> INCLUDEPICTURE  "C:\\Users\\Admin\\AppData\\Local\\Temp\\ksohtml12936\\wps10.png" \* MERGEFORMATINET </w:instrText>
            </w:r>
            <w:r>
              <w:fldChar w:fldCharType="separate"/>
            </w:r>
            <w:r>
              <w:drawing>
                <wp:inline distT="0" distB="0" distL="114300" distR="114300">
                  <wp:extent cx="1798320" cy="426720"/>
                  <wp:effectExtent l="0" t="0" r="11430" b="11430"/>
                  <wp:docPr id="1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2"/>
                          <pic:cNvPicPr>
                            <a:picLocks noChangeAspect="1"/>
                          </pic:cNvPicPr>
                        </pic:nvPicPr>
                        <pic:blipFill>
                          <a:blip r:embed="rId39" r:link="rId40"/>
                          <a:stretch>
                            <a:fillRect/>
                          </a:stretch>
                        </pic:blipFill>
                        <pic:spPr>
                          <a:xfrm>
                            <a:off x="0" y="0"/>
                            <a:ext cx="1798320" cy="426720"/>
                          </a:xfrm>
                          <a:prstGeom prst="rect">
                            <a:avLst/>
                          </a:prstGeom>
                          <a:noFill/>
                          <a:ln>
                            <a:noFill/>
                          </a:ln>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p>
          <w:p w14:paraId="1613A734">
            <w:pPr>
              <w:keepNext w:val="0"/>
              <w:keepLines w:val="0"/>
              <w:suppressLineNumbers w:val="0"/>
              <w:bidi w:val="0"/>
              <w:spacing w:before="0" w:beforeAutospacing="0" w:after="0" w:afterAutospacing="0"/>
              <w:ind w:left="0" w:right="0"/>
              <w:rPr>
                <w:rFonts w:hint="eastAsia"/>
              </w:rPr>
            </w:pPr>
            <w:r>
              <w:rPr>
                <w:rFonts w:hint="eastAsia"/>
              </w:rPr>
              <w:t>式中：S为透声面积，㎡。</w:t>
            </w:r>
          </w:p>
          <w:p w14:paraId="16AF6C1B">
            <w:pPr>
              <w:keepNext w:val="0"/>
              <w:keepLines w:val="0"/>
              <w:suppressLineNumbers w:val="0"/>
              <w:bidi w:val="0"/>
              <w:spacing w:before="0" w:beforeAutospacing="0" w:after="0" w:afterAutospacing="0"/>
              <w:ind w:left="0" w:right="0"/>
              <w:rPr>
                <w:rFonts w:hint="eastAsia"/>
              </w:rPr>
            </w:pPr>
            <w:r>
              <w:rPr>
                <w:rFonts w:hint="eastAsia"/>
              </w:rPr>
              <w:t>⑤等效室外声源的位置为围护结构的位置，其倍频带声功率级为Lw，由此按室外声源方法计算等效室外声源在预测点产生的声级。</w:t>
            </w:r>
          </w:p>
          <w:p w14:paraId="0EFB4144">
            <w:pPr>
              <w:keepNext w:val="0"/>
              <w:keepLines w:val="0"/>
              <w:suppressLineNumbers w:val="0"/>
              <w:bidi w:val="0"/>
              <w:spacing w:before="0" w:beforeAutospacing="0" w:after="0" w:afterAutospacing="0"/>
              <w:ind w:left="0" w:right="0"/>
              <w:rPr>
                <w:rFonts w:hint="eastAsia"/>
              </w:rPr>
            </w:pPr>
            <w:r>
              <w:rPr>
                <w:rFonts w:hint="eastAsia"/>
              </w:rPr>
              <w:t>（3）噪声贡献值计算</w:t>
            </w:r>
          </w:p>
          <w:p w14:paraId="72411794">
            <w:pPr>
              <w:keepNext w:val="0"/>
              <w:keepLines w:val="0"/>
              <w:suppressLineNumbers w:val="0"/>
              <w:bidi w:val="0"/>
              <w:spacing w:before="0" w:beforeAutospacing="0" w:after="0" w:afterAutospacing="0"/>
              <w:ind w:left="0" w:right="0"/>
              <w:rPr>
                <w:rFonts w:hint="eastAsia"/>
              </w:rPr>
            </w:pPr>
            <w:r>
              <w:rPr>
                <w:rFonts w:hint="eastAsia"/>
              </w:rPr>
              <w:t>设第i个室外声源在预测点产生的A声级为LAi，在T时间内该声源工作时间为ti；第j个等效室外声源在预测点产生的A声级为LAj，在拟建工程声源对预测点产生的贡献值（Leqg）为：</w:t>
            </w:r>
          </w:p>
          <w:p w14:paraId="0E7A7CDA">
            <w:pPr>
              <w:pStyle w:val="15"/>
              <w:keepNext w:val="0"/>
              <w:keepLines w:val="0"/>
              <w:suppressLineNumbers w:val="0"/>
              <w:bidi w:val="0"/>
              <w:spacing w:before="0" w:beforeAutospacing="0" w:after="0" w:afterAutospacing="0"/>
              <w:ind w:left="0" w:right="0"/>
              <w:jc w:val="center"/>
            </w:pPr>
            <w:r>
              <w:fldChar w:fldCharType="begin"/>
            </w:r>
            <w:r>
              <w:instrText xml:space="preserve"> INCLUDEPICTURE "C:\\Users\\Admin\\AppData\\Local\\Temp\\ksohtml12936\\wps11.png" \* MERGEFORMATINET </w:instrText>
            </w:r>
            <w:r>
              <w:fldChar w:fldCharType="separate"/>
            </w:r>
            <w:r>
              <w:fldChar w:fldCharType="begin"/>
            </w:r>
            <w:r>
              <w:instrText xml:space="preserve"> INCLUDEPICTURE  "C:\\Users\\Admin\\AppData\\Local\\Temp\\ksohtml12936\\wps11.png" \* MERGEFORMATINET </w:instrText>
            </w:r>
            <w:r>
              <w:fldChar w:fldCharType="separate"/>
            </w:r>
            <w:r>
              <w:fldChar w:fldCharType="begin"/>
            </w:r>
            <w:r>
              <w:instrText xml:space="preserve"> INCLUDEPICTURE  "C:\\Users\\Admin\\AppData\\Local\\Temp\\ksohtml12936\\wps11.png" \* MERGEFORMATINET </w:instrText>
            </w:r>
            <w:r>
              <w:fldChar w:fldCharType="separate"/>
            </w:r>
            <w:r>
              <w:fldChar w:fldCharType="begin"/>
            </w:r>
            <w:r>
              <w:instrText xml:space="preserve"> INCLUDEPICTURE  "C:\\Users\\Admin\\AppData\\Local\\Temp\\ksohtml12936\\wps11.png" \* MERGEFORMATINET </w:instrText>
            </w:r>
            <w:r>
              <w:fldChar w:fldCharType="separate"/>
            </w:r>
            <w:r>
              <w:fldChar w:fldCharType="begin"/>
            </w:r>
            <w:r>
              <w:instrText xml:space="preserve"> INCLUDEPICTURE  "C:\\Users\\Admin\\AppData\\Local\\Temp\\ksohtml12936\\wps11.png" \* MERGEFORMATINET </w:instrText>
            </w:r>
            <w:r>
              <w:fldChar w:fldCharType="separate"/>
            </w:r>
            <w:r>
              <w:fldChar w:fldCharType="begin"/>
            </w:r>
            <w:r>
              <w:instrText xml:space="preserve"> INCLUDEPICTURE  "C:\\Users\\Admin\\AppData\\Local\\Temp\\ksohtml12936\\wps11.png" \* MERGEFORMATINET </w:instrText>
            </w:r>
            <w:r>
              <w:fldChar w:fldCharType="separate"/>
            </w:r>
            <w:r>
              <w:fldChar w:fldCharType="begin"/>
            </w:r>
            <w:r>
              <w:instrText xml:space="preserve"> INCLUDEPICTURE  "C:\\Users\\Admin\\AppData\\Local\\Temp\\ksohtml12936\\wps11.png" \* MERGEFORMATINET </w:instrText>
            </w:r>
            <w:r>
              <w:fldChar w:fldCharType="separate"/>
            </w:r>
            <w:r>
              <w:fldChar w:fldCharType="begin"/>
            </w:r>
            <w:r>
              <w:instrText xml:space="preserve"> INCLUDEPICTURE  "C:\\Users\\Admin\\AppData\\Local\\Temp\\ksohtml12936\\wps11.png" \* MERGEFORMATINET </w:instrText>
            </w:r>
            <w:r>
              <w:fldChar w:fldCharType="separate"/>
            </w:r>
            <w:r>
              <w:drawing>
                <wp:inline distT="0" distB="0" distL="114300" distR="114300">
                  <wp:extent cx="3268980" cy="579120"/>
                  <wp:effectExtent l="0" t="0" r="7620" b="11430"/>
                  <wp:docPr id="1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
                          <pic:cNvPicPr>
                            <a:picLocks noChangeAspect="1"/>
                          </pic:cNvPicPr>
                        </pic:nvPicPr>
                        <pic:blipFill>
                          <a:blip r:embed="rId41" r:link="rId42"/>
                          <a:stretch>
                            <a:fillRect/>
                          </a:stretch>
                        </pic:blipFill>
                        <pic:spPr>
                          <a:xfrm>
                            <a:off x="0" y="0"/>
                            <a:ext cx="3268980" cy="579120"/>
                          </a:xfrm>
                          <a:prstGeom prst="rect">
                            <a:avLst/>
                          </a:prstGeom>
                          <a:noFill/>
                          <a:ln>
                            <a:noFill/>
                          </a:ln>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p>
          <w:p w14:paraId="1430A561">
            <w:pPr>
              <w:keepNext w:val="0"/>
              <w:keepLines w:val="0"/>
              <w:suppressLineNumbers w:val="0"/>
              <w:bidi w:val="0"/>
              <w:spacing w:before="0" w:beforeAutospacing="0" w:after="0" w:afterAutospacing="0"/>
              <w:ind w:left="0" w:right="0"/>
              <w:rPr>
                <w:rFonts w:hint="eastAsia"/>
              </w:rPr>
            </w:pPr>
            <w:r>
              <w:rPr>
                <w:rFonts w:hint="eastAsia"/>
              </w:rPr>
              <w:t>式中：</w:t>
            </w:r>
          </w:p>
          <w:p w14:paraId="175CA87A">
            <w:pPr>
              <w:keepNext w:val="0"/>
              <w:keepLines w:val="0"/>
              <w:suppressLineNumbers w:val="0"/>
              <w:bidi w:val="0"/>
              <w:spacing w:before="0" w:beforeAutospacing="0" w:after="0" w:afterAutospacing="0"/>
              <w:ind w:left="0" w:right="0"/>
              <w:rPr>
                <w:rFonts w:hint="eastAsia"/>
              </w:rPr>
            </w:pPr>
            <w:r>
              <w:rPr>
                <w:rFonts w:hint="eastAsia"/>
              </w:rPr>
              <w:t>tj---在T时间内j声源工作时间，s；</w:t>
            </w:r>
          </w:p>
          <w:p w14:paraId="6B2FCDF5">
            <w:pPr>
              <w:keepNext w:val="0"/>
              <w:keepLines w:val="0"/>
              <w:suppressLineNumbers w:val="0"/>
              <w:bidi w:val="0"/>
              <w:spacing w:before="0" w:beforeAutospacing="0" w:after="0" w:afterAutospacing="0"/>
              <w:ind w:left="0" w:right="0"/>
              <w:rPr>
                <w:rFonts w:hint="eastAsia"/>
              </w:rPr>
            </w:pPr>
            <w:r>
              <w:rPr>
                <w:rFonts w:hint="eastAsia"/>
              </w:rPr>
              <w:t>ti---在T时间内i声源工作时间，s；</w:t>
            </w:r>
          </w:p>
          <w:p w14:paraId="3108EB0B">
            <w:pPr>
              <w:keepNext w:val="0"/>
              <w:keepLines w:val="0"/>
              <w:suppressLineNumbers w:val="0"/>
              <w:bidi w:val="0"/>
              <w:spacing w:before="0" w:beforeAutospacing="0" w:after="0" w:afterAutospacing="0"/>
              <w:ind w:left="0" w:right="0"/>
              <w:rPr>
                <w:rFonts w:hint="eastAsia"/>
              </w:rPr>
            </w:pPr>
            <w:r>
              <w:rPr>
                <w:rFonts w:hint="eastAsia"/>
              </w:rPr>
              <w:t>T---用于计算等效声级的时间，s；</w:t>
            </w:r>
          </w:p>
          <w:p w14:paraId="7AE6CF84">
            <w:pPr>
              <w:keepNext w:val="0"/>
              <w:keepLines w:val="0"/>
              <w:suppressLineNumbers w:val="0"/>
              <w:bidi w:val="0"/>
              <w:spacing w:before="0" w:beforeAutospacing="0" w:after="0" w:afterAutospacing="0"/>
              <w:ind w:left="0" w:right="0"/>
              <w:rPr>
                <w:rFonts w:hint="eastAsia"/>
              </w:rPr>
            </w:pPr>
            <w:r>
              <w:rPr>
                <w:rFonts w:hint="eastAsia"/>
              </w:rPr>
              <w:t>N---室外声源个数；</w:t>
            </w:r>
          </w:p>
          <w:p w14:paraId="66CAC9D6">
            <w:pPr>
              <w:keepNext w:val="0"/>
              <w:keepLines w:val="0"/>
              <w:suppressLineNumbers w:val="0"/>
              <w:bidi w:val="0"/>
              <w:spacing w:before="0" w:beforeAutospacing="0" w:after="0" w:afterAutospacing="0"/>
              <w:ind w:left="0" w:right="0"/>
              <w:rPr>
                <w:rFonts w:hint="eastAsia"/>
              </w:rPr>
            </w:pPr>
            <w:r>
              <w:rPr>
                <w:rFonts w:hint="eastAsia"/>
              </w:rPr>
              <w:t>M---室内声源个数。</w:t>
            </w:r>
          </w:p>
          <w:p w14:paraId="2951F1FC">
            <w:pPr>
              <w:keepNext w:val="0"/>
              <w:keepLines w:val="0"/>
              <w:suppressLineNumbers w:val="0"/>
              <w:bidi w:val="0"/>
              <w:spacing w:before="0" w:beforeAutospacing="0" w:after="0" w:afterAutospacing="0"/>
              <w:ind w:left="0" w:right="0"/>
              <w:rPr>
                <w:rFonts w:hint="eastAsia"/>
              </w:rPr>
            </w:pPr>
            <w:r>
              <w:rPr>
                <w:rFonts w:hint="eastAsia"/>
              </w:rPr>
              <w:t>（4）预测值计算</w:t>
            </w:r>
          </w:p>
          <w:p w14:paraId="54158CAA">
            <w:pPr>
              <w:keepNext w:val="0"/>
              <w:keepLines w:val="0"/>
              <w:suppressLineNumbers w:val="0"/>
              <w:bidi w:val="0"/>
              <w:spacing w:before="0" w:beforeAutospacing="0" w:after="0" w:afterAutospacing="0"/>
              <w:ind w:left="0" w:right="0"/>
              <w:rPr>
                <w:rFonts w:hint="eastAsia"/>
              </w:rPr>
            </w:pPr>
            <w:r>
              <w:rPr>
                <w:rFonts w:hint="eastAsia"/>
              </w:rPr>
              <w:t>预测点的预测等效声级（Leq）计算公式为：</w:t>
            </w:r>
          </w:p>
          <w:p w14:paraId="48D61189">
            <w:pPr>
              <w:pStyle w:val="15"/>
              <w:keepNext w:val="0"/>
              <w:keepLines w:val="0"/>
              <w:suppressLineNumbers w:val="0"/>
              <w:bidi w:val="0"/>
              <w:spacing w:before="0" w:beforeAutospacing="0" w:after="0" w:afterAutospacing="0"/>
              <w:ind w:left="0" w:right="0"/>
              <w:jc w:val="center"/>
            </w:pPr>
            <w:r>
              <w:fldChar w:fldCharType="begin"/>
            </w:r>
            <w:r>
              <w:instrText xml:space="preserve"> INCLUDEPICTURE "C:\\Users\\Admin\\AppData\\Local\\Temp\\ksohtml12936\\wps12.png" \* MERGEFORMATINET </w:instrText>
            </w:r>
            <w:r>
              <w:fldChar w:fldCharType="separate"/>
            </w:r>
            <w:r>
              <w:fldChar w:fldCharType="begin"/>
            </w:r>
            <w:r>
              <w:instrText xml:space="preserve"> INCLUDEPICTURE  "C:\\Users\\Admin\\AppData\\Local\\Temp\\ksohtml12936\\wps12.png" \* MERGEFORMATINET </w:instrText>
            </w:r>
            <w:r>
              <w:fldChar w:fldCharType="separate"/>
            </w:r>
            <w:r>
              <w:fldChar w:fldCharType="begin"/>
            </w:r>
            <w:r>
              <w:instrText xml:space="preserve"> INCLUDEPICTURE  "C:\\Users\\Admin\\AppData\\Local\\Temp\\ksohtml12936\\wps12.png" \* MERGEFORMATINET </w:instrText>
            </w:r>
            <w:r>
              <w:fldChar w:fldCharType="separate"/>
            </w:r>
            <w:r>
              <w:fldChar w:fldCharType="begin"/>
            </w:r>
            <w:r>
              <w:instrText xml:space="preserve"> INCLUDEPICTURE  "C:\\Users\\Admin\\AppData\\Local\\Temp\\ksohtml12936\\wps12.png" \* MERGEFORMATINET </w:instrText>
            </w:r>
            <w:r>
              <w:fldChar w:fldCharType="separate"/>
            </w:r>
            <w:r>
              <w:fldChar w:fldCharType="begin"/>
            </w:r>
            <w:r>
              <w:instrText xml:space="preserve"> INCLUDEPICTURE  "C:\\Users\\Admin\\AppData\\Local\\Temp\\ksohtml12936\\wps12.png" \* MERGEFORMATINET </w:instrText>
            </w:r>
            <w:r>
              <w:fldChar w:fldCharType="separate"/>
            </w:r>
            <w:r>
              <w:fldChar w:fldCharType="begin"/>
            </w:r>
            <w:r>
              <w:instrText xml:space="preserve"> INCLUDEPICTURE  "C:\\Users\\Admin\\AppData\\Local\\Temp\\ksohtml12936\\wps12.png" \* MERGEFORMATINET </w:instrText>
            </w:r>
            <w:r>
              <w:fldChar w:fldCharType="separate"/>
            </w:r>
            <w:r>
              <w:fldChar w:fldCharType="begin"/>
            </w:r>
            <w:r>
              <w:instrText xml:space="preserve"> INCLUDEPICTURE  "C:\\Users\\Admin\\AppData\\Local\\Temp\\ksohtml12936\\wps12.png" \* MERGEFORMATINET </w:instrText>
            </w:r>
            <w:r>
              <w:fldChar w:fldCharType="separate"/>
            </w:r>
            <w:r>
              <w:fldChar w:fldCharType="begin"/>
            </w:r>
            <w:r>
              <w:instrText xml:space="preserve"> INCLUDEPICTURE  "C:\\Users\\Admin\\AppData\\Local\\Temp\\ksohtml12936\\wps12.png" \* MERGEFORMATINET </w:instrText>
            </w:r>
            <w:r>
              <w:fldChar w:fldCharType="separate"/>
            </w:r>
            <w:r>
              <w:drawing>
                <wp:inline distT="0" distB="0" distL="114300" distR="114300">
                  <wp:extent cx="2354580" cy="502920"/>
                  <wp:effectExtent l="0" t="0" r="7620" b="11430"/>
                  <wp:docPr id="1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4"/>
                          <pic:cNvPicPr>
                            <a:picLocks noChangeAspect="1"/>
                          </pic:cNvPicPr>
                        </pic:nvPicPr>
                        <pic:blipFill>
                          <a:blip r:embed="rId43" r:link="rId44"/>
                          <a:stretch>
                            <a:fillRect/>
                          </a:stretch>
                        </pic:blipFill>
                        <pic:spPr>
                          <a:xfrm>
                            <a:off x="0" y="0"/>
                            <a:ext cx="2354580" cy="502920"/>
                          </a:xfrm>
                          <a:prstGeom prst="rect">
                            <a:avLst/>
                          </a:prstGeom>
                          <a:noFill/>
                          <a:ln>
                            <a:noFill/>
                          </a:ln>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p>
          <w:p w14:paraId="0604DDC5">
            <w:pPr>
              <w:keepNext w:val="0"/>
              <w:keepLines w:val="0"/>
              <w:suppressLineNumbers w:val="0"/>
              <w:bidi w:val="0"/>
              <w:spacing w:before="0" w:beforeAutospacing="0" w:after="0" w:afterAutospacing="0"/>
              <w:ind w:left="0" w:right="0"/>
              <w:rPr>
                <w:rFonts w:hint="eastAsia"/>
              </w:rPr>
            </w:pPr>
            <w:r>
              <w:rPr>
                <w:rFonts w:hint="eastAsia"/>
              </w:rPr>
              <w:t>式中：L</w:t>
            </w:r>
            <w:r>
              <w:rPr>
                <w:rFonts w:hint="eastAsia"/>
                <w:vertAlign w:val="subscript"/>
              </w:rPr>
              <w:t>eqg</w:t>
            </w:r>
            <w:r>
              <w:rPr>
                <w:rFonts w:hint="eastAsia"/>
              </w:rPr>
              <w:t>---建设项目声源在预测点的等效声级贡献值，dB；</w:t>
            </w:r>
          </w:p>
          <w:p w14:paraId="5B9B4859">
            <w:pPr>
              <w:keepNext w:val="0"/>
              <w:keepLines w:val="0"/>
              <w:suppressLineNumbers w:val="0"/>
              <w:bidi w:val="0"/>
              <w:spacing w:before="0" w:beforeAutospacing="0" w:after="0" w:afterAutospacing="0"/>
              <w:ind w:left="0" w:right="0"/>
              <w:rPr>
                <w:rFonts w:hint="eastAsia"/>
              </w:rPr>
            </w:pPr>
            <w:r>
              <w:rPr>
                <w:rFonts w:hint="eastAsia" w:cs="Times New Roman"/>
                <w:color w:val="auto"/>
                <w:szCs w:val="24"/>
                <w:highlight w:val="none"/>
                <w:shd w:val="clear" w:color="auto" w:fill="FFFFFF"/>
              </w:rPr>
              <w:t>L</w:t>
            </w:r>
            <w:r>
              <w:rPr>
                <w:rFonts w:hint="eastAsia" w:cs="Times New Roman"/>
                <w:color w:val="auto"/>
                <w:szCs w:val="24"/>
                <w:highlight w:val="none"/>
                <w:shd w:val="clear" w:color="auto" w:fill="FFFFFF"/>
                <w:vertAlign w:val="subscript"/>
              </w:rPr>
              <w:t>eqb</w:t>
            </w:r>
            <w:r>
              <w:rPr>
                <w:rFonts w:hint="eastAsia" w:cs="Times New Roman"/>
                <w:color w:val="auto"/>
                <w:szCs w:val="24"/>
                <w:highlight w:val="none"/>
              </w:rPr>
              <w:t>---</w:t>
            </w:r>
            <w:r>
              <w:rPr>
                <w:rFonts w:hint="eastAsia"/>
              </w:rPr>
              <w:t>预测点的背景值，dB。</w:t>
            </w:r>
          </w:p>
          <w:p w14:paraId="6AD0CC08">
            <w:pPr>
              <w:keepNext w:val="0"/>
              <w:keepLines w:val="0"/>
              <w:suppressLineNumbers w:val="0"/>
              <w:bidi w:val="0"/>
              <w:spacing w:before="0" w:beforeAutospacing="0" w:after="0" w:afterAutospacing="0"/>
              <w:ind w:left="0" w:right="0"/>
              <w:rPr>
                <w:rFonts w:hint="eastAsia"/>
              </w:rPr>
            </w:pPr>
            <w:r>
              <w:rPr>
                <w:rFonts w:hint="eastAsia"/>
              </w:rPr>
              <w:t>（5）隔声量的确定</w:t>
            </w:r>
          </w:p>
          <w:p w14:paraId="5CEB6B78">
            <w:pPr>
              <w:keepNext w:val="0"/>
              <w:keepLines w:val="0"/>
              <w:suppressLineNumbers w:val="0"/>
              <w:bidi w:val="0"/>
              <w:spacing w:before="0" w:beforeAutospacing="0" w:after="0" w:afterAutospacing="0"/>
              <w:ind w:left="0" w:right="0"/>
              <w:rPr>
                <w:rFonts w:hint="eastAsia"/>
              </w:rPr>
            </w:pPr>
            <w:r>
              <w:rPr>
                <w:rFonts w:hint="eastAsia"/>
              </w:rPr>
              <w:t>项目主要噪声设备大多设置于各建构筑物内，设备噪声经减震、隔声后，可削减</w:t>
            </w:r>
            <w:r>
              <w:rPr>
                <w:rFonts w:hint="eastAsia"/>
                <w:lang w:val="en-US" w:eastAsia="zh-CN"/>
              </w:rPr>
              <w:t>15</w:t>
            </w:r>
            <w:r>
              <w:rPr>
                <w:rFonts w:hint="eastAsia"/>
              </w:rPr>
              <w:t>dB（A）以上。</w:t>
            </w:r>
          </w:p>
          <w:p w14:paraId="14BD6A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（5）厂界</w:t>
            </w:r>
            <w:r>
              <w:rPr>
                <w:rFonts w:hint="default" w:ascii="Times New Roman" w:hAnsi="Times New Roman" w:cs="Times New Roman"/>
                <w:color w:val="auto"/>
                <w:sz w:val="24"/>
                <w:highlight w:val="none"/>
                <w:lang w:val="en-US" w:eastAsia="zh-CN"/>
              </w:rPr>
              <w:t>噪声</w:t>
            </w:r>
            <w:r>
              <w:rPr>
                <w:rFonts w:hint="default" w:ascii="Times New Roman" w:hAnsi="Times New Roman" w:cs="Times New Roman"/>
                <w:color w:val="auto"/>
                <w:sz w:val="24"/>
                <w:szCs w:val="24"/>
                <w:highlight w:val="none"/>
                <w:lang w:val="zh-CN"/>
              </w:rPr>
              <w:t>预测结果分析</w:t>
            </w:r>
          </w:p>
          <w:p w14:paraId="08A346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利用上述模式，本项目各厂界噪声的噪声影响预测</w:t>
            </w:r>
            <w:r>
              <w:rPr>
                <w:rFonts w:hint="eastAsia" w:cs="Times New Roman"/>
                <w:color w:val="auto"/>
                <w:sz w:val="24"/>
                <w:highlight w:val="none"/>
                <w:lang w:val="zh-CN"/>
              </w:rPr>
              <w:t>（</w:t>
            </w:r>
            <w:r>
              <w:rPr>
                <w:rFonts w:hint="default" w:ascii="Times New Roman" w:hAnsi="Times New Roman" w:cs="Times New Roman"/>
                <w:color w:val="auto"/>
                <w:sz w:val="24"/>
                <w:highlight w:val="none"/>
                <w:lang w:val="zh-CN"/>
              </w:rPr>
              <w:t>综合贡献值</w:t>
            </w:r>
            <w:r>
              <w:rPr>
                <w:rFonts w:hint="eastAsia" w:cs="Times New Roman"/>
                <w:color w:val="auto"/>
                <w:sz w:val="24"/>
                <w:highlight w:val="none"/>
                <w:lang w:val="zh-CN"/>
              </w:rPr>
              <w:t>）</w:t>
            </w:r>
            <w:r>
              <w:rPr>
                <w:rFonts w:hint="default" w:ascii="Times New Roman" w:hAnsi="Times New Roman" w:cs="Times New Roman"/>
                <w:color w:val="auto"/>
                <w:sz w:val="24"/>
                <w:highlight w:val="none"/>
                <w:lang w:val="zh-CN"/>
              </w:rPr>
              <w:t>计算结果见表，具体预测结果</w:t>
            </w:r>
            <w:r>
              <w:rPr>
                <w:rFonts w:hint="eastAsia"/>
                <w:color w:val="auto"/>
                <w:sz w:val="24"/>
                <w:szCs w:val="24"/>
                <w:highlight w:val="none"/>
                <w:lang w:val="zh-CN"/>
              </w:rPr>
              <w:t>见</w:t>
            </w:r>
            <w:r>
              <w:rPr>
                <w:rFonts w:hint="eastAsia"/>
                <w:color w:val="auto"/>
                <w:sz w:val="24"/>
                <w:szCs w:val="24"/>
                <w:highlight w:val="none"/>
                <w:lang w:val="en-US" w:eastAsia="zh-CN"/>
              </w:rPr>
              <w:t>下</w:t>
            </w:r>
            <w:r>
              <w:rPr>
                <w:rFonts w:hint="eastAsia"/>
                <w:color w:val="auto"/>
                <w:sz w:val="24"/>
                <w:szCs w:val="24"/>
                <w:highlight w:val="none"/>
                <w:lang w:val="zh-CN"/>
              </w:rPr>
              <w:t>表所示。</w:t>
            </w:r>
          </w:p>
          <w:p w14:paraId="1E5FC57D">
            <w:pPr>
              <w:pStyle w:val="39"/>
              <w:keepNext w:val="0"/>
              <w:keepLines w:val="0"/>
              <w:suppressLineNumbers w:val="0"/>
              <w:bidi w:val="0"/>
              <w:spacing w:before="0" w:beforeAutospacing="0" w:after="0" w:afterAutospacing="0"/>
              <w:ind w:left="0" w:right="0"/>
              <w:rPr>
                <w:rFonts w:hint="eastAsia" w:eastAsia="宋体"/>
                <w:highlight w:val="none"/>
                <w:lang w:eastAsia="zh-CN"/>
              </w:rPr>
            </w:pPr>
            <w:r>
              <w:rPr>
                <w:rFonts w:hint="default"/>
                <w:highlight w:val="none"/>
              </w:rPr>
              <w:t>表</w:t>
            </w:r>
            <w:r>
              <w:rPr>
                <w:rFonts w:hint="default"/>
                <w:highlight w:val="none"/>
                <w:lang w:val="en-US" w:eastAsia="zh-CN"/>
              </w:rPr>
              <w:t>4.</w:t>
            </w:r>
            <w:r>
              <w:rPr>
                <w:rFonts w:hint="eastAsia"/>
                <w:highlight w:val="none"/>
                <w:lang w:val="en-US" w:eastAsia="zh-CN"/>
              </w:rPr>
              <w:t>3</w:t>
            </w:r>
            <w:r>
              <w:rPr>
                <w:rFonts w:hint="default"/>
                <w:highlight w:val="none"/>
                <w:lang w:val="en-US" w:eastAsia="zh-CN"/>
              </w:rPr>
              <w:t>-</w:t>
            </w:r>
            <w:r>
              <w:rPr>
                <w:rFonts w:hint="eastAsia"/>
                <w:highlight w:val="none"/>
                <w:lang w:val="en-US" w:eastAsia="zh-CN"/>
              </w:rPr>
              <w:t>2</w:t>
            </w:r>
            <w:r>
              <w:rPr>
                <w:rFonts w:hint="default"/>
                <w:highlight w:val="none"/>
              </w:rPr>
              <w:t xml:space="preserve"> 厂界噪声预测结果 单位：dB</w:t>
            </w:r>
            <w:r>
              <w:rPr>
                <w:rFonts w:hint="eastAsia"/>
                <w:highlight w:val="none"/>
                <w:lang w:eastAsia="zh-CN"/>
              </w:rPr>
              <w:t>（</w:t>
            </w:r>
            <w:r>
              <w:rPr>
                <w:rFonts w:hint="default"/>
                <w:highlight w:val="none"/>
              </w:rPr>
              <w:t>A</w:t>
            </w:r>
            <w:r>
              <w:rPr>
                <w:rFonts w:hint="eastAsia"/>
                <w:highlight w:val="none"/>
                <w:lang w:eastAsia="zh-CN"/>
              </w:rPr>
              <w:t>）</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24"/>
              <w:gridCol w:w="1515"/>
              <w:gridCol w:w="868"/>
              <w:gridCol w:w="868"/>
              <w:gridCol w:w="925"/>
              <w:gridCol w:w="946"/>
              <w:gridCol w:w="1129"/>
              <w:gridCol w:w="1136"/>
            </w:tblGrid>
            <w:tr w14:paraId="74948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6" w:type="pct"/>
                  <w:vMerge w:val="restart"/>
                  <w:noWrap w:val="0"/>
                  <w:vAlign w:val="center"/>
                </w:tcPr>
                <w:p w14:paraId="74B19CDE">
                  <w:pPr>
                    <w:pStyle w:val="38"/>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编号</w:t>
                  </w:r>
                </w:p>
              </w:tc>
              <w:tc>
                <w:tcPr>
                  <w:tcW w:w="911" w:type="pct"/>
                  <w:vMerge w:val="restart"/>
                  <w:noWrap w:val="0"/>
                  <w:vAlign w:val="center"/>
                </w:tcPr>
                <w:p w14:paraId="3FD4B376">
                  <w:pPr>
                    <w:pStyle w:val="38"/>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测点位置</w:t>
                  </w:r>
                </w:p>
              </w:tc>
              <w:tc>
                <w:tcPr>
                  <w:tcW w:w="1044" w:type="pct"/>
                  <w:gridSpan w:val="2"/>
                  <w:noWrap w:val="0"/>
                  <w:vAlign w:val="center"/>
                </w:tcPr>
                <w:p w14:paraId="30AEC076">
                  <w:pPr>
                    <w:pStyle w:val="38"/>
                    <w:keepNext w:val="0"/>
                    <w:keepLines w:val="0"/>
                    <w:widowControl/>
                    <w:suppressLineNumbers w:val="0"/>
                    <w:bidi w:val="0"/>
                    <w:spacing w:before="0" w:beforeAutospacing="0" w:after="0" w:afterAutospacing="0"/>
                    <w:ind w:left="0" w:right="0"/>
                    <w:rPr>
                      <w:rFonts w:hint="eastAsia" w:eastAsia="宋体"/>
                      <w:szCs w:val="22"/>
                      <w:highlight w:val="none"/>
                      <w:lang w:val="en-US" w:eastAsia="zh-CN"/>
                    </w:rPr>
                  </w:pPr>
                  <w:r>
                    <w:rPr>
                      <w:rFonts w:hint="eastAsia"/>
                      <w:szCs w:val="22"/>
                      <w:highlight w:val="none"/>
                      <w:lang w:val="en-US" w:eastAsia="zh-CN"/>
                    </w:rPr>
                    <w:t>预测值</w:t>
                  </w:r>
                </w:p>
              </w:tc>
              <w:tc>
                <w:tcPr>
                  <w:tcW w:w="1125" w:type="pct"/>
                  <w:gridSpan w:val="2"/>
                  <w:noWrap w:val="0"/>
                  <w:vAlign w:val="center"/>
                </w:tcPr>
                <w:p w14:paraId="5823EB16">
                  <w:pPr>
                    <w:pStyle w:val="38"/>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标准值</w:t>
                  </w:r>
                </w:p>
              </w:tc>
              <w:tc>
                <w:tcPr>
                  <w:tcW w:w="1362" w:type="pct"/>
                  <w:gridSpan w:val="2"/>
                  <w:noWrap w:val="0"/>
                  <w:vAlign w:val="center"/>
                </w:tcPr>
                <w:p w14:paraId="32A22A0B">
                  <w:pPr>
                    <w:pStyle w:val="38"/>
                    <w:keepNext w:val="0"/>
                    <w:keepLines w:val="0"/>
                    <w:widowControl/>
                    <w:suppressLineNumbers w:val="0"/>
                    <w:bidi w:val="0"/>
                    <w:spacing w:before="0" w:beforeAutospacing="0" w:after="0" w:afterAutospacing="0"/>
                    <w:ind w:left="0" w:right="0"/>
                    <w:rPr>
                      <w:rFonts w:hint="default"/>
                      <w:szCs w:val="22"/>
                      <w:highlight w:val="none"/>
                    </w:rPr>
                  </w:pPr>
                  <w:r>
                    <w:rPr>
                      <w:rFonts w:hint="default"/>
                      <w:szCs w:val="22"/>
                      <w:highlight w:val="none"/>
                    </w:rPr>
                    <w:t>达标情况</w:t>
                  </w:r>
                </w:p>
              </w:tc>
            </w:tr>
            <w:tr w14:paraId="1BE236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6" w:type="pct"/>
                  <w:vMerge w:val="continue"/>
                  <w:noWrap w:val="0"/>
                  <w:vAlign w:val="center"/>
                </w:tcPr>
                <w:p w14:paraId="3E2EE32D">
                  <w:pPr>
                    <w:pStyle w:val="38"/>
                    <w:keepNext w:val="0"/>
                    <w:keepLines w:val="0"/>
                    <w:widowControl/>
                    <w:suppressLineNumbers w:val="0"/>
                    <w:bidi w:val="0"/>
                    <w:spacing w:before="0" w:beforeAutospacing="0" w:after="0" w:afterAutospacing="0"/>
                    <w:ind w:left="0" w:right="0"/>
                    <w:rPr>
                      <w:rFonts w:hint="default"/>
                      <w:szCs w:val="22"/>
                    </w:rPr>
                  </w:pPr>
                </w:p>
              </w:tc>
              <w:tc>
                <w:tcPr>
                  <w:tcW w:w="911" w:type="pct"/>
                  <w:vMerge w:val="continue"/>
                  <w:noWrap w:val="0"/>
                  <w:vAlign w:val="center"/>
                </w:tcPr>
                <w:p w14:paraId="48A93C7E">
                  <w:pPr>
                    <w:pStyle w:val="38"/>
                    <w:keepNext w:val="0"/>
                    <w:keepLines w:val="0"/>
                    <w:widowControl/>
                    <w:suppressLineNumbers w:val="0"/>
                    <w:bidi w:val="0"/>
                    <w:spacing w:before="0" w:beforeAutospacing="0" w:after="0" w:afterAutospacing="0"/>
                    <w:ind w:left="0" w:right="0"/>
                    <w:rPr>
                      <w:rFonts w:hint="default"/>
                      <w:szCs w:val="22"/>
                    </w:rPr>
                  </w:pPr>
                </w:p>
              </w:tc>
              <w:tc>
                <w:tcPr>
                  <w:tcW w:w="522" w:type="pct"/>
                  <w:noWrap w:val="0"/>
                  <w:vAlign w:val="center"/>
                </w:tcPr>
                <w:p w14:paraId="4AAAB1FD">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eastAsia="zh-CN"/>
                    </w:rPr>
                    <w:t>昼间</w:t>
                  </w:r>
                </w:p>
              </w:tc>
              <w:tc>
                <w:tcPr>
                  <w:tcW w:w="522" w:type="pct"/>
                  <w:noWrap w:val="0"/>
                  <w:vAlign w:val="center"/>
                </w:tcPr>
                <w:p w14:paraId="39A0E7E6">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夜间</w:t>
                  </w:r>
                </w:p>
              </w:tc>
              <w:tc>
                <w:tcPr>
                  <w:tcW w:w="556" w:type="pct"/>
                  <w:noWrap w:val="0"/>
                  <w:vAlign w:val="center"/>
                </w:tcPr>
                <w:p w14:paraId="604FDF93">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昼间</w:t>
                  </w:r>
                </w:p>
              </w:tc>
              <w:tc>
                <w:tcPr>
                  <w:tcW w:w="569" w:type="pct"/>
                  <w:noWrap w:val="0"/>
                  <w:vAlign w:val="center"/>
                </w:tcPr>
                <w:p w14:paraId="4A8DAFF9">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eastAsia="zh-CN"/>
                    </w:rPr>
                    <w:t>夜间</w:t>
                  </w:r>
                </w:p>
              </w:tc>
              <w:tc>
                <w:tcPr>
                  <w:tcW w:w="679" w:type="pct"/>
                  <w:noWrap w:val="0"/>
                  <w:vAlign w:val="center"/>
                </w:tcPr>
                <w:p w14:paraId="06FC1438">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昼间</w:t>
                  </w:r>
                </w:p>
              </w:tc>
              <w:tc>
                <w:tcPr>
                  <w:tcW w:w="682" w:type="pct"/>
                  <w:noWrap w:val="0"/>
                  <w:vAlign w:val="center"/>
                </w:tcPr>
                <w:p w14:paraId="6ADB42C9">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夜间</w:t>
                  </w:r>
                </w:p>
              </w:tc>
            </w:tr>
            <w:tr w14:paraId="0AC5C0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56" w:type="pct"/>
                  <w:noWrap w:val="0"/>
                  <w:vAlign w:val="center"/>
                </w:tcPr>
                <w:p w14:paraId="6E8ED5B1">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1</w:t>
                  </w:r>
                </w:p>
              </w:tc>
              <w:tc>
                <w:tcPr>
                  <w:tcW w:w="911" w:type="pct"/>
                  <w:noWrap w:val="0"/>
                  <w:vAlign w:val="center"/>
                </w:tcPr>
                <w:p w14:paraId="52E08B11">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厂界东</w:t>
                  </w:r>
                  <w:r>
                    <w:rPr>
                      <w:rFonts w:hint="default"/>
                      <w:szCs w:val="22"/>
                      <w:lang w:val="en-US" w:eastAsia="zh-CN"/>
                    </w:rPr>
                    <w:t>侧</w:t>
                  </w:r>
                </w:p>
              </w:tc>
              <w:tc>
                <w:tcPr>
                  <w:tcW w:w="522" w:type="pct"/>
                  <w:noWrap w:val="0"/>
                  <w:vAlign w:val="center"/>
                </w:tcPr>
                <w:p w14:paraId="3E0B40AE">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53</w:t>
                  </w:r>
                </w:p>
              </w:tc>
              <w:tc>
                <w:tcPr>
                  <w:tcW w:w="522" w:type="pct"/>
                  <w:noWrap w:val="0"/>
                  <w:vAlign w:val="center"/>
                </w:tcPr>
                <w:p w14:paraId="00F4BCC2">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43</w:t>
                  </w:r>
                </w:p>
              </w:tc>
              <w:tc>
                <w:tcPr>
                  <w:tcW w:w="556" w:type="pct"/>
                  <w:vMerge w:val="restart"/>
                  <w:noWrap w:val="0"/>
                  <w:vAlign w:val="center"/>
                </w:tcPr>
                <w:p w14:paraId="6DC07D1C">
                  <w:pPr>
                    <w:pStyle w:val="38"/>
                    <w:keepNext w:val="0"/>
                    <w:keepLines w:val="0"/>
                    <w:widowControl/>
                    <w:suppressLineNumbers w:val="0"/>
                    <w:bidi w:val="0"/>
                    <w:spacing w:before="0" w:beforeAutospacing="0" w:after="0" w:afterAutospacing="0"/>
                    <w:ind w:left="0" w:right="0"/>
                    <w:rPr>
                      <w:rFonts w:hint="default"/>
                      <w:szCs w:val="22"/>
                      <w:lang w:val="en-US"/>
                    </w:rPr>
                  </w:pPr>
                  <w:r>
                    <w:rPr>
                      <w:rFonts w:hint="eastAsia"/>
                      <w:szCs w:val="22"/>
                      <w:lang w:val="en-US" w:eastAsia="zh-CN"/>
                    </w:rPr>
                    <w:t>65</w:t>
                  </w:r>
                </w:p>
              </w:tc>
              <w:tc>
                <w:tcPr>
                  <w:tcW w:w="569" w:type="pct"/>
                  <w:vMerge w:val="restart"/>
                  <w:noWrap w:val="0"/>
                  <w:vAlign w:val="center"/>
                </w:tcPr>
                <w:p w14:paraId="2EC769F0">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55</w:t>
                  </w:r>
                </w:p>
              </w:tc>
              <w:tc>
                <w:tcPr>
                  <w:tcW w:w="679" w:type="pct"/>
                  <w:noWrap w:val="0"/>
                  <w:vAlign w:val="center"/>
                </w:tcPr>
                <w:p w14:paraId="714134C5">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达标</w:t>
                  </w:r>
                </w:p>
              </w:tc>
              <w:tc>
                <w:tcPr>
                  <w:tcW w:w="1157" w:type="dxa"/>
                  <w:shd w:val="clear" w:color="auto" w:fill="auto"/>
                  <w:noWrap w:val="0"/>
                  <w:vAlign w:val="center"/>
                </w:tcPr>
                <w:p w14:paraId="6487DB08">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rPr>
                    <w:t>达标</w:t>
                  </w:r>
                </w:p>
              </w:tc>
            </w:tr>
            <w:tr w14:paraId="5C3A6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noWrap w:val="0"/>
                  <w:vAlign w:val="center"/>
                </w:tcPr>
                <w:p w14:paraId="4E828B9F">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2</w:t>
                  </w:r>
                </w:p>
              </w:tc>
              <w:tc>
                <w:tcPr>
                  <w:tcW w:w="911" w:type="pct"/>
                  <w:noWrap w:val="0"/>
                  <w:vAlign w:val="center"/>
                </w:tcPr>
                <w:p w14:paraId="7FCB1581">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厂界南</w:t>
                  </w:r>
                  <w:r>
                    <w:rPr>
                      <w:rFonts w:hint="default"/>
                      <w:szCs w:val="22"/>
                      <w:lang w:val="en-US" w:eastAsia="zh-CN"/>
                    </w:rPr>
                    <w:t>侧</w:t>
                  </w:r>
                </w:p>
              </w:tc>
              <w:tc>
                <w:tcPr>
                  <w:tcW w:w="522" w:type="pct"/>
                  <w:noWrap w:val="0"/>
                  <w:vAlign w:val="center"/>
                </w:tcPr>
                <w:p w14:paraId="018ED738">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63</w:t>
                  </w:r>
                </w:p>
              </w:tc>
              <w:tc>
                <w:tcPr>
                  <w:tcW w:w="522" w:type="pct"/>
                  <w:noWrap w:val="0"/>
                  <w:vAlign w:val="center"/>
                </w:tcPr>
                <w:p w14:paraId="43B77943">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53</w:t>
                  </w:r>
                </w:p>
              </w:tc>
              <w:tc>
                <w:tcPr>
                  <w:tcW w:w="556" w:type="pct"/>
                  <w:vMerge w:val="continue"/>
                  <w:noWrap w:val="0"/>
                  <w:vAlign w:val="center"/>
                </w:tcPr>
                <w:p w14:paraId="4E3F54F7">
                  <w:pPr>
                    <w:pStyle w:val="38"/>
                    <w:keepNext w:val="0"/>
                    <w:keepLines w:val="0"/>
                    <w:widowControl/>
                    <w:suppressLineNumbers w:val="0"/>
                    <w:bidi w:val="0"/>
                    <w:spacing w:before="0" w:beforeAutospacing="0" w:after="0" w:afterAutospacing="0"/>
                    <w:ind w:left="0" w:right="0"/>
                    <w:rPr>
                      <w:rFonts w:hint="default"/>
                      <w:szCs w:val="22"/>
                    </w:rPr>
                  </w:pPr>
                </w:p>
              </w:tc>
              <w:tc>
                <w:tcPr>
                  <w:tcW w:w="569" w:type="pct"/>
                  <w:vMerge w:val="continue"/>
                  <w:noWrap w:val="0"/>
                  <w:vAlign w:val="center"/>
                </w:tcPr>
                <w:p w14:paraId="72267817">
                  <w:pPr>
                    <w:pStyle w:val="38"/>
                    <w:keepNext w:val="0"/>
                    <w:keepLines w:val="0"/>
                    <w:widowControl/>
                    <w:suppressLineNumbers w:val="0"/>
                    <w:bidi w:val="0"/>
                    <w:spacing w:before="0" w:beforeAutospacing="0" w:after="0" w:afterAutospacing="0"/>
                    <w:ind w:left="0" w:right="0"/>
                    <w:rPr>
                      <w:rFonts w:hint="default"/>
                      <w:szCs w:val="22"/>
                    </w:rPr>
                  </w:pPr>
                </w:p>
              </w:tc>
              <w:tc>
                <w:tcPr>
                  <w:tcW w:w="679" w:type="pct"/>
                  <w:noWrap w:val="0"/>
                  <w:vAlign w:val="center"/>
                </w:tcPr>
                <w:p w14:paraId="07463596">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达标</w:t>
                  </w:r>
                </w:p>
              </w:tc>
              <w:tc>
                <w:tcPr>
                  <w:tcW w:w="1157" w:type="dxa"/>
                  <w:shd w:val="clear" w:color="auto" w:fill="auto"/>
                  <w:noWrap w:val="0"/>
                  <w:vAlign w:val="center"/>
                </w:tcPr>
                <w:p w14:paraId="4D448941">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达标</w:t>
                  </w:r>
                </w:p>
              </w:tc>
            </w:tr>
            <w:tr w14:paraId="379433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noWrap w:val="0"/>
                  <w:vAlign w:val="center"/>
                </w:tcPr>
                <w:p w14:paraId="410F13E7">
                  <w:pPr>
                    <w:pStyle w:val="38"/>
                    <w:keepNext w:val="0"/>
                    <w:keepLines w:val="0"/>
                    <w:widowControl/>
                    <w:suppressLineNumbers w:val="0"/>
                    <w:bidi w:val="0"/>
                    <w:spacing w:before="0" w:beforeAutospacing="0" w:after="0" w:afterAutospacing="0"/>
                    <w:ind w:left="0" w:right="0"/>
                    <w:rPr>
                      <w:rFonts w:hint="default"/>
                      <w:szCs w:val="22"/>
                      <w:lang w:eastAsia="zh-CN"/>
                    </w:rPr>
                  </w:pPr>
                  <w:r>
                    <w:rPr>
                      <w:rFonts w:hint="default"/>
                      <w:szCs w:val="22"/>
                      <w:lang w:val="en-US" w:eastAsia="zh-CN"/>
                    </w:rPr>
                    <w:t>3</w:t>
                  </w:r>
                </w:p>
              </w:tc>
              <w:tc>
                <w:tcPr>
                  <w:tcW w:w="911" w:type="pct"/>
                  <w:noWrap w:val="0"/>
                  <w:vAlign w:val="center"/>
                </w:tcPr>
                <w:p w14:paraId="580D8A24">
                  <w:pPr>
                    <w:pStyle w:val="38"/>
                    <w:keepNext w:val="0"/>
                    <w:keepLines w:val="0"/>
                    <w:widowControl/>
                    <w:suppressLineNumbers w:val="0"/>
                    <w:bidi w:val="0"/>
                    <w:spacing w:before="0" w:beforeAutospacing="0" w:after="0" w:afterAutospacing="0"/>
                    <w:ind w:left="0" w:right="0"/>
                    <w:rPr>
                      <w:rFonts w:hint="default"/>
                      <w:szCs w:val="22"/>
                      <w:lang w:eastAsia="zh-CN"/>
                    </w:rPr>
                  </w:pPr>
                  <w:r>
                    <w:rPr>
                      <w:rFonts w:hint="default"/>
                      <w:szCs w:val="22"/>
                    </w:rPr>
                    <w:t>厂界西</w:t>
                  </w:r>
                  <w:r>
                    <w:rPr>
                      <w:rFonts w:hint="default"/>
                      <w:szCs w:val="22"/>
                      <w:lang w:val="en-US" w:eastAsia="zh-CN"/>
                    </w:rPr>
                    <w:t>侧</w:t>
                  </w:r>
                </w:p>
              </w:tc>
              <w:tc>
                <w:tcPr>
                  <w:tcW w:w="522" w:type="pct"/>
                  <w:noWrap w:val="0"/>
                  <w:vAlign w:val="center"/>
                </w:tcPr>
                <w:p w14:paraId="1B434B7D">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63</w:t>
                  </w:r>
                </w:p>
              </w:tc>
              <w:tc>
                <w:tcPr>
                  <w:tcW w:w="522" w:type="pct"/>
                  <w:noWrap w:val="0"/>
                  <w:vAlign w:val="center"/>
                </w:tcPr>
                <w:p w14:paraId="62F375B5">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53</w:t>
                  </w:r>
                </w:p>
              </w:tc>
              <w:tc>
                <w:tcPr>
                  <w:tcW w:w="556" w:type="pct"/>
                  <w:vMerge w:val="continue"/>
                  <w:noWrap w:val="0"/>
                  <w:vAlign w:val="center"/>
                </w:tcPr>
                <w:p w14:paraId="10FF79FF">
                  <w:pPr>
                    <w:pStyle w:val="38"/>
                    <w:keepNext w:val="0"/>
                    <w:keepLines w:val="0"/>
                    <w:widowControl/>
                    <w:suppressLineNumbers w:val="0"/>
                    <w:bidi w:val="0"/>
                    <w:spacing w:before="0" w:beforeAutospacing="0" w:after="0" w:afterAutospacing="0"/>
                    <w:ind w:left="0" w:right="0"/>
                    <w:rPr>
                      <w:rFonts w:hint="default"/>
                      <w:szCs w:val="22"/>
                      <w:lang w:val="en-US" w:eastAsia="zh-CN"/>
                    </w:rPr>
                  </w:pPr>
                </w:p>
              </w:tc>
              <w:tc>
                <w:tcPr>
                  <w:tcW w:w="569" w:type="pct"/>
                  <w:vMerge w:val="continue"/>
                  <w:noWrap w:val="0"/>
                  <w:vAlign w:val="center"/>
                </w:tcPr>
                <w:p w14:paraId="3959F177">
                  <w:pPr>
                    <w:pStyle w:val="38"/>
                    <w:keepNext w:val="0"/>
                    <w:keepLines w:val="0"/>
                    <w:widowControl/>
                    <w:suppressLineNumbers w:val="0"/>
                    <w:bidi w:val="0"/>
                    <w:spacing w:before="0" w:beforeAutospacing="0" w:after="0" w:afterAutospacing="0"/>
                    <w:ind w:left="0" w:right="0"/>
                    <w:rPr>
                      <w:rFonts w:hint="default"/>
                      <w:szCs w:val="22"/>
                      <w:lang w:val="en-US" w:eastAsia="zh-CN"/>
                    </w:rPr>
                  </w:pPr>
                </w:p>
              </w:tc>
              <w:tc>
                <w:tcPr>
                  <w:tcW w:w="679" w:type="pct"/>
                  <w:noWrap w:val="0"/>
                  <w:vAlign w:val="center"/>
                </w:tcPr>
                <w:p w14:paraId="4A34B52F">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达标</w:t>
                  </w:r>
                </w:p>
              </w:tc>
              <w:tc>
                <w:tcPr>
                  <w:tcW w:w="1157" w:type="dxa"/>
                  <w:shd w:val="clear" w:color="auto" w:fill="auto"/>
                  <w:noWrap w:val="0"/>
                  <w:vAlign w:val="center"/>
                </w:tcPr>
                <w:p w14:paraId="068BFE2B">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达标</w:t>
                  </w:r>
                </w:p>
              </w:tc>
            </w:tr>
            <w:tr w14:paraId="6B4AA1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noWrap w:val="0"/>
                  <w:vAlign w:val="center"/>
                </w:tcPr>
                <w:p w14:paraId="27DCDEE8">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4</w:t>
                  </w:r>
                </w:p>
              </w:tc>
              <w:tc>
                <w:tcPr>
                  <w:tcW w:w="911" w:type="pct"/>
                  <w:noWrap w:val="0"/>
                  <w:vAlign w:val="center"/>
                </w:tcPr>
                <w:p w14:paraId="1127242D">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rPr>
                    <w:t>厂界北</w:t>
                  </w:r>
                  <w:r>
                    <w:rPr>
                      <w:rFonts w:hint="default"/>
                      <w:szCs w:val="22"/>
                      <w:lang w:val="en-US" w:eastAsia="zh-CN"/>
                    </w:rPr>
                    <w:t>侧</w:t>
                  </w:r>
                </w:p>
              </w:tc>
              <w:tc>
                <w:tcPr>
                  <w:tcW w:w="522" w:type="pct"/>
                  <w:noWrap w:val="0"/>
                  <w:vAlign w:val="center"/>
                </w:tcPr>
                <w:p w14:paraId="1E5BD388">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54</w:t>
                  </w:r>
                </w:p>
              </w:tc>
              <w:tc>
                <w:tcPr>
                  <w:tcW w:w="522" w:type="pct"/>
                  <w:noWrap w:val="0"/>
                  <w:vAlign w:val="center"/>
                </w:tcPr>
                <w:p w14:paraId="7939EEDC">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44</w:t>
                  </w:r>
                </w:p>
              </w:tc>
              <w:tc>
                <w:tcPr>
                  <w:tcW w:w="556" w:type="pct"/>
                  <w:vMerge w:val="continue"/>
                  <w:noWrap w:val="0"/>
                  <w:vAlign w:val="center"/>
                </w:tcPr>
                <w:p w14:paraId="0170C81D">
                  <w:pPr>
                    <w:pStyle w:val="38"/>
                    <w:keepNext w:val="0"/>
                    <w:keepLines w:val="0"/>
                    <w:widowControl/>
                    <w:suppressLineNumbers w:val="0"/>
                    <w:bidi w:val="0"/>
                    <w:spacing w:before="0" w:beforeAutospacing="0" w:after="0" w:afterAutospacing="0"/>
                    <w:ind w:left="0" w:right="0"/>
                    <w:rPr>
                      <w:rFonts w:hint="default"/>
                      <w:szCs w:val="22"/>
                      <w:lang w:val="en-US" w:eastAsia="zh-CN"/>
                    </w:rPr>
                  </w:pPr>
                </w:p>
              </w:tc>
              <w:tc>
                <w:tcPr>
                  <w:tcW w:w="569" w:type="pct"/>
                  <w:vMerge w:val="continue"/>
                  <w:noWrap w:val="0"/>
                  <w:vAlign w:val="center"/>
                </w:tcPr>
                <w:p w14:paraId="5B1B1B00">
                  <w:pPr>
                    <w:pStyle w:val="38"/>
                    <w:keepNext w:val="0"/>
                    <w:keepLines w:val="0"/>
                    <w:widowControl/>
                    <w:suppressLineNumbers w:val="0"/>
                    <w:bidi w:val="0"/>
                    <w:spacing w:before="0" w:beforeAutospacing="0" w:after="0" w:afterAutospacing="0"/>
                    <w:ind w:left="0" w:right="0"/>
                    <w:rPr>
                      <w:rFonts w:hint="default"/>
                      <w:szCs w:val="22"/>
                      <w:lang w:val="en-US" w:eastAsia="zh-CN"/>
                    </w:rPr>
                  </w:pPr>
                </w:p>
              </w:tc>
              <w:tc>
                <w:tcPr>
                  <w:tcW w:w="679" w:type="pct"/>
                  <w:noWrap w:val="0"/>
                  <w:vAlign w:val="center"/>
                </w:tcPr>
                <w:p w14:paraId="6633F800">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达标</w:t>
                  </w:r>
                </w:p>
              </w:tc>
              <w:tc>
                <w:tcPr>
                  <w:tcW w:w="1157" w:type="dxa"/>
                  <w:shd w:val="clear" w:color="auto" w:fill="auto"/>
                  <w:noWrap w:val="0"/>
                  <w:vAlign w:val="center"/>
                </w:tcPr>
                <w:p w14:paraId="22A8611B">
                  <w:pPr>
                    <w:pStyle w:val="38"/>
                    <w:keepNext w:val="0"/>
                    <w:keepLines w:val="0"/>
                    <w:widowControl/>
                    <w:suppressLineNumbers w:val="0"/>
                    <w:bidi w:val="0"/>
                    <w:spacing w:before="0" w:beforeAutospacing="0" w:after="0" w:afterAutospacing="0"/>
                    <w:ind w:left="0" w:right="0"/>
                    <w:rPr>
                      <w:rFonts w:hint="default" w:ascii="Times New Roman" w:hAnsi="Times New Roman" w:eastAsia="宋体" w:cs="Times New Roman"/>
                      <w:kern w:val="2"/>
                      <w:sz w:val="21"/>
                      <w:szCs w:val="22"/>
                      <w:lang w:val="en-US" w:eastAsia="zh-CN" w:bidi="ar-SA"/>
                    </w:rPr>
                  </w:pPr>
                  <w:r>
                    <w:rPr>
                      <w:rFonts w:hint="default"/>
                      <w:szCs w:val="22"/>
                    </w:rPr>
                    <w:t>达标</w:t>
                  </w:r>
                </w:p>
              </w:tc>
            </w:tr>
          </w:tbl>
          <w:p w14:paraId="32D1B8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sz w:val="24"/>
                <w:highlight w:val="none"/>
              </w:rPr>
              <w:t>厂界达标分析：</w:t>
            </w:r>
            <w:r>
              <w:rPr>
                <w:rFonts w:hint="eastAsia" w:ascii="Times New Roman" w:hAnsi="Times New Roman" w:eastAsia="宋体" w:cs="Times New Roman"/>
                <w:color w:val="auto"/>
                <w:sz w:val="24"/>
                <w:highlight w:val="none"/>
                <w:lang w:val="en-US" w:eastAsia="zh-CN"/>
              </w:rPr>
              <w:t>项目不涉及夜间生产，</w:t>
            </w:r>
            <w:r>
              <w:rPr>
                <w:rFonts w:hint="default" w:ascii="Times New Roman" w:hAnsi="Times New Roman" w:eastAsia="宋体" w:cs="Times New Roman"/>
                <w:color w:val="auto"/>
                <w:sz w:val="24"/>
                <w:highlight w:val="none"/>
              </w:rPr>
              <w:t>根据表</w:t>
            </w:r>
            <w:r>
              <w:rPr>
                <w:rFonts w:hint="default" w:ascii="Times New Roman" w:hAnsi="Times New Roman" w:eastAsia="宋体" w:cs="Times New Roman"/>
                <w:color w:val="auto"/>
                <w:sz w:val="24"/>
                <w:highlight w:val="none"/>
                <w:lang w:val="en-US" w:eastAsia="zh-CN"/>
              </w:rPr>
              <w:t>4.</w:t>
            </w: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rPr>
              <w:t>预测结果表明，项目主要噪声源在采取有效的降噪措施前提下，项目厂界噪声均可满足</w:t>
            </w:r>
            <w:r>
              <w:rPr>
                <w:rFonts w:hint="default" w:ascii="Times New Roman" w:hAnsi="Times New Roman" w:eastAsia="宋体" w:cs="Times New Roman"/>
                <w:color w:val="auto"/>
                <w:kern w:val="0"/>
                <w:sz w:val="24"/>
                <w:szCs w:val="24"/>
                <w:highlight w:val="none"/>
                <w:lang w:val="en-US" w:eastAsia="zh-CN" w:bidi="ar"/>
              </w:rPr>
              <w:t>《工业企业厂界环境噪声排放标准》（GB12348-2008）中的</w:t>
            </w:r>
            <w:r>
              <w:rPr>
                <w:rFonts w:hint="eastAsia"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类标准，即昼间≤</w:t>
            </w:r>
            <w:r>
              <w:rPr>
                <w:rFonts w:hint="eastAsia" w:cs="Times New Roman"/>
                <w:color w:val="auto"/>
                <w:kern w:val="0"/>
                <w:sz w:val="24"/>
                <w:szCs w:val="24"/>
                <w:highlight w:val="none"/>
                <w:lang w:val="en-US" w:eastAsia="zh-CN" w:bidi="ar"/>
              </w:rPr>
              <w:t>65</w:t>
            </w:r>
            <w:r>
              <w:rPr>
                <w:rFonts w:hint="default" w:ascii="Times New Roman" w:hAnsi="Times New Roman" w:eastAsia="宋体" w:cs="Times New Roman"/>
                <w:color w:val="auto"/>
                <w:kern w:val="0"/>
                <w:sz w:val="24"/>
                <w:szCs w:val="24"/>
                <w:highlight w:val="none"/>
                <w:lang w:val="en-US" w:eastAsia="zh-CN" w:bidi="ar"/>
              </w:rPr>
              <w:t>dB</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A</w:t>
            </w:r>
            <w:r>
              <w:rPr>
                <w:rFonts w:hint="eastAsia" w:cs="Times New Roman"/>
                <w:color w:val="auto"/>
                <w:kern w:val="0"/>
                <w:sz w:val="24"/>
                <w:szCs w:val="24"/>
                <w:highlight w:val="none"/>
                <w:lang w:val="en-US" w:eastAsia="zh-CN" w:bidi="ar"/>
              </w:rPr>
              <w:t>），夜间</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55</w:t>
            </w:r>
            <w:r>
              <w:rPr>
                <w:rFonts w:hint="default" w:ascii="Times New Roman" w:hAnsi="Times New Roman" w:eastAsia="宋体" w:cs="Times New Roman"/>
                <w:color w:val="auto"/>
                <w:kern w:val="0"/>
                <w:sz w:val="24"/>
                <w:szCs w:val="24"/>
                <w:highlight w:val="none"/>
                <w:lang w:val="en-US" w:eastAsia="zh-CN" w:bidi="ar"/>
              </w:rPr>
              <w:t>dB</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A</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w:t>
            </w:r>
          </w:p>
          <w:p w14:paraId="11B457E0">
            <w:pPr>
              <w:keepNext w:val="0"/>
              <w:keepLines w:val="0"/>
              <w:widowControl/>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0"/>
                <w:sz w:val="24"/>
                <w:szCs w:val="24"/>
                <w:lang w:val="zh-CN" w:eastAsia="zh-CN" w:bidi="ar-SA"/>
              </w:rPr>
            </w:pPr>
            <w:r>
              <w:rPr>
                <w:rFonts w:hint="eastAsia" w:ascii="Times New Roman" w:hAnsi="Times New Roman" w:eastAsia="宋体" w:cs="Times New Roman"/>
                <w:color w:val="auto"/>
                <w:sz w:val="24"/>
                <w:highlight w:val="none"/>
                <w:lang w:val="en-US" w:eastAsia="zh-CN"/>
              </w:rPr>
              <w:t>（6）</w:t>
            </w:r>
            <w:r>
              <w:rPr>
                <w:rFonts w:hint="eastAsia" w:ascii="Times New Roman" w:hAnsi="Times New Roman" w:eastAsia="宋体" w:cs="Times New Roman"/>
                <w:color w:val="auto"/>
                <w:kern w:val="0"/>
                <w:sz w:val="24"/>
                <w:szCs w:val="24"/>
                <w:lang w:val="zh-CN" w:eastAsia="zh-CN" w:bidi="ar-SA"/>
              </w:rPr>
              <w:t>敏感点噪声预测结果分析</w:t>
            </w:r>
          </w:p>
          <w:p w14:paraId="3B0075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lang w:val="zh-CN"/>
              </w:rPr>
              <w:t>根据现场勘查，项目周边</w:t>
            </w:r>
            <w:r>
              <w:rPr>
                <w:rFonts w:hint="eastAsia" w:ascii="Times New Roman" w:hAnsi="Times New Roman" w:eastAsia="宋体" w:cs="Times New Roman"/>
                <w:color w:val="auto"/>
                <w:sz w:val="24"/>
              </w:rPr>
              <w:t>50m范围内无声环境保护目标</w:t>
            </w:r>
            <w:r>
              <w:rPr>
                <w:rFonts w:hint="eastAsia" w:ascii="Times New Roman" w:hAnsi="Times New Roman" w:eastAsia="宋体" w:cs="Times New Roman"/>
                <w:color w:val="auto"/>
                <w:sz w:val="24"/>
                <w:lang w:val="zh-CN"/>
              </w:rPr>
              <w:t>。</w:t>
            </w:r>
          </w:p>
          <w:p w14:paraId="126066FD">
            <w:pPr>
              <w:pStyle w:val="4"/>
              <w:suppressLineNumbers w:val="0"/>
              <w:bidi w:val="0"/>
              <w:spacing w:before="0" w:beforeAutospacing="0" w:after="0" w:afterAutospacing="0"/>
              <w:ind w:left="0" w:right="0"/>
              <w:rPr>
                <w:rFonts w:hint="default"/>
                <w:color w:val="auto"/>
                <w:szCs w:val="24"/>
                <w:highlight w:val="none"/>
                <w:lang w:val="en-US"/>
              </w:rPr>
            </w:pPr>
            <w:r>
              <w:rPr>
                <w:rFonts w:hint="default" w:ascii="Times New Roman" w:hAnsi="Times New Roman" w:eastAsia="宋体" w:cs="Times New Roman"/>
                <w:b/>
                <w:bCs/>
                <w:color w:val="auto"/>
                <w:kern w:val="0"/>
                <w:sz w:val="24"/>
                <w:highlight w:val="none"/>
              </w:rPr>
              <w:t>运营期噪声防治措施</w:t>
            </w:r>
            <w:r>
              <w:rPr>
                <w:rFonts w:hint="eastAsia" w:ascii="Times New Roman" w:hAnsi="Times New Roman" w:eastAsia="宋体" w:cs="Times New Roman"/>
                <w:b/>
                <w:bCs/>
                <w:color w:val="auto"/>
                <w:kern w:val="0"/>
                <w:sz w:val="28"/>
                <w:szCs w:val="28"/>
                <w:highlight w:val="none"/>
                <w:lang w:val="en-US" w:eastAsia="zh-CN" w:bidi="ar"/>
              </w:rPr>
              <w:t xml:space="preserve"> </w:t>
            </w:r>
          </w:p>
          <w:p w14:paraId="03225504">
            <w:pPr>
              <w:keepNext w:val="0"/>
              <w:keepLines w:val="0"/>
              <w:suppressLineNumbers w:val="0"/>
              <w:bidi w:val="0"/>
              <w:spacing w:before="0" w:beforeAutospacing="0" w:after="0" w:afterAutospacing="0"/>
              <w:ind w:left="0" w:right="0"/>
              <w:rPr>
                <w:rFonts w:hint="eastAsia"/>
              </w:rPr>
            </w:pPr>
            <w:r>
              <w:rPr>
                <w:rFonts w:hint="eastAsia"/>
              </w:rPr>
              <w:t>为了确保厂界噪声达到《工业企业厂界环境噪声排放标准》</w:t>
            </w:r>
            <w:r>
              <w:rPr>
                <w:rFonts w:hint="eastAsia"/>
                <w:lang w:val="en-US" w:eastAsia="zh-CN"/>
              </w:rPr>
              <w:t>（</w:t>
            </w:r>
            <w:r>
              <w:rPr>
                <w:rFonts w:hint="eastAsia"/>
              </w:rPr>
              <w:t>GB 12348-2008</w:t>
            </w:r>
            <w:r>
              <w:rPr>
                <w:rFonts w:hint="eastAsia"/>
                <w:lang w:val="en-US" w:eastAsia="zh-CN"/>
              </w:rPr>
              <w:t>）</w:t>
            </w:r>
            <w:r>
              <w:rPr>
                <w:rFonts w:hint="eastAsia"/>
              </w:rPr>
              <w:t>中</w:t>
            </w:r>
            <w:r>
              <w:rPr>
                <w:rFonts w:hint="eastAsia"/>
                <w:lang w:val="en-US" w:eastAsia="zh-CN"/>
              </w:rPr>
              <w:t>3</w:t>
            </w:r>
            <w:r>
              <w:rPr>
                <w:rFonts w:hint="eastAsia"/>
              </w:rPr>
              <w:t>类标准，本报告建议采用以下降噪措施：</w:t>
            </w:r>
          </w:p>
          <w:p w14:paraId="18A6A421">
            <w:pPr>
              <w:keepNext w:val="0"/>
              <w:keepLines w:val="0"/>
              <w:suppressLineNumbers w:val="0"/>
              <w:bidi w:val="0"/>
              <w:spacing w:before="0" w:beforeAutospacing="0" w:after="0" w:afterAutospacing="0"/>
              <w:ind w:left="0" w:right="0"/>
              <w:rPr>
                <w:rFonts w:hint="eastAsia"/>
              </w:rPr>
            </w:pPr>
            <w:r>
              <w:rPr>
                <w:rFonts w:hint="eastAsia"/>
              </w:rPr>
              <w:t>（1）项目选用低噪声生产设备，从源头上降低噪声源强。</w:t>
            </w:r>
          </w:p>
          <w:p w14:paraId="5D46E728">
            <w:pPr>
              <w:keepNext w:val="0"/>
              <w:keepLines w:val="0"/>
              <w:suppressLineNumbers w:val="0"/>
              <w:bidi w:val="0"/>
              <w:spacing w:before="0" w:beforeAutospacing="0" w:after="0" w:afterAutospacing="0"/>
              <w:ind w:left="0" w:right="0"/>
              <w:rPr>
                <w:rFonts w:hint="eastAsia"/>
              </w:rPr>
            </w:pPr>
            <w:r>
              <w:rPr>
                <w:rFonts w:hint="eastAsia"/>
              </w:rPr>
              <w:t>（2）加强车间内的噪声治理，对厂区高噪声设备采用隔声、消声、吸声、减振等有效措施，以有效降低车间噪声。</w:t>
            </w:r>
          </w:p>
          <w:p w14:paraId="3E54B62E">
            <w:pPr>
              <w:keepNext w:val="0"/>
              <w:keepLines w:val="0"/>
              <w:suppressLineNumbers w:val="0"/>
              <w:bidi w:val="0"/>
              <w:spacing w:before="0" w:beforeAutospacing="0" w:after="0" w:afterAutospacing="0"/>
              <w:ind w:left="0" w:right="0"/>
              <w:rPr>
                <w:rFonts w:hint="eastAsia"/>
                <w:lang w:eastAsia="zh-CN"/>
              </w:rPr>
            </w:pPr>
            <w:r>
              <w:rPr>
                <w:rFonts w:hint="eastAsia"/>
              </w:rPr>
              <w:t>（3）加强对设备的管理和维护，在有关环保人员的统一管理下，定期检查、监测，发现噪声超标要及时治理并增加相关操作岗位工人的个体防护</w:t>
            </w:r>
            <w:r>
              <w:rPr>
                <w:rFonts w:hint="eastAsia"/>
                <w:lang w:eastAsia="zh-CN"/>
              </w:rPr>
              <w:t>。</w:t>
            </w:r>
          </w:p>
          <w:p w14:paraId="6D3AA85A">
            <w:pPr>
              <w:keepNext w:val="0"/>
              <w:keepLines w:val="0"/>
              <w:suppressLineNumbers w:val="0"/>
              <w:bidi w:val="0"/>
              <w:spacing w:before="0" w:beforeAutospacing="0" w:after="0" w:afterAutospacing="0"/>
              <w:ind w:left="0" w:right="0"/>
              <w:rPr>
                <w:rFonts w:hint="eastAsia"/>
                <w:lang w:eastAsia="zh-CN"/>
              </w:rPr>
            </w:pPr>
            <w:r>
              <w:rPr>
                <w:rFonts w:hint="eastAsia"/>
              </w:rPr>
              <w:t>（</w:t>
            </w:r>
            <w:r>
              <w:rPr>
                <w:rFonts w:hint="eastAsia"/>
                <w:lang w:val="en-US" w:eastAsia="zh-CN"/>
              </w:rPr>
              <w:t>4</w:t>
            </w:r>
            <w:r>
              <w:rPr>
                <w:rFonts w:hint="eastAsia"/>
              </w:rPr>
              <w:t>）</w:t>
            </w:r>
            <w:r>
              <w:rPr>
                <w:rFonts w:hint="eastAsia"/>
                <w:lang w:eastAsia="zh-CN"/>
              </w:rPr>
              <w:t>车辆运输物料时，在靠近居民点等对声环境质量要求较高的地方，应减小车速，禁止或尽量少鸣喇叭。</w:t>
            </w:r>
          </w:p>
          <w:p w14:paraId="2B7F8DB7">
            <w:pPr>
              <w:keepNext w:val="0"/>
              <w:keepLines w:val="0"/>
              <w:suppressLineNumbers w:val="0"/>
              <w:bidi w:val="0"/>
              <w:spacing w:before="0" w:beforeAutospacing="0" w:after="0" w:afterAutospacing="0"/>
              <w:ind w:left="0" w:right="0"/>
              <w:rPr>
                <w:rFonts w:hint="eastAsia"/>
              </w:rPr>
            </w:pPr>
            <w:r>
              <w:rPr>
                <w:rFonts w:hint="eastAsia"/>
              </w:rPr>
              <w:t>通过以上降噪措施，有效降低设备噪声对厂界影响程度，确保厂界噪声符合《工业企业厂界环境噪声排放标准》</w:t>
            </w:r>
            <w:r>
              <w:rPr>
                <w:rFonts w:hint="eastAsia"/>
                <w:lang w:val="en-US" w:eastAsia="zh-CN"/>
              </w:rPr>
              <w:t>（</w:t>
            </w:r>
            <w:r>
              <w:rPr>
                <w:rFonts w:hint="eastAsia"/>
              </w:rPr>
              <w:t>GB12348-2008</w:t>
            </w:r>
            <w:r>
              <w:rPr>
                <w:rFonts w:hint="eastAsia"/>
                <w:lang w:val="en-US" w:eastAsia="zh-CN"/>
              </w:rPr>
              <w:t>）</w:t>
            </w:r>
            <w:r>
              <w:rPr>
                <w:rFonts w:hint="eastAsia"/>
              </w:rPr>
              <w:t>中的</w:t>
            </w:r>
            <w:r>
              <w:rPr>
                <w:rFonts w:hint="eastAsia"/>
                <w:lang w:val="en-US" w:eastAsia="zh-CN"/>
              </w:rPr>
              <w:t>3</w:t>
            </w:r>
            <w:r>
              <w:rPr>
                <w:rFonts w:hint="eastAsia"/>
              </w:rPr>
              <w:t>类标准</w:t>
            </w:r>
            <w:r>
              <w:rPr>
                <w:rFonts w:hint="eastAsia"/>
                <w:lang w:eastAsia="zh-CN"/>
              </w:rPr>
              <w:t>，</w:t>
            </w:r>
            <w:r>
              <w:rPr>
                <w:rFonts w:hint="eastAsia"/>
              </w:rPr>
              <w:t>措施可行。</w:t>
            </w:r>
          </w:p>
          <w:p w14:paraId="20097CB1">
            <w:pPr>
              <w:pStyle w:val="3"/>
              <w:keepNext w:val="0"/>
              <w:keepLines w:val="0"/>
              <w:suppressLineNumbers w:val="0"/>
              <w:bidi w:val="0"/>
              <w:spacing w:before="0" w:beforeAutospacing="0" w:after="0" w:afterAutospacing="0"/>
              <w:ind w:left="0" w:right="0"/>
              <w:rPr>
                <w:rFonts w:hint="default"/>
              </w:rPr>
            </w:pPr>
            <w:bookmarkStart w:id="30" w:name="_Toc19128"/>
            <w:bookmarkStart w:id="31" w:name="_Toc31957"/>
            <w:bookmarkStart w:id="32" w:name="_Toc3323"/>
            <w:r>
              <w:rPr>
                <w:rFonts w:hint="default"/>
              </w:rPr>
              <w:t>运营期固体废物影响分析和污染防治措施</w:t>
            </w:r>
            <w:bookmarkEnd w:id="30"/>
            <w:bookmarkEnd w:id="31"/>
            <w:bookmarkEnd w:id="32"/>
          </w:p>
          <w:p w14:paraId="2330790B">
            <w:pPr>
              <w:pStyle w:val="4"/>
              <w:suppressLineNumbers w:val="0"/>
              <w:bidi w:val="0"/>
              <w:spacing w:before="0" w:beforeAutospacing="0" w:after="0" w:afterAutospacing="0"/>
              <w:ind w:left="0" w:right="0"/>
              <w:rPr>
                <w:rFonts w:hint="eastAsia"/>
              </w:rPr>
            </w:pPr>
            <w:r>
              <w:rPr>
                <w:rFonts w:hint="default"/>
              </w:rPr>
              <w:t>运营期</w:t>
            </w:r>
            <w:r>
              <w:rPr>
                <w:rFonts w:hint="eastAsia"/>
                <w:lang w:val="en-US" w:eastAsia="zh-CN"/>
              </w:rPr>
              <w:t>固体</w:t>
            </w:r>
            <w:r>
              <w:rPr>
                <w:rFonts w:hint="default"/>
              </w:rPr>
              <w:t>废物源强核算</w:t>
            </w:r>
          </w:p>
          <w:p w14:paraId="4B2D83DC">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val="en-US" w:eastAsia="zh-CN"/>
              </w:rPr>
              <w:t>本项目</w:t>
            </w:r>
            <w:r>
              <w:rPr>
                <w:rFonts w:hint="eastAsia" w:ascii="Times New Roman" w:hAnsi="Times New Roman" w:eastAsia="宋体" w:cs="Times New Roman"/>
                <w:bCs/>
                <w:color w:val="auto"/>
                <w:sz w:val="24"/>
                <w:highlight w:val="none"/>
              </w:rPr>
              <w:t>运营期</w:t>
            </w:r>
            <w:r>
              <w:rPr>
                <w:rFonts w:hint="eastAsia" w:ascii="Times New Roman" w:hAnsi="Times New Roman" w:eastAsia="宋体" w:cs="Times New Roman"/>
                <w:bCs/>
                <w:color w:val="auto"/>
                <w:sz w:val="24"/>
                <w:highlight w:val="none"/>
                <w:lang w:val="en-US" w:eastAsia="zh-CN"/>
              </w:rPr>
              <w:t>固体废物主要为不合格成品、废油性漆桶、废水性漆桶</w:t>
            </w:r>
            <w:r>
              <w:rPr>
                <w:rFonts w:hint="eastAsia"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bCs/>
                <w:color w:val="auto"/>
                <w:sz w:val="24"/>
                <w:highlight w:val="none"/>
                <w:lang w:val="en-US" w:eastAsia="zh-CN"/>
              </w:rPr>
              <w:t>废漆渣、水帘柜废液、</w:t>
            </w:r>
            <w:r>
              <w:rPr>
                <w:rFonts w:hint="eastAsia" w:ascii="Times New Roman" w:hAnsi="Times New Roman" w:eastAsia="宋体" w:cs="Times New Roman"/>
                <w:color w:val="auto"/>
                <w:kern w:val="2"/>
                <w:sz w:val="24"/>
                <w:szCs w:val="24"/>
                <w:lang w:val="en-US" w:eastAsia="zh-CN" w:bidi="ar-SA"/>
              </w:rPr>
              <w:t>废过滤棉、</w:t>
            </w:r>
            <w:r>
              <w:rPr>
                <w:rFonts w:hint="eastAsia" w:ascii="Times New Roman" w:hAnsi="Times New Roman" w:eastAsia="宋体" w:cs="Times New Roman"/>
                <w:bCs/>
                <w:color w:val="auto"/>
                <w:sz w:val="24"/>
                <w:highlight w:val="none"/>
                <w:lang w:val="en-US" w:eastAsia="zh-CN"/>
              </w:rPr>
              <w:t>废活性炭、废机油及</w:t>
            </w:r>
            <w:r>
              <w:rPr>
                <w:rFonts w:hint="eastAsia" w:ascii="Times New Roman" w:hAnsi="Times New Roman" w:eastAsia="宋体" w:cs="Times New Roman"/>
                <w:color w:val="auto"/>
                <w:kern w:val="2"/>
                <w:sz w:val="24"/>
                <w:szCs w:val="24"/>
                <w:lang w:val="en-US" w:eastAsia="zh-CN" w:bidi="ar-SA"/>
              </w:rPr>
              <w:t>生活垃圾</w:t>
            </w:r>
            <w:r>
              <w:rPr>
                <w:rFonts w:hint="eastAsia" w:ascii="Times New Roman" w:hAnsi="Times New Roman" w:eastAsia="宋体" w:cs="Times New Roman"/>
                <w:bCs/>
                <w:color w:val="auto"/>
                <w:sz w:val="24"/>
                <w:highlight w:val="none"/>
              </w:rPr>
              <w:t>。</w:t>
            </w:r>
          </w:p>
          <w:p w14:paraId="694E1E6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（1）一般工业固废</w:t>
            </w:r>
          </w:p>
          <w:p w14:paraId="47B18D4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ja-JP"/>
              </w:rPr>
            </w:pPr>
            <w:r>
              <w:rPr>
                <w:rFonts w:hint="eastAsia" w:ascii="Times New Roman" w:hAnsi="Times New Roman" w:eastAsia="宋体" w:cs="Times New Roman"/>
                <w:bCs/>
                <w:color w:val="auto"/>
                <w:sz w:val="24"/>
                <w:highlight w:val="none"/>
              </w:rPr>
              <w:t>①</w:t>
            </w:r>
            <w:r>
              <w:rPr>
                <w:rFonts w:hint="eastAsia" w:ascii="Times New Roman" w:hAnsi="Times New Roman" w:eastAsia="宋体" w:cs="Times New Roman"/>
                <w:color w:val="auto"/>
                <w:kern w:val="2"/>
                <w:sz w:val="24"/>
                <w:szCs w:val="24"/>
                <w:lang w:val="en-US" w:eastAsia="zh-CN" w:bidi="ar-SA"/>
              </w:rPr>
              <w:t>不合格成品</w:t>
            </w:r>
          </w:p>
          <w:p w14:paraId="105FF004">
            <w:pPr>
              <w:keepNext w:val="0"/>
              <w:keepLines w:val="0"/>
              <w:suppressLineNumbers w:val="0"/>
              <w:spacing w:before="0" w:beforeAutospacing="0" w:after="0" w:afterAutospacing="0" w:line="360" w:lineRule="auto"/>
              <w:ind w:left="0" w:right="0" w:firstLine="480" w:firstLineChars="200"/>
              <w:rPr>
                <w:rFonts w:hint="default"/>
                <w:color w:val="auto"/>
              </w:rPr>
            </w:pPr>
            <w:r>
              <w:rPr>
                <w:rFonts w:hint="eastAsia" w:ascii="Times New Roman" w:hAnsi="Times New Roman" w:eastAsia="宋体" w:cs="Times New Roman"/>
                <w:bCs/>
                <w:color w:val="auto"/>
                <w:sz w:val="24"/>
                <w:highlight w:val="none"/>
                <w:lang w:val="en-US" w:eastAsia="ja-JP"/>
              </w:rPr>
              <w:t>本项目</w:t>
            </w:r>
            <w:r>
              <w:rPr>
                <w:rFonts w:hint="eastAsia" w:ascii="Times New Roman" w:hAnsi="Times New Roman" w:eastAsia="宋体" w:cs="Times New Roman"/>
                <w:bCs/>
                <w:color w:val="auto"/>
                <w:sz w:val="24"/>
                <w:highlight w:val="none"/>
                <w:lang w:val="en-US" w:eastAsia="zh-CN"/>
              </w:rPr>
              <w:t>检验工序产生</w:t>
            </w:r>
            <w:r>
              <w:rPr>
                <w:rFonts w:hint="eastAsia" w:ascii="Times New Roman" w:hAnsi="Times New Roman" w:eastAsia="宋体" w:cs="Times New Roman"/>
                <w:bCs/>
                <w:color w:val="auto"/>
                <w:sz w:val="24"/>
                <w:szCs w:val="24"/>
                <w:highlight w:val="none"/>
                <w:lang w:val="en-US" w:eastAsia="zh-CN"/>
              </w:rPr>
              <w:t>不合格成品，根据建设单位提供的资料可知，不合格成品约为待加工件的3%，年产</w:t>
            </w:r>
            <w:r>
              <w:rPr>
                <w:rFonts w:hint="eastAsia"/>
                <w:color w:val="auto"/>
                <w:sz w:val="24"/>
                <w:szCs w:val="24"/>
                <w:lang w:val="en-US" w:eastAsia="zh-CN"/>
              </w:rPr>
              <w:t>铝合金不合格产品0.618万套，塑胶件不合格产品0.927万套，钣金件不合格产品0.309万套，</w:t>
            </w:r>
            <w:r>
              <w:rPr>
                <w:rFonts w:hint="eastAsia" w:ascii="Times New Roman" w:hAnsi="Times New Roman" w:eastAsia="宋体" w:cs="Times New Roman"/>
                <w:bCs/>
                <w:color w:val="auto"/>
                <w:sz w:val="24"/>
                <w:szCs w:val="24"/>
                <w:highlight w:val="none"/>
                <w:lang w:val="en-US" w:eastAsia="zh-CN"/>
              </w:rPr>
              <w:t>即不合格成品产生量为</w:t>
            </w:r>
            <w:r>
              <w:rPr>
                <w:rFonts w:hint="eastAsia" w:cs="Times New Roman"/>
                <w:bCs/>
                <w:color w:val="auto"/>
                <w:sz w:val="24"/>
                <w:szCs w:val="24"/>
                <w:highlight w:val="none"/>
                <w:lang w:val="en-US" w:eastAsia="zh-CN"/>
              </w:rPr>
              <w:t>1.854</w:t>
            </w:r>
            <w:r>
              <w:rPr>
                <w:rFonts w:hint="eastAsia" w:ascii="Times New Roman" w:hAnsi="Times New Roman" w:eastAsia="宋体" w:cs="Times New Roman"/>
                <w:bCs/>
                <w:color w:val="auto"/>
                <w:sz w:val="24"/>
                <w:szCs w:val="24"/>
                <w:highlight w:val="none"/>
                <w:lang w:val="en-US" w:eastAsia="zh-CN"/>
              </w:rPr>
              <w:t>万套/年，集中收集后退回待加工厂综合利用。</w:t>
            </w:r>
          </w:p>
          <w:p w14:paraId="4A426FE5">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highlight w:val="none"/>
              </w:rPr>
            </w:pPr>
            <w:r>
              <w:rPr>
                <w:rFonts w:hint="default" w:ascii="Times New Roman" w:hAnsi="Times New Roman" w:cs="Times New Roman"/>
                <w:color w:val="auto"/>
                <w:sz w:val="24"/>
                <w:highlight w:val="none"/>
              </w:rPr>
              <w:t>（2）危险废物</w:t>
            </w:r>
          </w:p>
          <w:p w14:paraId="34019C59">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highlight w:val="none"/>
              </w:rPr>
              <w:t>①</w:t>
            </w:r>
            <w:r>
              <w:rPr>
                <w:rFonts w:hint="eastAsia" w:ascii="Times New Roman" w:hAnsi="Times New Roman" w:eastAsia="宋体" w:cs="Times New Roman"/>
                <w:bCs/>
                <w:color w:val="auto"/>
                <w:sz w:val="24"/>
                <w:highlight w:val="none"/>
                <w:lang w:val="en-US" w:eastAsia="zh-CN"/>
              </w:rPr>
              <w:t>水帘柜废液</w:t>
            </w:r>
          </w:p>
          <w:p w14:paraId="3D3D5233">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highlight w:val="none"/>
                <w:lang w:val="en-US" w:eastAsia="zh-CN"/>
              </w:rPr>
              <w:t>根据建设单位提供的资料可知，</w:t>
            </w:r>
            <w:r>
              <w:rPr>
                <w:rFonts w:hint="eastAsia" w:ascii="Times New Roman" w:hAnsi="Times New Roman" w:eastAsia="宋体" w:cs="Times New Roman"/>
                <w:bCs/>
                <w:color w:val="auto"/>
                <w:sz w:val="24"/>
                <w:highlight w:val="none"/>
                <w:lang w:eastAsia="ja-JP"/>
              </w:rPr>
              <w:t>项目水帘柜废液产生量约为</w:t>
            </w:r>
            <w:r>
              <w:rPr>
                <w:rFonts w:hint="eastAsia" w:cs="Times New Roman"/>
                <w:bCs/>
                <w:color w:val="auto"/>
                <w:sz w:val="24"/>
                <w:highlight w:val="none"/>
                <w:lang w:val="en-US" w:eastAsia="zh-CN"/>
              </w:rPr>
              <w:t>1.35</w:t>
            </w:r>
            <w:r>
              <w:rPr>
                <w:rFonts w:hint="eastAsia" w:ascii="Times New Roman" w:hAnsi="Times New Roman" w:eastAsia="宋体" w:cs="Times New Roman"/>
                <w:bCs/>
                <w:color w:val="auto"/>
                <w:sz w:val="24"/>
                <w:highlight w:val="none"/>
                <w:lang w:eastAsia="ja-JP"/>
              </w:rPr>
              <w:t>t/a，根据</w:t>
            </w:r>
            <w:r>
              <w:rPr>
                <w:rFonts w:hint="eastAsia" w:cs="宋体"/>
                <w:color w:val="auto"/>
              </w:rPr>
              <w:t>《国家危险废物名录》（2025年版）</w:t>
            </w:r>
            <w:r>
              <w:rPr>
                <w:rFonts w:hint="eastAsia" w:cs="宋体"/>
                <w:color w:val="auto"/>
                <w:lang w:eastAsia="zh-CN"/>
              </w:rPr>
              <w:t>，</w:t>
            </w:r>
            <w:r>
              <w:rPr>
                <w:rFonts w:hint="eastAsia" w:cs="宋体"/>
                <w:color w:val="auto"/>
                <w:lang w:val="en-US" w:eastAsia="zh-CN"/>
              </w:rPr>
              <w:t>水帘柜废液属于</w:t>
            </w:r>
            <w:r>
              <w:rPr>
                <w:rFonts w:hint="eastAsia" w:cs="宋体"/>
                <w:color w:val="auto"/>
              </w:rPr>
              <w:t>HW12染料、涂料废物</w:t>
            </w:r>
            <w:r>
              <w:rPr>
                <w:rFonts w:hint="eastAsia" w:ascii="Times New Roman" w:hAnsi="Times New Roman" w:eastAsia="宋体" w:cs="Times New Roman"/>
                <w:bCs/>
                <w:color w:val="auto"/>
                <w:sz w:val="24"/>
                <w:highlight w:val="none"/>
                <w:lang w:eastAsia="ja-JP"/>
              </w:rPr>
              <w:t>，废物代码：900-252-12</w:t>
            </w:r>
            <w:r>
              <w:rPr>
                <w:rFonts w:hint="eastAsia" w:cs="Times New Roman"/>
                <w:bCs/>
                <w:color w:val="auto"/>
                <w:sz w:val="24"/>
                <w:highlight w:val="none"/>
                <w:lang w:val="en-US" w:eastAsia="zh-CN"/>
              </w:rPr>
              <w:t xml:space="preserve"> 使用油漆（不包括水性漆）、有机溶剂进行喷漆、上漆过程中通过喷漆雾湿法捕集产生的漆渣，以及喷涂工位和管道清理过程中产生的落地漆渣</w:t>
            </w:r>
            <w:r>
              <w:rPr>
                <w:rFonts w:hint="eastAsia" w:ascii="Times New Roman" w:hAnsi="Times New Roman" w:eastAsia="宋体" w:cs="Times New Roman"/>
                <w:bCs/>
                <w:color w:val="auto"/>
                <w:sz w:val="24"/>
                <w:highlight w:val="none"/>
                <w:lang w:eastAsia="ja-JP"/>
              </w:rPr>
              <w:t>，水帘柜废液</w:t>
            </w:r>
            <w:r>
              <w:rPr>
                <w:rFonts w:hint="default" w:ascii="Times New Roman" w:hAnsi="Times New Roman" w:eastAsia="宋体" w:cs="Times New Roman"/>
                <w:color w:val="auto"/>
                <w:kern w:val="0"/>
                <w:sz w:val="24"/>
                <w:szCs w:val="24"/>
                <w:highlight w:val="none"/>
                <w:lang w:val="en-US" w:eastAsia="zh-CN" w:bidi="ar"/>
              </w:rPr>
              <w:t>妥善收集后</w:t>
            </w:r>
            <w:r>
              <w:rPr>
                <w:rFonts w:hint="eastAsia" w:ascii="Times New Roman" w:hAnsi="Times New Roman" w:eastAsia="宋体" w:cs="Times New Roman"/>
                <w:bCs/>
                <w:color w:val="auto"/>
                <w:sz w:val="24"/>
              </w:rPr>
              <w:t>暂存于</w:t>
            </w:r>
            <w:r>
              <w:rPr>
                <w:rFonts w:hint="eastAsia" w:cs="Times New Roman"/>
                <w:bCs/>
                <w:color w:val="auto"/>
                <w:sz w:val="24"/>
                <w:lang w:eastAsia="zh-CN"/>
              </w:rPr>
              <w:t>危废贮存库</w:t>
            </w:r>
            <w:r>
              <w:rPr>
                <w:rFonts w:hint="eastAsia" w:ascii="Times New Roman" w:hAnsi="Times New Roman" w:eastAsia="宋体" w:cs="Times New Roman"/>
                <w:bCs/>
                <w:color w:val="auto"/>
                <w:sz w:val="24"/>
              </w:rPr>
              <w:t>，定期委托有资质单位处置。</w:t>
            </w:r>
          </w:p>
          <w:p w14:paraId="2347811F">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eastAsia="ja-JP"/>
              </w:rPr>
              <w:t>②</w:t>
            </w:r>
            <w:r>
              <w:rPr>
                <w:rFonts w:hint="eastAsia" w:ascii="Times New Roman" w:hAnsi="Times New Roman" w:eastAsia="宋体" w:cs="Times New Roman"/>
                <w:bCs/>
                <w:color w:val="auto"/>
                <w:sz w:val="24"/>
                <w:highlight w:val="none"/>
                <w:lang w:val="en-US" w:eastAsia="zh-CN"/>
              </w:rPr>
              <w:t>废漆渣</w:t>
            </w:r>
          </w:p>
          <w:p w14:paraId="4347AECE">
            <w:pPr>
              <w:keepNext w:val="0"/>
              <w:keepLines w:val="0"/>
              <w:suppressLineNumbers w:val="0"/>
              <w:bidi w:val="0"/>
              <w:spacing w:before="0" w:beforeAutospacing="0" w:after="0" w:afterAutospacing="0"/>
              <w:ind w:left="0" w:right="0"/>
              <w:rPr>
                <w:rFonts w:hint="eastAsia"/>
                <w:lang w:val="en-US" w:eastAsia="ja-JP"/>
              </w:rPr>
            </w:pPr>
            <w:r>
              <w:rPr>
                <w:rFonts w:hint="eastAsia"/>
                <w:color w:val="auto"/>
                <w:highlight w:val="none"/>
              </w:rPr>
              <w:t>本项目漆渣主要为水帘柜循环池沉淀的漆渣，喷漆工序漆雾产生量为0.</w:t>
            </w:r>
            <w:r>
              <w:rPr>
                <w:rFonts w:hint="eastAsia"/>
                <w:color w:val="auto"/>
                <w:highlight w:val="none"/>
                <w:lang w:val="en-US" w:eastAsia="zh-CN"/>
              </w:rPr>
              <w:t>8622</w:t>
            </w:r>
            <w:r>
              <w:rPr>
                <w:rFonts w:hint="eastAsia"/>
                <w:color w:val="auto"/>
                <w:highlight w:val="none"/>
              </w:rPr>
              <w:t>t/a，水帘柜处理效率为80%，则漆渣产生量为</w:t>
            </w:r>
            <w:r>
              <w:rPr>
                <w:rFonts w:hint="eastAsia"/>
                <w:color w:val="auto"/>
                <w:highlight w:val="none"/>
                <w:lang w:val="en-US" w:eastAsia="zh-CN"/>
              </w:rPr>
              <w:t>0.8622</w:t>
            </w:r>
            <w:r>
              <w:rPr>
                <w:rFonts w:hint="eastAsia"/>
                <w:color w:val="auto"/>
                <w:highlight w:val="none"/>
              </w:rPr>
              <w:t>×0.8≈</w:t>
            </w:r>
            <w:r>
              <w:rPr>
                <w:rFonts w:hint="eastAsia"/>
                <w:color w:val="auto"/>
                <w:highlight w:val="none"/>
                <w:lang w:val="en-US" w:eastAsia="zh-CN"/>
              </w:rPr>
              <w:t>0.69</w:t>
            </w:r>
            <w:r>
              <w:rPr>
                <w:rFonts w:hint="eastAsia"/>
                <w:color w:val="auto"/>
                <w:highlight w:val="none"/>
              </w:rPr>
              <w:t>t/a，属</w:t>
            </w:r>
            <w:r>
              <w:rPr>
                <w:rFonts w:hint="eastAsia"/>
              </w:rPr>
              <w:t>于《国家危险废物名录》（2025年版）中的HW12染料、涂料废物，代码为900-252-12的危险废物，需定期交由有危险废物处理资质的单位外运处理。</w:t>
            </w:r>
          </w:p>
          <w:p w14:paraId="1C66B6A2">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eastAsia="ja-JP"/>
              </w:rPr>
              <w:t>③</w:t>
            </w:r>
            <w:r>
              <w:rPr>
                <w:rFonts w:hint="eastAsia" w:ascii="Times New Roman" w:hAnsi="Times New Roman" w:eastAsia="宋体" w:cs="Times New Roman"/>
                <w:bCs/>
                <w:color w:val="auto"/>
                <w:sz w:val="24"/>
                <w:highlight w:val="none"/>
                <w:lang w:val="en-US" w:eastAsia="zh-CN"/>
              </w:rPr>
              <w:t>废水性漆桶</w:t>
            </w:r>
          </w:p>
          <w:p w14:paraId="2E0C483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kern w:val="2"/>
                <w:sz w:val="24"/>
                <w:szCs w:val="24"/>
                <w:highlight w:val="none"/>
                <w:lang w:val="en-US" w:eastAsia="zh-CN" w:bidi="ar-SA"/>
              </w:rPr>
              <w:t>项目喷漆工序使用的漆料由外部供应商供应，采用普通漆桶封装，到场后</w:t>
            </w:r>
            <w:r>
              <w:rPr>
                <w:rFonts w:hint="eastAsia" w:cs="Times New Roman"/>
                <w:bCs/>
                <w:color w:val="auto"/>
                <w:kern w:val="2"/>
                <w:sz w:val="24"/>
                <w:szCs w:val="24"/>
                <w:highlight w:val="none"/>
                <w:lang w:val="en-US" w:eastAsia="zh-CN" w:bidi="ar-SA"/>
              </w:rPr>
              <w:t>再进</w:t>
            </w:r>
            <w:r>
              <w:rPr>
                <w:rFonts w:hint="eastAsia" w:ascii="Times New Roman" w:hAnsi="Times New Roman" w:eastAsia="宋体" w:cs="Times New Roman"/>
                <w:bCs/>
                <w:color w:val="auto"/>
                <w:kern w:val="2"/>
                <w:sz w:val="24"/>
                <w:szCs w:val="24"/>
                <w:highlight w:val="none"/>
                <w:lang w:val="en-US" w:eastAsia="zh-CN" w:bidi="ar-SA"/>
              </w:rPr>
              <w:t>行拆封使用，因此会产生一定量的废原料桶。参考普通漆桶的规格，漆桶皮重一般为漆使用量的0.5%～1%，本次评价按1%估算，本项目使用水性漆漆料</w:t>
            </w:r>
            <w:r>
              <w:rPr>
                <w:rFonts w:hint="eastAsia" w:cs="Times New Roman"/>
                <w:bCs/>
                <w:color w:val="auto"/>
                <w:kern w:val="2"/>
                <w:sz w:val="24"/>
                <w:szCs w:val="24"/>
                <w:highlight w:val="none"/>
                <w:lang w:val="en-US" w:eastAsia="zh-CN" w:bidi="ar-SA"/>
              </w:rPr>
              <w:t>1</w:t>
            </w:r>
            <w:r>
              <w:rPr>
                <w:rFonts w:hint="eastAsia" w:ascii="Times New Roman" w:hAnsi="Times New Roman" w:eastAsia="宋体" w:cs="Times New Roman"/>
                <w:bCs/>
                <w:color w:val="auto"/>
                <w:kern w:val="2"/>
                <w:sz w:val="24"/>
                <w:szCs w:val="24"/>
                <w:highlight w:val="none"/>
                <w:lang w:val="en-US" w:eastAsia="zh-CN" w:bidi="ar-SA"/>
              </w:rPr>
              <w:t>t/a，则废</w:t>
            </w:r>
            <w:r>
              <w:rPr>
                <w:rFonts w:hint="eastAsia" w:ascii="Times New Roman" w:hAnsi="Times New Roman" w:eastAsia="宋体" w:cs="Times New Roman"/>
                <w:bCs/>
                <w:color w:val="auto"/>
                <w:sz w:val="24"/>
                <w:highlight w:val="none"/>
                <w:lang w:val="en-US" w:eastAsia="zh-CN"/>
              </w:rPr>
              <w:t>油</w:t>
            </w:r>
            <w:r>
              <w:rPr>
                <w:rFonts w:hint="eastAsia" w:ascii="Times New Roman" w:hAnsi="Times New Roman" w:eastAsia="宋体" w:cs="Times New Roman"/>
                <w:bCs/>
                <w:color w:val="auto"/>
                <w:kern w:val="2"/>
                <w:sz w:val="24"/>
                <w:szCs w:val="24"/>
                <w:highlight w:val="none"/>
                <w:lang w:val="en-US" w:eastAsia="zh-CN" w:bidi="ar-SA"/>
              </w:rPr>
              <w:t>漆桶产生量为</w:t>
            </w:r>
            <w:r>
              <w:rPr>
                <w:rFonts w:hint="eastAsia" w:cs="Times New Roman"/>
                <w:bCs/>
                <w:color w:val="auto"/>
                <w:kern w:val="2"/>
                <w:sz w:val="24"/>
                <w:szCs w:val="24"/>
                <w:highlight w:val="none"/>
                <w:lang w:val="en-US" w:eastAsia="zh-CN" w:bidi="ar-SA"/>
              </w:rPr>
              <w:t>0.01</w:t>
            </w:r>
            <w:r>
              <w:rPr>
                <w:rFonts w:hint="eastAsia" w:ascii="Times New Roman" w:hAnsi="Times New Roman" w:eastAsia="宋体" w:cs="Times New Roman"/>
                <w:bCs/>
                <w:color w:val="auto"/>
                <w:kern w:val="2"/>
                <w:sz w:val="24"/>
                <w:szCs w:val="24"/>
                <w:highlight w:val="none"/>
                <w:lang w:val="en-US" w:eastAsia="zh-CN" w:bidi="ar-SA"/>
              </w:rPr>
              <w:t>t/a。</w:t>
            </w:r>
            <w:r>
              <w:rPr>
                <w:rFonts w:hint="default" w:ascii="Times New Roman" w:hAnsi="Times New Roman" w:eastAsia="宋体" w:cs="Times New Roman"/>
                <w:bCs/>
                <w:color w:val="auto"/>
                <w:sz w:val="24"/>
                <w:lang w:val="en-US" w:eastAsia="zh-CN"/>
              </w:rPr>
              <w:t>根据《固体废物鉴别标准通则》（GB34330-2017），本项目水性</w:t>
            </w:r>
            <w:r>
              <w:rPr>
                <w:rFonts w:hint="eastAsia" w:ascii="Times New Roman" w:hAnsi="Times New Roman" w:eastAsia="宋体" w:cs="Times New Roman"/>
                <w:bCs/>
                <w:color w:val="auto"/>
                <w:sz w:val="24"/>
                <w:lang w:val="en-US" w:eastAsia="zh-CN"/>
              </w:rPr>
              <w:t>漆</w:t>
            </w:r>
            <w:r>
              <w:rPr>
                <w:rFonts w:hint="default" w:ascii="Times New Roman" w:hAnsi="Times New Roman" w:eastAsia="宋体" w:cs="Times New Roman"/>
                <w:bCs/>
                <w:color w:val="auto"/>
                <w:sz w:val="24"/>
                <w:lang w:val="en-US" w:eastAsia="zh-CN"/>
              </w:rPr>
              <w:t>包装桶不需要修复和加工即可用于原始用途，可不作为固体废物管理，但为控制回收过程中可能发生的环境风险，应当按照危险废物管理。为控制回收过程中可能发生的环境风险，废弃空桶在收集、储存过</w:t>
            </w:r>
            <w:r>
              <w:rPr>
                <w:rFonts w:hint="eastAsia" w:cs="Times New Roman"/>
                <w:bCs/>
                <w:color w:val="auto"/>
                <w:sz w:val="24"/>
                <w:lang w:val="en-US" w:eastAsia="zh-CN"/>
              </w:rPr>
              <w:t>程中</w:t>
            </w:r>
            <w:r>
              <w:rPr>
                <w:rFonts w:hint="default" w:ascii="Times New Roman" w:hAnsi="Times New Roman" w:eastAsia="宋体" w:cs="Times New Roman"/>
                <w:bCs/>
                <w:color w:val="auto"/>
                <w:sz w:val="24"/>
                <w:lang w:val="en-US" w:eastAsia="zh-CN"/>
              </w:rPr>
              <w:t>应参照危险废物管理</w:t>
            </w:r>
            <w:r>
              <w:rPr>
                <w:rFonts w:hint="eastAsia" w:cs="Times New Roman"/>
                <w:bCs/>
                <w:color w:val="auto"/>
                <w:sz w:val="24"/>
                <w:lang w:val="en-US" w:eastAsia="zh-CN"/>
              </w:rPr>
              <w:t>，参照</w:t>
            </w:r>
            <w:r>
              <w:rPr>
                <w:rFonts w:hint="eastAsia"/>
              </w:rPr>
              <w:t>《国家危险废物名录》（2025年版）</w:t>
            </w:r>
            <w:r>
              <w:rPr>
                <w:rFonts w:hint="eastAsia"/>
                <w:lang w:val="en-US" w:eastAsia="zh-CN"/>
              </w:rPr>
              <w:t>中的</w:t>
            </w:r>
            <w:r>
              <w:rPr>
                <w:rFonts w:hint="eastAsia" w:ascii="Times New Roman" w:hAnsi="Times New Roman" w:eastAsia="宋体" w:cs="Times New Roman"/>
                <w:bCs/>
                <w:color w:val="auto"/>
                <w:kern w:val="2"/>
                <w:sz w:val="24"/>
                <w:szCs w:val="24"/>
                <w:highlight w:val="none"/>
                <w:lang w:val="en-US" w:eastAsia="zh-CN" w:bidi="ar-SA"/>
              </w:rPr>
              <w:t>HW49 其他废物，废物代码900-041-49</w:t>
            </w:r>
            <w:r>
              <w:rPr>
                <w:rFonts w:hint="eastAsia" w:cs="Times New Roman"/>
                <w:bCs/>
                <w:color w:val="auto"/>
                <w:kern w:val="2"/>
                <w:sz w:val="24"/>
                <w:szCs w:val="24"/>
                <w:highlight w:val="none"/>
                <w:lang w:val="en-US" w:eastAsia="zh-CN" w:bidi="ar-SA"/>
              </w:rPr>
              <w:t xml:space="preserve"> 含有或者沾染毒性、感染性危险废物的废弃的包装物、容器、过滤吸附介质，</w:t>
            </w:r>
            <w:r>
              <w:rPr>
                <w:rFonts w:hint="eastAsia" w:ascii="Times New Roman" w:hAnsi="Times New Roman" w:eastAsia="宋体" w:cs="Times New Roman"/>
                <w:bCs/>
                <w:color w:val="auto"/>
                <w:sz w:val="24"/>
                <w:lang w:val="en-US" w:eastAsia="zh-CN"/>
              </w:rPr>
              <w:t>设置</w:t>
            </w:r>
            <w:r>
              <w:rPr>
                <w:rFonts w:hint="eastAsia" w:cs="Times New Roman"/>
                <w:bCs/>
                <w:color w:val="auto"/>
                <w:sz w:val="24"/>
                <w:lang w:val="en-US" w:eastAsia="zh-CN"/>
              </w:rPr>
              <w:t>危废贮存库</w:t>
            </w:r>
            <w:r>
              <w:rPr>
                <w:rFonts w:hint="default" w:ascii="Times New Roman" w:hAnsi="Times New Roman" w:eastAsia="宋体" w:cs="Times New Roman"/>
                <w:bCs/>
                <w:color w:val="auto"/>
                <w:sz w:val="24"/>
                <w:lang w:val="en-US" w:eastAsia="zh-CN"/>
              </w:rPr>
              <w:t>暂存后委托有资质单位处置。</w:t>
            </w:r>
          </w:p>
          <w:p w14:paraId="335654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rPr>
              <w:t>④</w:t>
            </w:r>
            <w:r>
              <w:rPr>
                <w:rFonts w:hint="eastAsia" w:ascii="Times New Roman" w:hAnsi="Times New Roman" w:eastAsia="宋体" w:cs="Times New Roman"/>
                <w:bCs/>
                <w:color w:val="auto"/>
                <w:sz w:val="24"/>
                <w:highlight w:val="none"/>
                <w:lang w:val="en-US" w:eastAsia="zh-CN"/>
              </w:rPr>
              <w:t>废油性漆桶</w:t>
            </w:r>
          </w:p>
          <w:p w14:paraId="5ADBC2F4">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kern w:val="2"/>
                <w:sz w:val="24"/>
                <w:szCs w:val="24"/>
                <w:highlight w:val="none"/>
                <w:lang w:val="en-US" w:eastAsia="zh-CN" w:bidi="ar-SA"/>
              </w:rPr>
              <w:t>项目喷漆工序使用的漆料由外部供应商供应，采用普通漆桶封装，到场后</w:t>
            </w:r>
            <w:r>
              <w:rPr>
                <w:rFonts w:hint="eastAsia" w:cs="Times New Roman"/>
                <w:bCs/>
                <w:color w:val="auto"/>
                <w:kern w:val="2"/>
                <w:sz w:val="24"/>
                <w:szCs w:val="24"/>
                <w:highlight w:val="none"/>
                <w:lang w:val="en-US" w:eastAsia="zh-CN" w:bidi="ar-SA"/>
              </w:rPr>
              <w:t>再进</w:t>
            </w:r>
            <w:r>
              <w:rPr>
                <w:rFonts w:hint="eastAsia" w:ascii="Times New Roman" w:hAnsi="Times New Roman" w:eastAsia="宋体" w:cs="Times New Roman"/>
                <w:bCs/>
                <w:color w:val="auto"/>
                <w:kern w:val="2"/>
                <w:sz w:val="24"/>
                <w:szCs w:val="24"/>
                <w:highlight w:val="none"/>
                <w:lang w:val="en-US" w:eastAsia="zh-CN" w:bidi="ar-SA"/>
              </w:rPr>
              <w:t>行拆封使用，会产生一定量的废原料桶。参考普通漆桶的规格，漆桶皮重一般为漆使用量的0.5%～1%，本次评价按1%估算，本项目使用油性漆料共</w:t>
            </w:r>
            <w:r>
              <w:rPr>
                <w:rFonts w:hint="eastAsia" w:cs="Times New Roman"/>
                <w:bCs/>
                <w:color w:val="auto"/>
                <w:kern w:val="2"/>
                <w:sz w:val="24"/>
                <w:szCs w:val="24"/>
                <w:highlight w:val="none"/>
                <w:lang w:val="en-US" w:eastAsia="zh-CN" w:bidi="ar-SA"/>
              </w:rPr>
              <w:t>4</w:t>
            </w:r>
            <w:r>
              <w:rPr>
                <w:rFonts w:hint="eastAsia" w:ascii="Times New Roman" w:hAnsi="Times New Roman" w:eastAsia="宋体" w:cs="Times New Roman"/>
                <w:bCs/>
                <w:color w:val="auto"/>
                <w:kern w:val="2"/>
                <w:sz w:val="24"/>
                <w:szCs w:val="24"/>
                <w:highlight w:val="none"/>
                <w:lang w:val="en-US" w:eastAsia="zh-CN" w:bidi="ar-SA"/>
              </w:rPr>
              <w:t>t/a，则废</w:t>
            </w:r>
            <w:r>
              <w:rPr>
                <w:rFonts w:hint="eastAsia" w:ascii="Times New Roman" w:hAnsi="Times New Roman" w:eastAsia="宋体" w:cs="Times New Roman"/>
                <w:bCs/>
                <w:color w:val="auto"/>
                <w:sz w:val="24"/>
                <w:highlight w:val="none"/>
                <w:lang w:val="en-US" w:eastAsia="zh-CN"/>
              </w:rPr>
              <w:t>油</w:t>
            </w:r>
            <w:r>
              <w:rPr>
                <w:rFonts w:hint="eastAsia" w:ascii="Times New Roman" w:hAnsi="Times New Roman" w:eastAsia="宋体" w:cs="Times New Roman"/>
                <w:bCs/>
                <w:color w:val="auto"/>
                <w:kern w:val="2"/>
                <w:sz w:val="24"/>
                <w:szCs w:val="24"/>
                <w:highlight w:val="none"/>
                <w:lang w:val="en-US" w:eastAsia="zh-CN" w:bidi="ar-SA"/>
              </w:rPr>
              <w:t>漆桶产生量为0.0</w:t>
            </w:r>
            <w:r>
              <w:rPr>
                <w:rFonts w:hint="eastAsia" w:cs="Times New Roman"/>
                <w:bCs/>
                <w:color w:val="auto"/>
                <w:kern w:val="2"/>
                <w:sz w:val="24"/>
                <w:szCs w:val="24"/>
                <w:highlight w:val="none"/>
                <w:lang w:val="en-US" w:eastAsia="zh-CN" w:bidi="ar-SA"/>
              </w:rPr>
              <w:t>4</w:t>
            </w:r>
            <w:r>
              <w:rPr>
                <w:rFonts w:hint="eastAsia" w:ascii="Times New Roman" w:hAnsi="Times New Roman" w:eastAsia="宋体" w:cs="Times New Roman"/>
                <w:bCs/>
                <w:color w:val="auto"/>
                <w:kern w:val="2"/>
                <w:sz w:val="24"/>
                <w:szCs w:val="24"/>
                <w:highlight w:val="none"/>
                <w:lang w:val="en-US" w:eastAsia="zh-CN" w:bidi="ar-SA"/>
              </w:rPr>
              <w:t>t/a；</w:t>
            </w:r>
            <w:r>
              <w:rPr>
                <w:rFonts w:hint="eastAsia" w:ascii="Times New Roman" w:hAnsi="Times New Roman" w:eastAsia="宋体" w:cs="Times New Roman"/>
                <w:bCs/>
                <w:color w:val="auto"/>
                <w:sz w:val="24"/>
                <w:highlight w:val="none"/>
                <w:lang w:val="en-US" w:eastAsia="zh-CN"/>
              </w:rPr>
              <w:t>废油性漆桶</w:t>
            </w:r>
            <w:r>
              <w:rPr>
                <w:rFonts w:hint="eastAsia" w:ascii="Times New Roman" w:hAnsi="Times New Roman" w:eastAsia="宋体" w:cs="Times New Roman"/>
                <w:bCs/>
                <w:color w:val="auto"/>
                <w:kern w:val="2"/>
                <w:sz w:val="24"/>
                <w:szCs w:val="24"/>
                <w:highlight w:val="none"/>
                <w:lang w:val="en-US" w:eastAsia="zh-CN" w:bidi="ar-SA"/>
              </w:rPr>
              <w:t>属于危险废物，</w:t>
            </w:r>
            <w:r>
              <w:rPr>
                <w:rFonts w:hint="eastAsia"/>
                <w:color w:val="auto"/>
                <w:highlight w:val="none"/>
              </w:rPr>
              <w:t>属</w:t>
            </w:r>
            <w:r>
              <w:rPr>
                <w:rFonts w:hint="eastAsia"/>
              </w:rPr>
              <w:t>于《国家危险废物名录》（2025年版）中的</w:t>
            </w:r>
            <w:r>
              <w:rPr>
                <w:rFonts w:hint="eastAsia" w:ascii="Times New Roman" w:hAnsi="Times New Roman" w:eastAsia="宋体" w:cs="Times New Roman"/>
                <w:bCs/>
                <w:color w:val="auto"/>
                <w:kern w:val="2"/>
                <w:sz w:val="24"/>
                <w:szCs w:val="24"/>
                <w:highlight w:val="none"/>
                <w:lang w:val="en-US" w:eastAsia="zh-CN" w:bidi="ar-SA"/>
              </w:rPr>
              <w:t>HW49 其他废物，废物代码900-041-49</w:t>
            </w:r>
            <w:r>
              <w:rPr>
                <w:rFonts w:hint="eastAsia" w:cs="Times New Roman"/>
                <w:bCs/>
                <w:color w:val="auto"/>
                <w:kern w:val="2"/>
                <w:sz w:val="24"/>
                <w:szCs w:val="24"/>
                <w:highlight w:val="none"/>
                <w:lang w:val="en-US" w:eastAsia="zh-CN" w:bidi="ar-SA"/>
              </w:rPr>
              <w:t xml:space="preserve"> 含有或者沾染毒性、感染性危险废物的废弃的包装物、容器、过滤吸附介质</w:t>
            </w:r>
            <w:r>
              <w:rPr>
                <w:rFonts w:hint="eastAsia" w:ascii="Times New Roman" w:hAnsi="Times New Roman" w:eastAsia="宋体" w:cs="Times New Roman"/>
                <w:bCs/>
                <w:color w:val="auto"/>
                <w:kern w:val="2"/>
                <w:sz w:val="24"/>
                <w:szCs w:val="24"/>
                <w:highlight w:val="none"/>
                <w:lang w:val="en-US" w:eastAsia="zh-CN" w:bidi="ar-SA"/>
              </w:rPr>
              <w:t>。</w:t>
            </w:r>
            <w:r>
              <w:rPr>
                <w:rFonts w:hint="eastAsia" w:ascii="Times New Roman" w:hAnsi="Times New Roman" w:eastAsia="宋体" w:cs="Times New Roman"/>
                <w:bCs/>
                <w:color w:val="auto"/>
                <w:sz w:val="24"/>
                <w:highlight w:val="none"/>
                <w:lang w:val="en-US" w:eastAsia="zh-CN"/>
              </w:rPr>
              <w:t>废油性漆桶</w:t>
            </w:r>
            <w:r>
              <w:rPr>
                <w:rFonts w:hint="default" w:ascii="Times New Roman" w:hAnsi="Times New Roman" w:eastAsia="宋体" w:cs="Times New Roman"/>
                <w:color w:val="auto"/>
                <w:kern w:val="0"/>
                <w:sz w:val="24"/>
                <w:szCs w:val="24"/>
                <w:highlight w:val="none"/>
                <w:lang w:val="en-US" w:eastAsia="zh-CN" w:bidi="ar"/>
              </w:rPr>
              <w:t>妥善收集后</w:t>
            </w:r>
            <w:r>
              <w:rPr>
                <w:rFonts w:hint="eastAsia" w:ascii="Times New Roman" w:hAnsi="Times New Roman" w:eastAsia="宋体" w:cs="Times New Roman"/>
                <w:bCs/>
                <w:color w:val="auto"/>
                <w:sz w:val="24"/>
              </w:rPr>
              <w:t>暂存于</w:t>
            </w:r>
            <w:r>
              <w:rPr>
                <w:rFonts w:hint="eastAsia" w:cs="Times New Roman"/>
                <w:bCs/>
                <w:color w:val="auto"/>
                <w:sz w:val="24"/>
                <w:lang w:eastAsia="zh-CN"/>
              </w:rPr>
              <w:t>危废贮存库</w:t>
            </w:r>
            <w:r>
              <w:rPr>
                <w:rFonts w:hint="eastAsia" w:ascii="Times New Roman" w:hAnsi="Times New Roman" w:eastAsia="宋体" w:cs="Times New Roman"/>
                <w:bCs/>
                <w:color w:val="auto"/>
                <w:sz w:val="24"/>
              </w:rPr>
              <w:t>，定期委托有资质单位处置。</w:t>
            </w:r>
          </w:p>
          <w:p w14:paraId="151873C2">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eastAsia="ja-JP"/>
              </w:rPr>
              <w:t>⑤</w:t>
            </w:r>
            <w:r>
              <w:rPr>
                <w:rFonts w:hint="eastAsia" w:ascii="Times New Roman" w:hAnsi="Times New Roman" w:eastAsia="宋体" w:cs="Times New Roman"/>
                <w:bCs/>
                <w:color w:val="auto"/>
                <w:sz w:val="24"/>
                <w:highlight w:val="none"/>
              </w:rPr>
              <w:t>废活性炭</w:t>
            </w:r>
          </w:p>
          <w:p w14:paraId="067FB0E0">
            <w:pPr>
              <w:keepNext w:val="0"/>
              <w:keepLines w:val="0"/>
              <w:suppressLineNumbers w:val="0"/>
              <w:spacing w:before="0" w:beforeAutospacing="0" w:after="0" w:afterAutospacing="0"/>
              <w:ind w:left="0" w:right="0" w:firstLine="480" w:firstLineChars="200"/>
              <w:rPr>
                <w:rFonts w:hint="eastAsia" w:cs="Times New Roman"/>
                <w:bCs/>
                <w:color w:val="0000FF"/>
                <w:sz w:val="24"/>
                <w:highlight w:val="none"/>
                <w:lang w:val="en-US" w:eastAsia="zh-CN"/>
              </w:rPr>
            </w:pPr>
            <w:r>
              <w:rPr>
                <w:rFonts w:hint="default" w:ascii="Times New Roman" w:hAnsi="Times New Roman" w:eastAsia="宋体" w:cs="Times New Roman"/>
                <w:bCs/>
                <w:color w:val="auto"/>
                <w:sz w:val="24"/>
                <w:lang w:val="en-US" w:eastAsia="zh-CN"/>
              </w:rPr>
              <w:t>根据中国建筑出版社</w:t>
            </w:r>
            <w:r>
              <w:rPr>
                <w:rFonts w:hint="eastAsia" w:cs="Times New Roman"/>
                <w:bCs/>
                <w:color w:val="auto"/>
                <w:sz w:val="24"/>
                <w:lang w:val="en-US" w:eastAsia="zh-CN"/>
              </w:rPr>
              <w:t>（</w:t>
            </w:r>
            <w:r>
              <w:rPr>
                <w:rFonts w:hint="default" w:ascii="Times New Roman" w:hAnsi="Times New Roman" w:eastAsia="宋体" w:cs="Times New Roman"/>
                <w:bCs/>
                <w:color w:val="auto"/>
                <w:sz w:val="24"/>
                <w:lang w:val="en-US" w:eastAsia="zh-CN"/>
              </w:rPr>
              <w:t>1997</w:t>
            </w:r>
            <w:r>
              <w:rPr>
                <w:rFonts w:hint="eastAsia" w:cs="Times New Roman"/>
                <w:bCs/>
                <w:color w:val="auto"/>
                <w:sz w:val="24"/>
                <w:lang w:val="en-US" w:eastAsia="zh-CN"/>
              </w:rPr>
              <w:t>）</w:t>
            </w:r>
            <w:r>
              <w:rPr>
                <w:rFonts w:hint="default" w:ascii="Times New Roman" w:hAnsi="Times New Roman" w:eastAsia="宋体" w:cs="Times New Roman"/>
                <w:bCs/>
                <w:color w:val="auto"/>
                <w:sz w:val="24"/>
                <w:lang w:val="en-US" w:eastAsia="zh-CN"/>
              </w:rPr>
              <w:t>出版的《简明通风设计手册》第十章中关于活性吸附处理治理废气的方法中提供的数据：每1.0kg活性炭吸附有机废气的平衡量为0.43～0.61kg，本项目按1t活性炭吸附0.</w:t>
            </w:r>
            <w:r>
              <w:rPr>
                <w:rFonts w:hint="eastAsia" w:ascii="Times New Roman" w:hAnsi="Times New Roman" w:eastAsia="宋体" w:cs="Times New Roman"/>
                <w:bCs/>
                <w:color w:val="auto"/>
                <w:sz w:val="24"/>
                <w:lang w:val="en-US" w:eastAsia="zh-CN"/>
              </w:rPr>
              <w:t>3</w:t>
            </w:r>
            <w:r>
              <w:rPr>
                <w:rFonts w:hint="default" w:ascii="Times New Roman" w:hAnsi="Times New Roman" w:eastAsia="宋体" w:cs="Times New Roman"/>
                <w:bCs/>
                <w:color w:val="auto"/>
                <w:sz w:val="24"/>
                <w:lang w:val="en-US" w:eastAsia="zh-CN"/>
              </w:rPr>
              <w:t>t有机废气计算，</w:t>
            </w:r>
            <w:r>
              <w:rPr>
                <w:rFonts w:hint="default" w:ascii="Times New Roman" w:hAnsi="Times New Roman" w:eastAsia="宋体" w:cs="Times New Roman"/>
                <w:bCs/>
                <w:color w:val="auto"/>
                <w:sz w:val="24"/>
                <w:lang w:val="zh-CN" w:eastAsia="zh-CN"/>
              </w:rPr>
              <w:t>根据前文产排污分析可知，项目有组织有机废气</w:t>
            </w:r>
            <w:r>
              <w:rPr>
                <w:rFonts w:hint="default" w:ascii="Times New Roman" w:hAnsi="Times New Roman" w:eastAsia="宋体" w:cs="Times New Roman"/>
                <w:bCs/>
                <w:color w:val="auto"/>
                <w:sz w:val="24"/>
                <w:lang w:val="en-US" w:eastAsia="zh-CN"/>
              </w:rPr>
              <w:t>净化了</w:t>
            </w:r>
            <w:r>
              <w:rPr>
                <w:rFonts w:hint="eastAsia" w:cs="Times New Roman"/>
                <w:bCs/>
                <w:color w:val="auto"/>
                <w:sz w:val="24"/>
                <w:lang w:val="en-US" w:eastAsia="zh-CN"/>
              </w:rPr>
              <w:t>0.3458</w:t>
            </w:r>
            <w:r>
              <w:rPr>
                <w:rFonts w:hint="default" w:ascii="Times New Roman" w:hAnsi="Times New Roman" w:eastAsia="宋体" w:cs="Times New Roman"/>
                <w:bCs/>
                <w:color w:val="auto"/>
                <w:sz w:val="24"/>
                <w:lang w:val="en-US" w:eastAsia="zh-CN"/>
              </w:rPr>
              <w:t>t/a</w:t>
            </w:r>
            <w:r>
              <w:rPr>
                <w:rFonts w:hint="default" w:ascii="Times New Roman" w:hAnsi="Times New Roman" w:eastAsia="宋体" w:cs="Times New Roman"/>
                <w:bCs/>
                <w:color w:val="auto"/>
                <w:sz w:val="24"/>
                <w:lang w:val="zh-CN" w:eastAsia="zh-CN"/>
              </w:rPr>
              <w:t>，本项目有机废气采用</w:t>
            </w:r>
            <w:r>
              <w:rPr>
                <w:rFonts w:hint="eastAsia" w:cs="Times New Roman"/>
                <w:bCs/>
                <w:color w:val="auto"/>
                <w:sz w:val="24"/>
                <w:lang w:val="en-US" w:eastAsia="zh-CN"/>
              </w:rPr>
              <w:t>二级活性炭</w:t>
            </w:r>
            <w:r>
              <w:rPr>
                <w:rFonts w:hint="default" w:ascii="Times New Roman" w:hAnsi="Times New Roman" w:eastAsia="宋体" w:cs="Times New Roman"/>
                <w:bCs/>
                <w:color w:val="auto"/>
                <w:sz w:val="24"/>
                <w:lang w:val="en-US" w:eastAsia="zh-CN"/>
              </w:rPr>
              <w:t>吸附装置净化处理，则预计项目年消耗</w:t>
            </w:r>
            <w:r>
              <w:rPr>
                <w:rFonts w:hint="eastAsia" w:cs="Times New Roman"/>
                <w:bCs/>
                <w:color w:val="auto"/>
                <w:sz w:val="24"/>
                <w:lang w:val="en-US" w:eastAsia="zh-CN"/>
              </w:rPr>
              <w:t>二级活性炭</w:t>
            </w:r>
            <w:r>
              <w:rPr>
                <w:rFonts w:hint="default" w:ascii="Times New Roman" w:hAnsi="Times New Roman" w:eastAsia="宋体" w:cs="Times New Roman"/>
                <w:bCs/>
                <w:color w:val="auto"/>
                <w:sz w:val="24"/>
                <w:lang w:val="en-US" w:eastAsia="zh-CN"/>
              </w:rPr>
              <w:t>量为</w:t>
            </w:r>
            <w:r>
              <w:rPr>
                <w:rFonts w:hint="eastAsia" w:cs="Times New Roman"/>
                <w:bCs/>
                <w:color w:val="auto"/>
                <w:sz w:val="24"/>
                <w:lang w:val="en-US" w:eastAsia="zh-CN"/>
              </w:rPr>
              <w:t>1.15</w:t>
            </w:r>
            <w:r>
              <w:rPr>
                <w:rFonts w:hint="default" w:ascii="Times New Roman" w:hAnsi="Times New Roman" w:eastAsia="宋体" w:cs="Times New Roman"/>
                <w:bCs/>
                <w:color w:val="auto"/>
                <w:sz w:val="24"/>
                <w:lang w:val="en-US" w:eastAsia="zh-CN"/>
              </w:rPr>
              <w:t>t，</w:t>
            </w:r>
            <w:r>
              <w:rPr>
                <w:rFonts w:hint="eastAsia" w:ascii="Times New Roman" w:hAnsi="Times New Roman" w:eastAsia="宋体" w:cs="Times New Roman"/>
                <w:bCs/>
                <w:color w:val="auto"/>
                <w:sz w:val="24"/>
                <w:lang w:val="en-US" w:eastAsia="zh-CN"/>
              </w:rPr>
              <w:t>本项目活性炭一年更换</w:t>
            </w:r>
            <w:r>
              <w:rPr>
                <w:rFonts w:hint="eastAsia" w:cs="Times New Roman"/>
                <w:bCs/>
                <w:color w:val="auto"/>
                <w:sz w:val="24"/>
                <w:lang w:val="en-US" w:eastAsia="zh-CN"/>
              </w:rPr>
              <w:t>4</w:t>
            </w:r>
            <w:r>
              <w:rPr>
                <w:rFonts w:hint="eastAsia" w:ascii="Times New Roman" w:hAnsi="Times New Roman" w:eastAsia="宋体" w:cs="Times New Roman"/>
                <w:bCs/>
                <w:color w:val="auto"/>
                <w:sz w:val="24"/>
                <w:lang w:val="en-US" w:eastAsia="zh-CN"/>
              </w:rPr>
              <w:t>次，</w:t>
            </w:r>
            <w:r>
              <w:rPr>
                <w:rFonts w:hint="default" w:ascii="Times New Roman" w:hAnsi="Times New Roman" w:eastAsia="宋体" w:cs="Times New Roman"/>
                <w:bCs/>
                <w:color w:val="auto"/>
                <w:sz w:val="24"/>
                <w:lang w:val="en-US" w:eastAsia="zh-CN"/>
              </w:rPr>
              <w:t>则项目每年产生的</w:t>
            </w:r>
            <w:r>
              <w:rPr>
                <w:rFonts w:hint="eastAsia" w:ascii="Times New Roman" w:hAnsi="Times New Roman" w:eastAsia="宋体" w:cs="Times New Roman"/>
                <w:bCs/>
                <w:color w:val="auto"/>
                <w:sz w:val="24"/>
                <w:lang w:val="en-US" w:eastAsia="zh-CN"/>
              </w:rPr>
              <w:t>废活性炭</w:t>
            </w:r>
            <w:r>
              <w:rPr>
                <w:rFonts w:hint="default" w:ascii="Times New Roman" w:hAnsi="Times New Roman" w:eastAsia="宋体" w:cs="Times New Roman"/>
                <w:bCs/>
                <w:color w:val="auto"/>
                <w:sz w:val="24"/>
                <w:lang w:val="en-US" w:eastAsia="zh-CN"/>
              </w:rPr>
              <w:t>量约为</w:t>
            </w:r>
            <w:r>
              <w:rPr>
                <w:rFonts w:hint="eastAsia" w:cs="Times New Roman"/>
                <w:bCs/>
                <w:color w:val="auto"/>
                <w:sz w:val="24"/>
                <w:lang w:val="en-US" w:eastAsia="zh-CN"/>
              </w:rPr>
              <w:t>4.95</w:t>
            </w:r>
            <w:r>
              <w:rPr>
                <w:rFonts w:hint="default" w:ascii="Times New Roman" w:hAnsi="Times New Roman" w:eastAsia="宋体" w:cs="Times New Roman"/>
                <w:bCs/>
                <w:color w:val="auto"/>
                <w:sz w:val="24"/>
                <w:lang w:val="en-US" w:eastAsia="zh-CN"/>
              </w:rPr>
              <w:t>t/a</w:t>
            </w:r>
            <w:r>
              <w:rPr>
                <w:rFonts w:hint="eastAsia" w:ascii="Times New Roman" w:hAnsi="Times New Roman" w:eastAsia="宋体" w:cs="Times New Roman"/>
                <w:bCs/>
                <w:color w:val="auto"/>
                <w:sz w:val="24"/>
                <w:lang w:val="zh-CN" w:eastAsia="zh-CN"/>
              </w:rPr>
              <w:t>。</w:t>
            </w:r>
            <w:r>
              <w:rPr>
                <w:rFonts w:hint="default" w:ascii="Times New Roman" w:hAnsi="Times New Roman" w:eastAsia="宋体" w:cs="Times New Roman"/>
                <w:bCs/>
                <w:color w:val="auto"/>
                <w:sz w:val="24"/>
                <w:highlight w:val="none"/>
                <w:lang w:val="en-US" w:eastAsia="zh-CN"/>
              </w:rPr>
              <w:t>根据</w:t>
            </w:r>
            <w:r>
              <w:rPr>
                <w:rFonts w:hint="eastAsia" w:cs="Times New Roman"/>
                <w:bCs/>
                <w:color w:val="auto"/>
                <w:sz w:val="24"/>
                <w:highlight w:val="none"/>
                <w:lang w:val="en-US" w:eastAsia="zh-CN"/>
              </w:rPr>
              <w:t>《国家危险废物名录》（2025年版）</w:t>
            </w:r>
            <w:r>
              <w:rPr>
                <w:rFonts w:hint="default" w:ascii="Times New Roman" w:hAnsi="Times New Roman" w:eastAsia="宋体" w:cs="Times New Roman"/>
                <w:bCs/>
                <w:color w:val="auto"/>
                <w:sz w:val="24"/>
                <w:highlight w:val="none"/>
                <w:lang w:val="en-US" w:eastAsia="zh-CN"/>
              </w:rPr>
              <w:t>，废活性炭属于危险废物，废物类别为HW49其他废物，废物代码900-039-49</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bidi="ar"/>
              </w:rPr>
              <w:t>妥善收集后</w:t>
            </w:r>
            <w:r>
              <w:rPr>
                <w:rFonts w:hint="eastAsia" w:ascii="Times New Roman" w:hAnsi="Times New Roman" w:eastAsia="宋体" w:cs="Times New Roman"/>
                <w:bCs/>
                <w:color w:val="auto"/>
                <w:sz w:val="24"/>
                <w:highlight w:val="none"/>
              </w:rPr>
              <w:t>暂存于</w:t>
            </w:r>
            <w:r>
              <w:rPr>
                <w:rFonts w:hint="eastAsia" w:cs="Times New Roman"/>
                <w:bCs/>
                <w:color w:val="auto"/>
                <w:sz w:val="24"/>
                <w:highlight w:val="none"/>
                <w:lang w:eastAsia="zh-CN"/>
              </w:rPr>
              <w:t>危废贮存库</w:t>
            </w:r>
            <w:r>
              <w:rPr>
                <w:rFonts w:hint="eastAsia" w:ascii="Times New Roman" w:hAnsi="Times New Roman" w:eastAsia="宋体" w:cs="Times New Roman"/>
                <w:bCs/>
                <w:color w:val="auto"/>
                <w:sz w:val="24"/>
                <w:highlight w:val="none"/>
              </w:rPr>
              <w:t>，定期委托有资质单位处置。</w:t>
            </w:r>
          </w:p>
          <w:p w14:paraId="7DACA797">
            <w:pPr>
              <w:keepNext w:val="0"/>
              <w:keepLines w:val="0"/>
              <w:suppressLineNumbers w:val="0"/>
              <w:tabs>
                <w:tab w:val="left" w:pos="7436"/>
              </w:tabs>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highlight w:val="none"/>
                <w:lang w:eastAsia="ja-JP"/>
              </w:rPr>
              <w:t>⑥</w:t>
            </w:r>
            <w:r>
              <w:rPr>
                <w:rFonts w:hint="eastAsia" w:ascii="Times New Roman" w:hAnsi="Times New Roman" w:eastAsia="宋体" w:cs="Times New Roman"/>
                <w:bCs/>
                <w:color w:val="auto"/>
                <w:sz w:val="24"/>
              </w:rPr>
              <w:t>废过滤棉</w:t>
            </w:r>
            <w:r>
              <w:rPr>
                <w:rFonts w:hint="eastAsia" w:ascii="Times New Roman" w:hAnsi="Times New Roman" w:eastAsia="宋体" w:cs="Times New Roman"/>
                <w:bCs/>
                <w:color w:val="auto"/>
                <w:sz w:val="24"/>
                <w:lang w:eastAsia="zh-CN"/>
              </w:rPr>
              <w:tab/>
            </w:r>
          </w:p>
          <w:p w14:paraId="2F3FF1C3">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rPr>
              <w:t>项目废气治理设施使用过程会产生废过滤棉，根据类比同行业分析，产生量约0.</w:t>
            </w:r>
            <w:r>
              <w:rPr>
                <w:rFonts w:hint="eastAsia" w:cs="Times New Roman"/>
                <w:bCs/>
                <w:color w:val="auto"/>
                <w:sz w:val="24"/>
                <w:lang w:val="en-US" w:eastAsia="zh-CN"/>
              </w:rPr>
              <w:t>2</w:t>
            </w:r>
            <w:r>
              <w:rPr>
                <w:rFonts w:hint="eastAsia" w:ascii="Times New Roman" w:hAnsi="Times New Roman" w:eastAsia="宋体" w:cs="Times New Roman"/>
                <w:bCs/>
                <w:color w:val="auto"/>
                <w:sz w:val="24"/>
              </w:rPr>
              <w:t>t/a，根据</w:t>
            </w:r>
            <w:r>
              <w:rPr>
                <w:rFonts w:hint="eastAsia" w:cs="Times New Roman"/>
                <w:bCs/>
                <w:color w:val="auto"/>
                <w:sz w:val="24"/>
                <w:lang w:eastAsia="zh-CN"/>
              </w:rPr>
              <w:t>《国家危险废物名录》（2025年版）</w:t>
            </w:r>
            <w:r>
              <w:rPr>
                <w:rFonts w:hint="eastAsia" w:ascii="Times New Roman" w:hAnsi="Times New Roman" w:eastAsia="宋体" w:cs="Times New Roman"/>
                <w:bCs/>
                <w:color w:val="auto"/>
                <w:sz w:val="24"/>
              </w:rPr>
              <w:t>，废过滤棉属</w:t>
            </w:r>
            <w:r>
              <w:rPr>
                <w:rFonts w:hint="eastAsia" w:ascii="Times New Roman" w:hAnsi="Times New Roman" w:eastAsia="宋体" w:cs="Times New Roman"/>
                <w:bCs/>
                <w:color w:val="auto"/>
                <w:sz w:val="24"/>
                <w:lang w:val="en-US" w:eastAsia="zh-CN"/>
              </w:rPr>
              <w:t>于</w:t>
            </w:r>
            <w:r>
              <w:rPr>
                <w:rFonts w:hint="eastAsia" w:ascii="Times New Roman" w:hAnsi="Times New Roman" w:eastAsia="宋体" w:cs="Times New Roman"/>
                <w:bCs/>
                <w:color w:val="auto"/>
                <w:sz w:val="24"/>
              </w:rPr>
              <w:t>危险废物，其危险废物类别为HW49（900-041-49），</w:t>
            </w:r>
            <w:r>
              <w:rPr>
                <w:rFonts w:hint="default" w:ascii="Times New Roman" w:hAnsi="Times New Roman" w:eastAsia="宋体" w:cs="Times New Roman"/>
                <w:color w:val="auto"/>
                <w:kern w:val="0"/>
                <w:sz w:val="24"/>
                <w:szCs w:val="24"/>
                <w:highlight w:val="none"/>
                <w:lang w:val="en-US" w:eastAsia="zh-CN" w:bidi="ar"/>
              </w:rPr>
              <w:t>妥善收集后</w:t>
            </w:r>
            <w:r>
              <w:rPr>
                <w:rFonts w:hint="eastAsia" w:ascii="Times New Roman" w:hAnsi="Times New Roman" w:eastAsia="宋体" w:cs="Times New Roman"/>
                <w:bCs/>
                <w:color w:val="auto"/>
                <w:sz w:val="24"/>
              </w:rPr>
              <w:t>暂存于</w:t>
            </w:r>
            <w:r>
              <w:rPr>
                <w:rFonts w:hint="eastAsia" w:cs="Times New Roman"/>
                <w:bCs/>
                <w:color w:val="auto"/>
                <w:sz w:val="24"/>
                <w:lang w:eastAsia="zh-CN"/>
              </w:rPr>
              <w:t>危废贮存库</w:t>
            </w:r>
            <w:r>
              <w:rPr>
                <w:rFonts w:hint="eastAsia" w:ascii="Times New Roman" w:hAnsi="Times New Roman" w:eastAsia="宋体" w:cs="Times New Roman"/>
                <w:bCs/>
                <w:color w:val="auto"/>
                <w:sz w:val="24"/>
              </w:rPr>
              <w:t>，定期委托有资质单位处置。</w:t>
            </w:r>
          </w:p>
          <w:p w14:paraId="7E8B90D3">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rPr>
              <w:t>⑦</w:t>
            </w:r>
            <w:r>
              <w:rPr>
                <w:rFonts w:hint="default" w:ascii="Times New Roman" w:hAnsi="Times New Roman" w:cs="Times New Roman"/>
                <w:color w:val="auto"/>
                <w:sz w:val="24"/>
                <w:highlight w:val="none"/>
              </w:rPr>
              <w:t>废机油</w:t>
            </w:r>
          </w:p>
          <w:p w14:paraId="20260316">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Cs/>
                <w:color w:val="auto"/>
                <w:sz w:val="24"/>
              </w:rPr>
            </w:pPr>
            <w:r>
              <w:rPr>
                <w:rFonts w:hint="eastAsia" w:ascii="Times New Roman" w:hAnsi="Times New Roman" w:eastAsia="宋体" w:cs="Times New Roman"/>
                <w:color w:val="auto"/>
                <w:kern w:val="0"/>
                <w:sz w:val="24"/>
                <w:szCs w:val="24"/>
                <w:highlight w:val="none"/>
                <w:lang w:val="en-US" w:eastAsia="zh-CN" w:bidi="ar"/>
              </w:rPr>
              <w:t>本项目在设备保养、检修等过程中会产生</w:t>
            </w:r>
            <w:r>
              <w:rPr>
                <w:rFonts w:hint="eastAsia" w:ascii="Times New Roman" w:hAnsi="Times New Roman" w:eastAsia="宋体" w:cs="Times New Roman"/>
                <w:color w:val="auto"/>
                <w:sz w:val="24"/>
                <w:szCs w:val="22"/>
                <w:highlight w:val="none"/>
                <w:lang w:val="en-US" w:eastAsia="zh-CN"/>
              </w:rPr>
              <w:t>废机油，产生量为0.01t/a，</w:t>
            </w:r>
            <w:r>
              <w:rPr>
                <w:rFonts w:hint="eastAsia" w:cs="Times New Roman"/>
                <w:color w:val="auto"/>
                <w:sz w:val="24"/>
                <w:szCs w:val="22"/>
                <w:highlight w:val="none"/>
                <w:lang w:val="en-US" w:eastAsia="zh-CN"/>
              </w:rPr>
              <w:t>根据</w:t>
            </w:r>
            <w:r>
              <w:rPr>
                <w:rFonts w:hint="eastAsia" w:cs="Times New Roman"/>
                <w:color w:val="auto"/>
                <w:sz w:val="24"/>
                <w:highlight w:val="none"/>
                <w:lang w:val="en-US" w:eastAsia="zh-CN"/>
              </w:rPr>
              <w:t>《国家危险废物名录》（2025年版）</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sz w:val="24"/>
                <w:szCs w:val="22"/>
                <w:highlight w:val="none"/>
                <w:lang w:val="en-US" w:eastAsia="zh-CN"/>
              </w:rPr>
              <w:t>废机油</w:t>
            </w:r>
            <w:r>
              <w:rPr>
                <w:rFonts w:hint="eastAsia" w:ascii="Times New Roman" w:hAnsi="Times New Roman" w:cs="Times New Roman"/>
                <w:color w:val="auto"/>
                <w:sz w:val="24"/>
                <w:highlight w:val="none"/>
                <w:lang w:val="en-US" w:eastAsia="zh-CN"/>
              </w:rPr>
              <w:t>属于危险废物，废物类别为HW08废矿物油与含矿物油废物，废物代码为</w:t>
            </w:r>
            <w:r>
              <w:rPr>
                <w:rFonts w:hint="default" w:ascii="Times New Roman" w:hAnsi="Times New Roman" w:eastAsia="宋体" w:cs="Times New Roman"/>
                <w:color w:val="auto"/>
                <w:kern w:val="0"/>
                <w:sz w:val="24"/>
                <w:szCs w:val="24"/>
                <w:highlight w:val="none"/>
                <w:lang w:val="en-US" w:eastAsia="zh-CN" w:bidi="ar"/>
              </w:rPr>
              <w:t>900-2</w:t>
            </w:r>
            <w:r>
              <w:rPr>
                <w:rFonts w:hint="eastAsia" w:ascii="Times New Roman" w:hAnsi="Times New Roman" w:eastAsia="宋体" w:cs="Times New Roman"/>
                <w:color w:val="auto"/>
                <w:kern w:val="0"/>
                <w:sz w:val="24"/>
                <w:szCs w:val="24"/>
                <w:highlight w:val="none"/>
                <w:lang w:val="en-US" w:eastAsia="zh-CN" w:bidi="ar"/>
              </w:rPr>
              <w:t>49</w:t>
            </w:r>
            <w:r>
              <w:rPr>
                <w:rFonts w:hint="default" w:ascii="Times New Roman" w:hAnsi="Times New Roman" w:eastAsia="宋体" w:cs="Times New Roman"/>
                <w:color w:val="auto"/>
                <w:kern w:val="0"/>
                <w:sz w:val="24"/>
                <w:szCs w:val="24"/>
                <w:highlight w:val="none"/>
                <w:lang w:val="en-US" w:eastAsia="zh-CN" w:bidi="ar"/>
              </w:rPr>
              <w:t>-08</w:t>
            </w:r>
            <w:r>
              <w:rPr>
                <w:rFonts w:hint="eastAsia" w:cs="Times New Roman"/>
                <w:color w:val="auto"/>
                <w:kern w:val="0"/>
                <w:sz w:val="24"/>
                <w:szCs w:val="24"/>
                <w:highlight w:val="none"/>
                <w:lang w:val="en-US" w:eastAsia="zh-CN" w:bidi="ar"/>
              </w:rPr>
              <w:t xml:space="preserve"> 其他生产、销售、使用过程中产生的废矿物油及沾染矿物油的废弃包装物</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妥善收集后暂存于</w:t>
            </w:r>
            <w:r>
              <w:rPr>
                <w:rFonts w:hint="eastAsia" w:cs="Times New Roman"/>
                <w:color w:val="auto"/>
                <w:kern w:val="0"/>
                <w:sz w:val="24"/>
                <w:szCs w:val="24"/>
                <w:highlight w:val="none"/>
                <w:lang w:val="en-US" w:eastAsia="zh-CN" w:bidi="ar"/>
              </w:rPr>
              <w:t>危废贮存库</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bCs/>
                <w:color w:val="auto"/>
                <w:sz w:val="24"/>
                <w:highlight w:val="none"/>
              </w:rPr>
              <w:t>定期</w:t>
            </w:r>
            <w:r>
              <w:rPr>
                <w:rFonts w:hint="default" w:ascii="Times New Roman" w:hAnsi="Times New Roman" w:eastAsia="宋体" w:cs="Times New Roman"/>
                <w:color w:val="auto"/>
                <w:sz w:val="24"/>
                <w:highlight w:val="none"/>
                <w:lang w:val="en-US" w:eastAsia="zh-CN"/>
              </w:rPr>
              <w:t>委托有资质单位处理。</w:t>
            </w:r>
          </w:p>
          <w:p w14:paraId="109D4FCA">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rPr>
              <w:t>⑧</w:t>
            </w:r>
            <w:r>
              <w:rPr>
                <w:rFonts w:hint="eastAsia" w:ascii="Times New Roman" w:hAnsi="Times New Roman" w:eastAsia="宋体" w:cs="Times New Roman"/>
                <w:bCs/>
                <w:color w:val="auto"/>
                <w:sz w:val="24"/>
                <w:highlight w:val="none"/>
              </w:rPr>
              <w:t>生活垃圾</w:t>
            </w:r>
          </w:p>
          <w:p w14:paraId="4D1A8A82">
            <w:pPr>
              <w:keepNext w:val="0"/>
              <w:keepLines w:val="0"/>
              <w:suppressLineNumbers w:val="0"/>
              <w:spacing w:before="0" w:beforeAutospacing="0" w:after="0" w:afterAutospacing="0"/>
              <w:ind w:left="0" w:right="0" w:firstLine="480" w:firstLineChars="200"/>
              <w:rPr>
                <w:rFonts w:hint="eastAsia"/>
                <w:color w:val="auto"/>
              </w:rPr>
            </w:pPr>
            <w:r>
              <w:rPr>
                <w:rFonts w:hint="eastAsia" w:cs="宋体"/>
                <w:color w:val="auto"/>
              </w:rPr>
              <w:t>本项目员工共</w:t>
            </w:r>
            <w:r>
              <w:rPr>
                <w:rFonts w:hint="eastAsia" w:cs="宋体"/>
                <w:color w:val="auto"/>
                <w:lang w:val="en-US" w:eastAsia="zh-CN"/>
              </w:rPr>
              <w:t>13</w:t>
            </w:r>
            <w:r>
              <w:rPr>
                <w:rFonts w:hint="eastAsia" w:cs="宋体"/>
                <w:color w:val="auto"/>
              </w:rPr>
              <w:t>人，均不住厂，不住厂员工生活垃圾产生系数按0.5kg/人·天计，年工作天数为</w:t>
            </w:r>
            <w:r>
              <w:rPr>
                <w:rFonts w:hint="eastAsia" w:cs="宋体"/>
                <w:color w:val="auto"/>
                <w:lang w:val="en-US" w:eastAsia="zh-CN"/>
              </w:rPr>
              <w:t>300</w:t>
            </w:r>
            <w:r>
              <w:rPr>
                <w:rFonts w:hint="eastAsia" w:cs="宋体"/>
                <w:color w:val="auto"/>
              </w:rPr>
              <w:t>天，则员工生活垃圾产生量为</w:t>
            </w:r>
            <w:r>
              <w:rPr>
                <w:rFonts w:hint="eastAsia" w:cs="宋体"/>
                <w:color w:val="auto"/>
                <w:lang w:val="en-US" w:eastAsia="zh-CN"/>
              </w:rPr>
              <w:t>1.95</w:t>
            </w:r>
            <w:r>
              <w:rPr>
                <w:rFonts w:hint="eastAsia" w:cs="宋体"/>
                <w:color w:val="auto"/>
              </w:rPr>
              <w:t>t/a。生活垃圾统一收集后委托当地环卫部门处置。</w:t>
            </w:r>
          </w:p>
          <w:p w14:paraId="7DAD29E1">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综上分析，项目运营期各类固体废物产生及处置情况详见表</w:t>
            </w:r>
            <w:r>
              <w:rPr>
                <w:rFonts w:hint="eastAsia" w:ascii="Times New Roman" w:hAnsi="Times New Roman" w:eastAsia="宋体" w:cs="Times New Roman"/>
                <w:bCs/>
                <w:color w:val="auto"/>
                <w:sz w:val="24"/>
                <w:highlight w:val="none"/>
                <w:lang w:val="en-US" w:eastAsia="zh-CN"/>
              </w:rPr>
              <w:t>4.4-1</w:t>
            </w:r>
            <w:r>
              <w:rPr>
                <w:rFonts w:hint="eastAsia" w:ascii="Times New Roman" w:hAnsi="Times New Roman" w:eastAsia="宋体" w:cs="Times New Roman"/>
                <w:bCs/>
                <w:color w:val="auto"/>
                <w:sz w:val="24"/>
                <w:highlight w:val="none"/>
              </w:rPr>
              <w:t>。</w:t>
            </w:r>
          </w:p>
          <w:p w14:paraId="5ACB1E3A">
            <w:pPr>
              <w:pStyle w:val="39"/>
              <w:keepNext w:val="0"/>
              <w:keepLines w:val="0"/>
              <w:suppressLineNumbers w:val="0"/>
              <w:bidi w:val="0"/>
              <w:spacing w:before="0" w:beforeAutospacing="0" w:after="0" w:afterAutospacing="0"/>
              <w:ind w:left="0" w:right="0"/>
              <w:rPr>
                <w:rFonts w:hint="default"/>
                <w:lang w:val="en-US" w:eastAsia="zh-CN"/>
              </w:rPr>
            </w:pPr>
            <w:r>
              <w:rPr>
                <w:rFonts w:hint="default"/>
                <w:lang w:val="zh-CN"/>
              </w:rPr>
              <w:t>表</w:t>
            </w:r>
            <w:r>
              <w:rPr>
                <w:rFonts w:hint="eastAsia"/>
                <w:lang w:val="en-US" w:eastAsia="zh-CN"/>
              </w:rPr>
              <w:t>4.4-1</w:t>
            </w:r>
            <w:r>
              <w:rPr>
                <w:rFonts w:hint="default"/>
                <w:lang w:val="en-US" w:eastAsia="zh-CN"/>
              </w:rPr>
              <w:t xml:space="preserve">  项目固废产生及处置情况汇总表</w:t>
            </w:r>
          </w:p>
          <w:tbl>
            <w:tblPr>
              <w:tblStyle w:val="29"/>
              <w:tblW w:w="0" w:type="auto"/>
              <w:tblInd w:w="-15"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14"/>
              <w:gridCol w:w="689"/>
              <w:gridCol w:w="1270"/>
              <w:gridCol w:w="1155"/>
              <w:gridCol w:w="1440"/>
              <w:gridCol w:w="960"/>
              <w:gridCol w:w="2408"/>
            </w:tblGrid>
            <w:tr w14:paraId="5F46922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514" w:type="dxa"/>
                  <w:tcBorders>
                    <w:top w:val="single" w:color="000000" w:sz="12" w:space="0"/>
                    <w:left w:val="nil"/>
                    <w:tl2br w:val="nil"/>
                  </w:tcBorders>
                  <w:shd w:val="clear" w:color="auto" w:fill="auto"/>
                  <w:vAlign w:val="center"/>
                </w:tcPr>
                <w:p w14:paraId="0CE1C715">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序号</w:t>
                  </w:r>
                </w:p>
              </w:tc>
              <w:tc>
                <w:tcPr>
                  <w:tcW w:w="689" w:type="dxa"/>
                  <w:tcBorders>
                    <w:top w:val="single" w:color="000000" w:sz="12" w:space="0"/>
                  </w:tcBorders>
                  <w:shd w:val="clear" w:color="auto" w:fill="auto"/>
                  <w:vAlign w:val="center"/>
                </w:tcPr>
                <w:p w14:paraId="16C3E41E">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分类</w:t>
                  </w:r>
                </w:p>
              </w:tc>
              <w:tc>
                <w:tcPr>
                  <w:tcW w:w="1270" w:type="dxa"/>
                  <w:tcBorders>
                    <w:top w:val="single" w:color="000000" w:sz="12" w:space="0"/>
                  </w:tcBorders>
                  <w:shd w:val="clear" w:color="auto" w:fill="auto"/>
                  <w:vAlign w:val="center"/>
                </w:tcPr>
                <w:p w14:paraId="42520AC3">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固废名称</w:t>
                  </w:r>
                </w:p>
              </w:tc>
              <w:tc>
                <w:tcPr>
                  <w:tcW w:w="1155" w:type="dxa"/>
                  <w:tcBorders>
                    <w:top w:val="single" w:color="000000" w:sz="12" w:space="0"/>
                  </w:tcBorders>
                  <w:shd w:val="clear" w:color="auto" w:fill="auto"/>
                  <w:vAlign w:val="center"/>
                </w:tcPr>
                <w:p w14:paraId="7C4D17ED">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废物</w:t>
                  </w:r>
                </w:p>
              </w:tc>
              <w:tc>
                <w:tcPr>
                  <w:tcW w:w="1440" w:type="dxa"/>
                  <w:tcBorders>
                    <w:top w:val="single" w:color="000000" w:sz="12" w:space="0"/>
                  </w:tcBorders>
                  <w:shd w:val="clear" w:color="auto" w:fill="auto"/>
                  <w:vAlign w:val="center"/>
                </w:tcPr>
                <w:p w14:paraId="2A60E9DF">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废物代码</w:t>
                  </w:r>
                </w:p>
              </w:tc>
              <w:tc>
                <w:tcPr>
                  <w:tcW w:w="960" w:type="dxa"/>
                  <w:tcBorders>
                    <w:top w:val="single" w:color="000000" w:sz="12" w:space="0"/>
                  </w:tcBorders>
                  <w:shd w:val="clear" w:color="auto" w:fill="auto"/>
                  <w:vAlign w:val="center"/>
                </w:tcPr>
                <w:p w14:paraId="6DCD6395">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产生量t/a</w:t>
                  </w:r>
                </w:p>
              </w:tc>
              <w:tc>
                <w:tcPr>
                  <w:tcW w:w="2408" w:type="dxa"/>
                  <w:tcBorders>
                    <w:top w:val="single" w:color="000000" w:sz="12" w:space="0"/>
                    <w:right w:val="nil"/>
                  </w:tcBorders>
                  <w:shd w:val="clear" w:color="auto" w:fill="auto"/>
                  <w:vAlign w:val="center"/>
                </w:tcPr>
                <w:p w14:paraId="0C09A770">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处置方式</w:t>
                  </w:r>
                </w:p>
              </w:tc>
            </w:tr>
            <w:tr w14:paraId="7C7036F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514" w:type="dxa"/>
                  <w:tcBorders>
                    <w:left w:val="nil"/>
                  </w:tcBorders>
                  <w:shd w:val="clear" w:color="auto" w:fill="auto"/>
                  <w:vAlign w:val="center"/>
                </w:tcPr>
                <w:p w14:paraId="16C51DE7">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1</w:t>
                  </w:r>
                </w:p>
              </w:tc>
              <w:tc>
                <w:tcPr>
                  <w:tcW w:w="689" w:type="dxa"/>
                  <w:shd w:val="clear" w:color="auto" w:fill="auto"/>
                  <w:vAlign w:val="center"/>
                </w:tcPr>
                <w:p w14:paraId="179935BF">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一般固废</w:t>
                  </w:r>
                </w:p>
              </w:tc>
              <w:tc>
                <w:tcPr>
                  <w:tcW w:w="1270" w:type="dxa"/>
                  <w:shd w:val="clear" w:color="auto" w:fill="auto"/>
                  <w:vAlign w:val="center"/>
                </w:tcPr>
                <w:p w14:paraId="4FEA4CC9">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不合格产品</w:t>
                  </w:r>
                </w:p>
              </w:tc>
              <w:tc>
                <w:tcPr>
                  <w:tcW w:w="1155" w:type="dxa"/>
                  <w:shd w:val="clear" w:color="auto" w:fill="auto"/>
                  <w:vAlign w:val="center"/>
                </w:tcPr>
                <w:p w14:paraId="52743229">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w:t>
                  </w:r>
                </w:p>
              </w:tc>
              <w:tc>
                <w:tcPr>
                  <w:tcW w:w="1440" w:type="dxa"/>
                  <w:shd w:val="clear" w:color="auto" w:fill="auto"/>
                  <w:vAlign w:val="center"/>
                </w:tcPr>
                <w:p w14:paraId="4EC079A7">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w:t>
                  </w:r>
                </w:p>
              </w:tc>
              <w:tc>
                <w:tcPr>
                  <w:tcW w:w="960" w:type="dxa"/>
                  <w:shd w:val="clear" w:color="auto" w:fill="auto"/>
                  <w:vAlign w:val="center"/>
                </w:tcPr>
                <w:p w14:paraId="5EBDBC7A">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1.854万套/年</w:t>
                  </w:r>
                </w:p>
              </w:tc>
              <w:tc>
                <w:tcPr>
                  <w:tcW w:w="2408" w:type="dxa"/>
                  <w:tcBorders>
                    <w:right w:val="nil"/>
                  </w:tcBorders>
                  <w:shd w:val="clear" w:color="auto" w:fill="auto"/>
                  <w:noWrap/>
                  <w:vAlign w:val="center"/>
                </w:tcPr>
                <w:p w14:paraId="58AB7865">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退回待加工厂综合利用</w:t>
                  </w:r>
                </w:p>
              </w:tc>
            </w:tr>
            <w:tr w14:paraId="20BCAFF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514" w:type="dxa"/>
                  <w:tcBorders>
                    <w:left w:val="nil"/>
                  </w:tcBorders>
                  <w:shd w:val="clear" w:color="auto" w:fill="auto"/>
                  <w:vAlign w:val="center"/>
                </w:tcPr>
                <w:p w14:paraId="24D1DF99">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2</w:t>
                  </w:r>
                </w:p>
              </w:tc>
              <w:tc>
                <w:tcPr>
                  <w:tcW w:w="689" w:type="dxa"/>
                  <w:vMerge w:val="restart"/>
                  <w:shd w:val="clear" w:color="auto" w:fill="auto"/>
                  <w:vAlign w:val="center"/>
                </w:tcPr>
                <w:p w14:paraId="64B08AFC">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危险废物</w:t>
                  </w:r>
                </w:p>
              </w:tc>
              <w:tc>
                <w:tcPr>
                  <w:tcW w:w="1270" w:type="dxa"/>
                  <w:shd w:val="clear" w:color="auto" w:fill="auto"/>
                  <w:vAlign w:val="center"/>
                </w:tcPr>
                <w:p w14:paraId="0561E142">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水帘柜废液</w:t>
                  </w:r>
                </w:p>
              </w:tc>
              <w:tc>
                <w:tcPr>
                  <w:tcW w:w="1155" w:type="dxa"/>
                  <w:shd w:val="clear" w:color="auto" w:fill="auto"/>
                  <w:vAlign w:val="center"/>
                </w:tcPr>
                <w:p w14:paraId="7187ECAD">
                  <w:pPr>
                    <w:pStyle w:val="38"/>
                    <w:keepNext w:val="0"/>
                    <w:keepLines w:val="0"/>
                    <w:widowControl/>
                    <w:suppressLineNumbers w:val="0"/>
                    <w:bidi w:val="0"/>
                    <w:spacing w:before="0" w:beforeAutospacing="0" w:after="0" w:afterAutospacing="0"/>
                    <w:ind w:left="0" w:right="0"/>
                    <w:rPr>
                      <w:rFonts w:hint="eastAsia"/>
                      <w:szCs w:val="22"/>
                    </w:rPr>
                  </w:pPr>
                  <w:r>
                    <w:rPr>
                      <w:rFonts w:hint="default"/>
                      <w:szCs w:val="22"/>
                      <w:lang w:val="en-US" w:eastAsia="zh-CN"/>
                    </w:rPr>
                    <w:t>HW12</w:t>
                  </w:r>
                </w:p>
              </w:tc>
              <w:tc>
                <w:tcPr>
                  <w:tcW w:w="1440" w:type="dxa"/>
                  <w:shd w:val="clear" w:color="auto" w:fill="auto"/>
                  <w:vAlign w:val="center"/>
                </w:tcPr>
                <w:p w14:paraId="48B0B531">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900-252-12</w:t>
                  </w:r>
                </w:p>
              </w:tc>
              <w:tc>
                <w:tcPr>
                  <w:tcW w:w="960" w:type="dxa"/>
                  <w:shd w:val="clear" w:color="auto" w:fill="auto"/>
                  <w:vAlign w:val="center"/>
                </w:tcPr>
                <w:p w14:paraId="277C8D03">
                  <w:pPr>
                    <w:pStyle w:val="38"/>
                    <w:keepNext w:val="0"/>
                    <w:keepLines w:val="0"/>
                    <w:widowControl/>
                    <w:suppressLineNumbers w:val="0"/>
                    <w:bidi w:val="0"/>
                    <w:spacing w:before="0" w:beforeAutospacing="0" w:after="0" w:afterAutospacing="0"/>
                    <w:ind w:left="0" w:right="0"/>
                    <w:rPr>
                      <w:rFonts w:hint="default"/>
                      <w:szCs w:val="22"/>
                      <w:lang w:val="en-US"/>
                    </w:rPr>
                  </w:pPr>
                  <w:r>
                    <w:rPr>
                      <w:rFonts w:hint="eastAsia"/>
                      <w:szCs w:val="22"/>
                      <w:lang w:val="en-US" w:eastAsia="zh-CN"/>
                    </w:rPr>
                    <w:t>1.35</w:t>
                  </w:r>
                </w:p>
              </w:tc>
              <w:tc>
                <w:tcPr>
                  <w:tcW w:w="2408" w:type="dxa"/>
                  <w:vMerge w:val="restart"/>
                  <w:tcBorders>
                    <w:right w:val="nil"/>
                  </w:tcBorders>
                  <w:shd w:val="clear" w:color="auto" w:fill="auto"/>
                  <w:vAlign w:val="center"/>
                </w:tcPr>
                <w:p w14:paraId="5F614661">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暂存于危废贮存库内，定期委托有资质的单位处置</w:t>
                  </w:r>
                </w:p>
              </w:tc>
            </w:tr>
            <w:tr w14:paraId="1D54E7C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trPr>
              <w:tc>
                <w:tcPr>
                  <w:tcW w:w="514" w:type="dxa"/>
                  <w:tcBorders>
                    <w:left w:val="nil"/>
                  </w:tcBorders>
                  <w:shd w:val="clear" w:color="auto" w:fill="auto"/>
                  <w:vAlign w:val="center"/>
                </w:tcPr>
                <w:p w14:paraId="541BCD45">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3</w:t>
                  </w:r>
                </w:p>
              </w:tc>
              <w:tc>
                <w:tcPr>
                  <w:tcW w:w="689" w:type="dxa"/>
                  <w:vMerge w:val="continue"/>
                  <w:shd w:val="clear" w:color="auto" w:fill="auto"/>
                  <w:vAlign w:val="center"/>
                </w:tcPr>
                <w:p w14:paraId="3A50F51C">
                  <w:pPr>
                    <w:pStyle w:val="38"/>
                    <w:keepNext w:val="0"/>
                    <w:keepLines w:val="0"/>
                    <w:widowControl/>
                    <w:suppressLineNumbers w:val="0"/>
                    <w:bidi w:val="0"/>
                    <w:spacing w:before="0" w:beforeAutospacing="0" w:after="0" w:afterAutospacing="0"/>
                    <w:ind w:left="0" w:right="0"/>
                    <w:rPr>
                      <w:rFonts w:hint="eastAsia"/>
                      <w:szCs w:val="22"/>
                    </w:rPr>
                  </w:pPr>
                </w:p>
              </w:tc>
              <w:tc>
                <w:tcPr>
                  <w:tcW w:w="1270" w:type="dxa"/>
                  <w:shd w:val="clear" w:color="auto" w:fill="auto"/>
                  <w:vAlign w:val="center"/>
                </w:tcPr>
                <w:p w14:paraId="0B53F338">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废漆渣</w:t>
                  </w:r>
                </w:p>
              </w:tc>
              <w:tc>
                <w:tcPr>
                  <w:tcW w:w="1155" w:type="dxa"/>
                  <w:shd w:val="clear" w:color="auto" w:fill="auto"/>
                  <w:vAlign w:val="center"/>
                </w:tcPr>
                <w:p w14:paraId="05008513">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HW12</w:t>
                  </w:r>
                </w:p>
              </w:tc>
              <w:tc>
                <w:tcPr>
                  <w:tcW w:w="1440" w:type="dxa"/>
                  <w:shd w:val="clear" w:color="auto" w:fill="auto"/>
                  <w:vAlign w:val="center"/>
                </w:tcPr>
                <w:p w14:paraId="2CE09E81">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900-252-12</w:t>
                  </w:r>
                </w:p>
              </w:tc>
              <w:tc>
                <w:tcPr>
                  <w:tcW w:w="960" w:type="dxa"/>
                  <w:shd w:val="clear" w:color="auto" w:fill="auto"/>
                  <w:vAlign w:val="center"/>
                </w:tcPr>
                <w:p w14:paraId="45ED8FEF">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0.69</w:t>
                  </w:r>
                </w:p>
              </w:tc>
              <w:tc>
                <w:tcPr>
                  <w:tcW w:w="2408" w:type="dxa"/>
                  <w:vMerge w:val="continue"/>
                  <w:tcBorders>
                    <w:right w:val="nil"/>
                  </w:tcBorders>
                  <w:shd w:val="clear" w:color="auto" w:fill="auto"/>
                  <w:vAlign w:val="center"/>
                </w:tcPr>
                <w:p w14:paraId="7100B121">
                  <w:pPr>
                    <w:pStyle w:val="38"/>
                    <w:keepNext w:val="0"/>
                    <w:keepLines w:val="0"/>
                    <w:widowControl/>
                    <w:suppressLineNumbers w:val="0"/>
                    <w:bidi w:val="0"/>
                    <w:spacing w:before="0" w:beforeAutospacing="0" w:after="0" w:afterAutospacing="0"/>
                    <w:ind w:left="0" w:right="0"/>
                    <w:rPr>
                      <w:rFonts w:hint="eastAsia"/>
                      <w:szCs w:val="22"/>
                    </w:rPr>
                  </w:pPr>
                </w:p>
              </w:tc>
            </w:tr>
            <w:tr w14:paraId="64C9A1B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trPr>
              <w:tc>
                <w:tcPr>
                  <w:tcW w:w="514" w:type="dxa"/>
                  <w:tcBorders>
                    <w:left w:val="nil"/>
                  </w:tcBorders>
                  <w:shd w:val="clear" w:color="auto" w:fill="auto"/>
                  <w:vAlign w:val="center"/>
                </w:tcPr>
                <w:p w14:paraId="7FF481FF">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4</w:t>
                  </w:r>
                </w:p>
              </w:tc>
              <w:tc>
                <w:tcPr>
                  <w:tcW w:w="689" w:type="dxa"/>
                  <w:vMerge w:val="continue"/>
                  <w:shd w:val="clear" w:color="auto" w:fill="auto"/>
                  <w:vAlign w:val="center"/>
                </w:tcPr>
                <w:p w14:paraId="15D5D9C8">
                  <w:pPr>
                    <w:pStyle w:val="38"/>
                    <w:keepNext w:val="0"/>
                    <w:keepLines w:val="0"/>
                    <w:widowControl/>
                    <w:suppressLineNumbers w:val="0"/>
                    <w:bidi w:val="0"/>
                    <w:spacing w:before="0" w:beforeAutospacing="0" w:after="0" w:afterAutospacing="0"/>
                    <w:ind w:left="0" w:right="0"/>
                    <w:rPr>
                      <w:rFonts w:hint="eastAsia"/>
                      <w:szCs w:val="22"/>
                    </w:rPr>
                  </w:pPr>
                </w:p>
              </w:tc>
              <w:tc>
                <w:tcPr>
                  <w:tcW w:w="1270" w:type="dxa"/>
                  <w:shd w:val="clear" w:color="auto" w:fill="auto"/>
                  <w:vAlign w:val="center"/>
                </w:tcPr>
                <w:p w14:paraId="6FCB97FB">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废水性漆桶</w:t>
                  </w:r>
                </w:p>
              </w:tc>
              <w:tc>
                <w:tcPr>
                  <w:tcW w:w="1155" w:type="dxa"/>
                  <w:shd w:val="clear" w:color="auto" w:fill="auto"/>
                  <w:vAlign w:val="center"/>
                </w:tcPr>
                <w:p w14:paraId="7E17F9DC">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HW49</w:t>
                  </w:r>
                </w:p>
              </w:tc>
              <w:tc>
                <w:tcPr>
                  <w:tcW w:w="1440" w:type="dxa"/>
                  <w:shd w:val="clear" w:color="auto" w:fill="auto"/>
                  <w:vAlign w:val="center"/>
                </w:tcPr>
                <w:p w14:paraId="0578E74E">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900-041-49</w:t>
                  </w:r>
                </w:p>
              </w:tc>
              <w:tc>
                <w:tcPr>
                  <w:tcW w:w="960" w:type="dxa"/>
                  <w:shd w:val="clear" w:color="auto" w:fill="auto"/>
                  <w:vAlign w:val="center"/>
                </w:tcPr>
                <w:p w14:paraId="0F828FD1">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0.01</w:t>
                  </w:r>
                </w:p>
              </w:tc>
              <w:tc>
                <w:tcPr>
                  <w:tcW w:w="2408" w:type="dxa"/>
                  <w:vMerge w:val="continue"/>
                  <w:tcBorders>
                    <w:right w:val="nil"/>
                  </w:tcBorders>
                  <w:shd w:val="clear" w:color="auto" w:fill="auto"/>
                  <w:vAlign w:val="center"/>
                </w:tcPr>
                <w:p w14:paraId="0A153B29">
                  <w:pPr>
                    <w:pStyle w:val="38"/>
                    <w:keepNext w:val="0"/>
                    <w:keepLines w:val="0"/>
                    <w:widowControl/>
                    <w:suppressLineNumbers w:val="0"/>
                    <w:bidi w:val="0"/>
                    <w:spacing w:before="0" w:beforeAutospacing="0" w:after="0" w:afterAutospacing="0"/>
                    <w:ind w:left="0" w:right="0"/>
                    <w:rPr>
                      <w:rFonts w:hint="eastAsia"/>
                      <w:szCs w:val="22"/>
                    </w:rPr>
                  </w:pPr>
                </w:p>
              </w:tc>
            </w:tr>
            <w:tr w14:paraId="028D94E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trPr>
              <w:tc>
                <w:tcPr>
                  <w:tcW w:w="514" w:type="dxa"/>
                  <w:tcBorders>
                    <w:left w:val="nil"/>
                  </w:tcBorders>
                  <w:shd w:val="clear" w:color="auto" w:fill="auto"/>
                  <w:vAlign w:val="center"/>
                </w:tcPr>
                <w:p w14:paraId="7117E2F3">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5</w:t>
                  </w:r>
                </w:p>
              </w:tc>
              <w:tc>
                <w:tcPr>
                  <w:tcW w:w="689" w:type="dxa"/>
                  <w:vMerge w:val="continue"/>
                  <w:shd w:val="clear" w:color="auto" w:fill="auto"/>
                  <w:vAlign w:val="center"/>
                </w:tcPr>
                <w:p w14:paraId="6F2395DD">
                  <w:pPr>
                    <w:pStyle w:val="38"/>
                    <w:keepNext w:val="0"/>
                    <w:keepLines w:val="0"/>
                    <w:widowControl/>
                    <w:suppressLineNumbers w:val="0"/>
                    <w:bidi w:val="0"/>
                    <w:spacing w:before="0" w:beforeAutospacing="0" w:after="0" w:afterAutospacing="0"/>
                    <w:ind w:left="0" w:right="0"/>
                    <w:rPr>
                      <w:rFonts w:hint="eastAsia"/>
                      <w:szCs w:val="22"/>
                    </w:rPr>
                  </w:pPr>
                </w:p>
              </w:tc>
              <w:tc>
                <w:tcPr>
                  <w:tcW w:w="1270" w:type="dxa"/>
                  <w:shd w:val="clear" w:color="auto" w:fill="auto"/>
                  <w:vAlign w:val="center"/>
                </w:tcPr>
                <w:p w14:paraId="3CF72B15">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废油性漆桶</w:t>
                  </w:r>
                </w:p>
              </w:tc>
              <w:tc>
                <w:tcPr>
                  <w:tcW w:w="1155" w:type="dxa"/>
                  <w:shd w:val="clear" w:color="auto" w:fill="auto"/>
                  <w:vAlign w:val="center"/>
                </w:tcPr>
                <w:p w14:paraId="63A93E0B">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HW49</w:t>
                  </w:r>
                </w:p>
              </w:tc>
              <w:tc>
                <w:tcPr>
                  <w:tcW w:w="1440" w:type="dxa"/>
                  <w:shd w:val="clear" w:color="auto" w:fill="auto"/>
                  <w:vAlign w:val="center"/>
                </w:tcPr>
                <w:p w14:paraId="2372BEB0">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900-041-49</w:t>
                  </w:r>
                </w:p>
              </w:tc>
              <w:tc>
                <w:tcPr>
                  <w:tcW w:w="960" w:type="dxa"/>
                  <w:shd w:val="clear" w:color="auto" w:fill="auto"/>
                  <w:vAlign w:val="center"/>
                </w:tcPr>
                <w:p w14:paraId="6BB463D1">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0.04</w:t>
                  </w:r>
                </w:p>
              </w:tc>
              <w:tc>
                <w:tcPr>
                  <w:tcW w:w="2408" w:type="dxa"/>
                  <w:vMerge w:val="continue"/>
                  <w:tcBorders>
                    <w:right w:val="nil"/>
                  </w:tcBorders>
                  <w:shd w:val="clear" w:color="auto" w:fill="auto"/>
                  <w:vAlign w:val="center"/>
                </w:tcPr>
                <w:p w14:paraId="2FE3C828">
                  <w:pPr>
                    <w:pStyle w:val="38"/>
                    <w:keepNext w:val="0"/>
                    <w:keepLines w:val="0"/>
                    <w:widowControl/>
                    <w:suppressLineNumbers w:val="0"/>
                    <w:bidi w:val="0"/>
                    <w:spacing w:before="0" w:beforeAutospacing="0" w:after="0" w:afterAutospacing="0"/>
                    <w:ind w:left="0" w:right="0"/>
                    <w:rPr>
                      <w:rFonts w:hint="eastAsia"/>
                      <w:szCs w:val="22"/>
                    </w:rPr>
                  </w:pPr>
                </w:p>
              </w:tc>
            </w:tr>
            <w:tr w14:paraId="39EE3F8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514" w:type="dxa"/>
                  <w:tcBorders>
                    <w:left w:val="nil"/>
                  </w:tcBorders>
                  <w:shd w:val="clear" w:color="auto" w:fill="auto"/>
                  <w:vAlign w:val="center"/>
                </w:tcPr>
                <w:p w14:paraId="6A0B7856">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6</w:t>
                  </w:r>
                </w:p>
              </w:tc>
              <w:tc>
                <w:tcPr>
                  <w:tcW w:w="689" w:type="dxa"/>
                  <w:vMerge w:val="continue"/>
                  <w:shd w:val="clear" w:color="auto" w:fill="auto"/>
                  <w:vAlign w:val="center"/>
                </w:tcPr>
                <w:p w14:paraId="0D527C7D">
                  <w:pPr>
                    <w:pStyle w:val="38"/>
                    <w:keepNext w:val="0"/>
                    <w:keepLines w:val="0"/>
                    <w:widowControl/>
                    <w:suppressLineNumbers w:val="0"/>
                    <w:bidi w:val="0"/>
                    <w:spacing w:before="0" w:beforeAutospacing="0" w:after="0" w:afterAutospacing="0"/>
                    <w:ind w:left="0" w:right="0"/>
                    <w:rPr>
                      <w:rFonts w:hint="eastAsia"/>
                      <w:szCs w:val="22"/>
                    </w:rPr>
                  </w:pPr>
                </w:p>
              </w:tc>
              <w:tc>
                <w:tcPr>
                  <w:tcW w:w="1270" w:type="dxa"/>
                  <w:shd w:val="clear" w:color="auto" w:fill="auto"/>
                  <w:vAlign w:val="center"/>
                </w:tcPr>
                <w:p w14:paraId="575CDE69">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废活性炭</w:t>
                  </w:r>
                </w:p>
              </w:tc>
              <w:tc>
                <w:tcPr>
                  <w:tcW w:w="1155" w:type="dxa"/>
                  <w:shd w:val="clear" w:color="auto" w:fill="auto"/>
                  <w:vAlign w:val="center"/>
                </w:tcPr>
                <w:p w14:paraId="1AE0117B">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HW49</w:t>
                  </w:r>
                </w:p>
              </w:tc>
              <w:tc>
                <w:tcPr>
                  <w:tcW w:w="1440" w:type="dxa"/>
                  <w:shd w:val="clear" w:color="auto" w:fill="auto"/>
                  <w:vAlign w:val="center"/>
                </w:tcPr>
                <w:p w14:paraId="5246CCC1">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900-039-49</w:t>
                  </w:r>
                </w:p>
              </w:tc>
              <w:tc>
                <w:tcPr>
                  <w:tcW w:w="960" w:type="dxa"/>
                  <w:shd w:val="clear" w:color="auto" w:fill="auto"/>
                  <w:vAlign w:val="center"/>
                </w:tcPr>
                <w:p w14:paraId="758952B3">
                  <w:pPr>
                    <w:pStyle w:val="38"/>
                    <w:keepNext w:val="0"/>
                    <w:keepLines w:val="0"/>
                    <w:widowControl/>
                    <w:suppressLineNumbers w:val="0"/>
                    <w:bidi w:val="0"/>
                    <w:spacing w:before="0" w:beforeAutospacing="0" w:after="0" w:afterAutospacing="0"/>
                    <w:ind w:left="0" w:right="0"/>
                    <w:rPr>
                      <w:rFonts w:hint="default"/>
                      <w:szCs w:val="22"/>
                      <w:lang w:val="en-US"/>
                    </w:rPr>
                  </w:pPr>
                  <w:r>
                    <w:rPr>
                      <w:rFonts w:hint="eastAsia"/>
                      <w:szCs w:val="22"/>
                      <w:lang w:val="en-US" w:eastAsia="zh-CN"/>
                    </w:rPr>
                    <w:t>4.95</w:t>
                  </w:r>
                </w:p>
              </w:tc>
              <w:tc>
                <w:tcPr>
                  <w:tcW w:w="2408" w:type="dxa"/>
                  <w:vMerge w:val="continue"/>
                  <w:tcBorders>
                    <w:right w:val="nil"/>
                  </w:tcBorders>
                  <w:shd w:val="clear" w:color="auto" w:fill="auto"/>
                  <w:vAlign w:val="center"/>
                </w:tcPr>
                <w:p w14:paraId="52F162F5">
                  <w:pPr>
                    <w:pStyle w:val="38"/>
                    <w:keepNext w:val="0"/>
                    <w:keepLines w:val="0"/>
                    <w:widowControl/>
                    <w:suppressLineNumbers w:val="0"/>
                    <w:bidi w:val="0"/>
                    <w:spacing w:before="0" w:beforeAutospacing="0" w:after="0" w:afterAutospacing="0"/>
                    <w:ind w:left="0" w:right="0"/>
                    <w:rPr>
                      <w:rFonts w:hint="eastAsia"/>
                      <w:szCs w:val="22"/>
                    </w:rPr>
                  </w:pPr>
                </w:p>
              </w:tc>
            </w:tr>
            <w:tr w14:paraId="048F601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trPr>
              <w:tc>
                <w:tcPr>
                  <w:tcW w:w="514" w:type="dxa"/>
                  <w:tcBorders>
                    <w:left w:val="nil"/>
                  </w:tcBorders>
                  <w:shd w:val="clear" w:color="auto" w:fill="auto"/>
                  <w:vAlign w:val="center"/>
                </w:tcPr>
                <w:p w14:paraId="286C16CD">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7</w:t>
                  </w:r>
                </w:p>
              </w:tc>
              <w:tc>
                <w:tcPr>
                  <w:tcW w:w="689" w:type="dxa"/>
                  <w:vMerge w:val="continue"/>
                  <w:shd w:val="clear" w:color="auto" w:fill="auto"/>
                  <w:vAlign w:val="center"/>
                </w:tcPr>
                <w:p w14:paraId="40F838E7">
                  <w:pPr>
                    <w:pStyle w:val="38"/>
                    <w:keepNext w:val="0"/>
                    <w:keepLines w:val="0"/>
                    <w:widowControl/>
                    <w:suppressLineNumbers w:val="0"/>
                    <w:bidi w:val="0"/>
                    <w:spacing w:before="0" w:beforeAutospacing="0" w:after="0" w:afterAutospacing="0"/>
                    <w:ind w:left="0" w:right="0"/>
                    <w:rPr>
                      <w:rFonts w:hint="eastAsia"/>
                      <w:szCs w:val="22"/>
                    </w:rPr>
                  </w:pPr>
                </w:p>
              </w:tc>
              <w:tc>
                <w:tcPr>
                  <w:tcW w:w="1270" w:type="dxa"/>
                  <w:shd w:val="clear" w:color="auto" w:fill="auto"/>
                  <w:vAlign w:val="center"/>
                </w:tcPr>
                <w:p w14:paraId="488C335E">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废过滤棉</w:t>
                  </w:r>
                </w:p>
              </w:tc>
              <w:tc>
                <w:tcPr>
                  <w:tcW w:w="1155" w:type="dxa"/>
                  <w:shd w:val="clear" w:color="auto" w:fill="auto"/>
                  <w:vAlign w:val="center"/>
                </w:tcPr>
                <w:p w14:paraId="6616B142">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HW49</w:t>
                  </w:r>
                </w:p>
              </w:tc>
              <w:tc>
                <w:tcPr>
                  <w:tcW w:w="1440" w:type="dxa"/>
                  <w:shd w:val="clear" w:color="auto" w:fill="auto"/>
                  <w:vAlign w:val="center"/>
                </w:tcPr>
                <w:p w14:paraId="236A6B15">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900-041-49</w:t>
                  </w:r>
                </w:p>
              </w:tc>
              <w:tc>
                <w:tcPr>
                  <w:tcW w:w="960" w:type="dxa"/>
                  <w:shd w:val="clear" w:color="auto" w:fill="auto"/>
                  <w:vAlign w:val="center"/>
                </w:tcPr>
                <w:p w14:paraId="43FDD01D">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0.2</w:t>
                  </w:r>
                </w:p>
              </w:tc>
              <w:tc>
                <w:tcPr>
                  <w:tcW w:w="2408" w:type="dxa"/>
                  <w:vMerge w:val="continue"/>
                  <w:tcBorders>
                    <w:right w:val="nil"/>
                  </w:tcBorders>
                  <w:shd w:val="clear" w:color="auto" w:fill="auto"/>
                  <w:vAlign w:val="center"/>
                </w:tcPr>
                <w:p w14:paraId="3E1E63A8">
                  <w:pPr>
                    <w:pStyle w:val="38"/>
                    <w:keepNext w:val="0"/>
                    <w:keepLines w:val="0"/>
                    <w:widowControl/>
                    <w:suppressLineNumbers w:val="0"/>
                    <w:bidi w:val="0"/>
                    <w:spacing w:before="0" w:beforeAutospacing="0" w:after="0" w:afterAutospacing="0"/>
                    <w:ind w:left="0" w:right="0"/>
                    <w:rPr>
                      <w:rFonts w:hint="eastAsia"/>
                      <w:szCs w:val="22"/>
                    </w:rPr>
                  </w:pPr>
                </w:p>
              </w:tc>
            </w:tr>
            <w:tr w14:paraId="0B14FD7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514" w:type="dxa"/>
                  <w:tcBorders>
                    <w:left w:val="nil"/>
                  </w:tcBorders>
                  <w:shd w:val="clear" w:color="auto" w:fill="auto"/>
                  <w:vAlign w:val="center"/>
                </w:tcPr>
                <w:p w14:paraId="114D77C7">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8</w:t>
                  </w:r>
                </w:p>
              </w:tc>
              <w:tc>
                <w:tcPr>
                  <w:tcW w:w="689" w:type="dxa"/>
                  <w:vMerge w:val="continue"/>
                  <w:shd w:val="clear" w:color="auto" w:fill="auto"/>
                  <w:vAlign w:val="center"/>
                </w:tcPr>
                <w:p w14:paraId="6CD318BE">
                  <w:pPr>
                    <w:pStyle w:val="38"/>
                    <w:keepNext w:val="0"/>
                    <w:keepLines w:val="0"/>
                    <w:widowControl/>
                    <w:suppressLineNumbers w:val="0"/>
                    <w:bidi w:val="0"/>
                    <w:spacing w:before="0" w:beforeAutospacing="0" w:after="0" w:afterAutospacing="0"/>
                    <w:ind w:left="0" w:right="0"/>
                    <w:rPr>
                      <w:rFonts w:hint="eastAsia"/>
                      <w:szCs w:val="22"/>
                    </w:rPr>
                  </w:pPr>
                </w:p>
              </w:tc>
              <w:tc>
                <w:tcPr>
                  <w:tcW w:w="1270" w:type="dxa"/>
                  <w:shd w:val="clear" w:color="auto" w:fill="auto"/>
                  <w:vAlign w:val="center"/>
                </w:tcPr>
                <w:p w14:paraId="577E34A2">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废机油</w:t>
                  </w:r>
                </w:p>
              </w:tc>
              <w:tc>
                <w:tcPr>
                  <w:tcW w:w="1155" w:type="dxa"/>
                  <w:shd w:val="clear" w:color="auto" w:fill="auto"/>
                  <w:vAlign w:val="center"/>
                </w:tcPr>
                <w:p w14:paraId="0321F044">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HW08</w:t>
                  </w:r>
                </w:p>
              </w:tc>
              <w:tc>
                <w:tcPr>
                  <w:tcW w:w="1440" w:type="dxa"/>
                  <w:shd w:val="clear" w:color="auto" w:fill="auto"/>
                  <w:vAlign w:val="center"/>
                </w:tcPr>
                <w:p w14:paraId="073B3BE7">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900-249-08</w:t>
                  </w:r>
                </w:p>
              </w:tc>
              <w:tc>
                <w:tcPr>
                  <w:tcW w:w="960" w:type="dxa"/>
                  <w:shd w:val="clear" w:color="auto" w:fill="auto"/>
                  <w:vAlign w:val="center"/>
                </w:tcPr>
                <w:p w14:paraId="6F71C39C">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0.01</w:t>
                  </w:r>
                </w:p>
              </w:tc>
              <w:tc>
                <w:tcPr>
                  <w:tcW w:w="2408" w:type="dxa"/>
                  <w:vMerge w:val="continue"/>
                  <w:tcBorders>
                    <w:right w:val="nil"/>
                  </w:tcBorders>
                  <w:shd w:val="clear" w:color="auto" w:fill="auto"/>
                  <w:vAlign w:val="center"/>
                </w:tcPr>
                <w:p w14:paraId="52028690">
                  <w:pPr>
                    <w:pStyle w:val="38"/>
                    <w:keepNext w:val="0"/>
                    <w:keepLines w:val="0"/>
                    <w:widowControl/>
                    <w:suppressLineNumbers w:val="0"/>
                    <w:bidi w:val="0"/>
                    <w:spacing w:before="0" w:beforeAutospacing="0" w:after="0" w:afterAutospacing="0"/>
                    <w:ind w:left="0" w:right="0"/>
                    <w:rPr>
                      <w:rFonts w:hint="eastAsia"/>
                      <w:szCs w:val="22"/>
                    </w:rPr>
                  </w:pPr>
                </w:p>
              </w:tc>
            </w:tr>
            <w:tr w14:paraId="6D3CB25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514" w:type="dxa"/>
                  <w:tcBorders>
                    <w:left w:val="nil"/>
                    <w:bottom w:val="single" w:color="000000" w:sz="12" w:space="0"/>
                  </w:tcBorders>
                  <w:shd w:val="clear" w:color="auto" w:fill="auto"/>
                  <w:vAlign w:val="center"/>
                </w:tcPr>
                <w:p w14:paraId="5A4DC410">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9</w:t>
                  </w:r>
                </w:p>
              </w:tc>
              <w:tc>
                <w:tcPr>
                  <w:tcW w:w="1959" w:type="dxa"/>
                  <w:gridSpan w:val="2"/>
                  <w:tcBorders>
                    <w:bottom w:val="single" w:color="000000" w:sz="12" w:space="0"/>
                  </w:tcBorders>
                  <w:shd w:val="clear" w:color="auto" w:fill="auto"/>
                  <w:vAlign w:val="center"/>
                </w:tcPr>
                <w:p w14:paraId="5A8E48A9">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生活垃圾</w:t>
                  </w:r>
                </w:p>
              </w:tc>
              <w:tc>
                <w:tcPr>
                  <w:tcW w:w="1155" w:type="dxa"/>
                  <w:tcBorders>
                    <w:bottom w:val="single" w:color="000000" w:sz="12" w:space="0"/>
                  </w:tcBorders>
                  <w:shd w:val="clear" w:color="auto" w:fill="auto"/>
                  <w:vAlign w:val="center"/>
                </w:tcPr>
                <w:p w14:paraId="36A23729">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w:t>
                  </w:r>
                </w:p>
              </w:tc>
              <w:tc>
                <w:tcPr>
                  <w:tcW w:w="1440" w:type="dxa"/>
                  <w:tcBorders>
                    <w:bottom w:val="single" w:color="000000" w:sz="12" w:space="0"/>
                  </w:tcBorders>
                  <w:shd w:val="clear" w:color="auto" w:fill="auto"/>
                  <w:vAlign w:val="center"/>
                </w:tcPr>
                <w:p w14:paraId="1603CE10">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w:t>
                  </w:r>
                </w:p>
              </w:tc>
              <w:tc>
                <w:tcPr>
                  <w:tcW w:w="960" w:type="dxa"/>
                  <w:tcBorders>
                    <w:bottom w:val="single" w:color="000000" w:sz="12" w:space="0"/>
                  </w:tcBorders>
                  <w:shd w:val="clear" w:color="auto" w:fill="auto"/>
                  <w:vAlign w:val="center"/>
                </w:tcPr>
                <w:p w14:paraId="2B62CC35">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1.95</w:t>
                  </w:r>
                </w:p>
              </w:tc>
              <w:tc>
                <w:tcPr>
                  <w:tcW w:w="2408" w:type="dxa"/>
                  <w:tcBorders>
                    <w:bottom w:val="single" w:color="000000" w:sz="12" w:space="0"/>
                    <w:right w:val="nil"/>
                  </w:tcBorders>
                  <w:shd w:val="clear" w:color="auto" w:fill="auto"/>
                  <w:vAlign w:val="center"/>
                </w:tcPr>
                <w:p w14:paraId="366ADA3C">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分类收集后交由环卫部门统一清运处置</w:t>
                  </w:r>
                </w:p>
              </w:tc>
            </w:tr>
          </w:tbl>
          <w:p w14:paraId="751FDD0D">
            <w:pPr>
              <w:pStyle w:val="4"/>
              <w:suppressLineNumbers w:val="0"/>
              <w:bidi w:val="0"/>
              <w:spacing w:before="0" w:beforeAutospacing="0" w:after="0" w:afterAutospacing="0"/>
              <w:ind w:left="0" w:right="0"/>
              <w:rPr>
                <w:rFonts w:hint="eastAsia"/>
                <w:lang w:val="en-US" w:eastAsia="zh-CN"/>
              </w:rPr>
            </w:pPr>
            <w:r>
              <w:rPr>
                <w:rFonts w:hint="eastAsia"/>
                <w:lang w:val="en-US" w:eastAsia="zh-CN"/>
              </w:rPr>
              <w:t>固体废物管理要求</w:t>
            </w:r>
          </w:p>
          <w:p w14:paraId="544AC90A">
            <w:pPr>
              <w:pStyle w:val="5"/>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一般工业固废</w:t>
            </w:r>
          </w:p>
          <w:p w14:paraId="30FFF93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本项目在生产过程中产生</w:t>
            </w:r>
            <w:r>
              <w:rPr>
                <w:rFonts w:hint="eastAsia" w:ascii="Times New Roman" w:hAnsi="Times New Roman" w:eastAsia="宋体" w:cs="Times New Roman"/>
                <w:color w:val="auto"/>
                <w:sz w:val="24"/>
                <w:szCs w:val="24"/>
                <w:highlight w:val="none"/>
                <w:lang w:val="en-US" w:eastAsia="zh-CN"/>
              </w:rPr>
              <w:t>的一般固废为：</w:t>
            </w:r>
            <w:r>
              <w:rPr>
                <w:rFonts w:hint="eastAsia" w:cs="Times New Roman"/>
                <w:color w:val="auto"/>
                <w:sz w:val="24"/>
                <w:highlight w:val="none"/>
                <w:lang w:val="en-US" w:eastAsia="zh-CN"/>
              </w:rPr>
              <w:t>不合格产品</w:t>
            </w:r>
            <w:r>
              <w:rPr>
                <w:rFonts w:hint="eastAsia" w:ascii="Times New Roman" w:hAnsi="Times New Roman" w:eastAsia="宋体" w:cs="Times New Roman"/>
                <w:color w:val="auto"/>
                <w:sz w:val="24"/>
                <w:highlight w:val="none"/>
                <w:lang w:val="en-US" w:eastAsia="zh-CN"/>
              </w:rPr>
              <w:t>等</w:t>
            </w:r>
            <w:r>
              <w:rPr>
                <w:rFonts w:hint="eastAsia" w:ascii="Times New Roman" w:hAnsi="Times New Roman" w:eastAsia="宋体" w:cs="Times New Roman"/>
                <w:bCs/>
                <w:color w:val="auto"/>
                <w:sz w:val="24"/>
                <w:highlight w:val="none"/>
                <w:lang w:val="en-US" w:eastAsia="zh-CN"/>
              </w:rPr>
              <w:t>集中收集后回用于生产。</w:t>
            </w:r>
            <w:r>
              <w:rPr>
                <w:rFonts w:hint="default" w:ascii="Times New Roman" w:hAnsi="Times New Roman" w:eastAsia="宋体" w:cs="Times New Roman"/>
                <w:color w:val="auto"/>
                <w:sz w:val="24"/>
                <w:szCs w:val="24"/>
                <w:highlight w:val="none"/>
              </w:rPr>
              <w:t>本评价要求项目</w:t>
            </w:r>
            <w:r>
              <w:rPr>
                <w:rFonts w:hint="eastAsia" w:ascii="Times New Roman" w:hAnsi="Times New Roman" w:eastAsia="宋体" w:cs="Times New Roman"/>
                <w:color w:val="auto"/>
                <w:sz w:val="24"/>
                <w:szCs w:val="24"/>
                <w:highlight w:val="none"/>
                <w:lang w:eastAsia="zh-CN"/>
              </w:rPr>
              <w:t>产生的</w:t>
            </w:r>
            <w:r>
              <w:rPr>
                <w:rFonts w:hint="default" w:ascii="Times New Roman" w:hAnsi="Times New Roman" w:eastAsia="宋体" w:cs="Times New Roman"/>
                <w:color w:val="auto"/>
                <w:sz w:val="24"/>
                <w:szCs w:val="24"/>
                <w:highlight w:val="none"/>
              </w:rPr>
              <w:t>一般工业固废</w:t>
            </w:r>
            <w:r>
              <w:rPr>
                <w:rFonts w:hint="eastAsia" w:ascii="Times New Roman" w:hAnsi="Times New Roman" w:eastAsia="宋体" w:cs="Times New Roman"/>
                <w:color w:val="auto"/>
                <w:sz w:val="24"/>
                <w:szCs w:val="24"/>
                <w:highlight w:val="none"/>
                <w:lang w:eastAsia="zh-CN"/>
              </w:rPr>
              <w:t>应按</w:t>
            </w:r>
            <w:r>
              <w:rPr>
                <w:rFonts w:hint="default" w:ascii="Times New Roman" w:hAnsi="Times New Roman" w:eastAsia="宋体" w:cs="Times New Roman"/>
                <w:color w:val="auto"/>
                <w:sz w:val="24"/>
                <w:szCs w:val="24"/>
                <w:highlight w:val="none"/>
              </w:rPr>
              <w:t>《一般工业固体废物贮存和填埋污染控制标准》</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GB18599-20</w:t>
            </w:r>
            <w:r>
              <w:rPr>
                <w:rFonts w:hint="eastAsia" w:ascii="Times New Roman" w:hAnsi="Times New Roman" w:eastAsia="宋体" w:cs="Times New Roman"/>
                <w:color w:val="auto"/>
                <w:sz w:val="24"/>
                <w:szCs w:val="24"/>
                <w:highlight w:val="none"/>
                <w:lang w:val="en-US" w:eastAsia="zh-CN"/>
              </w:rPr>
              <w:t>20</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中要求</w:t>
            </w:r>
            <w:r>
              <w:rPr>
                <w:rFonts w:hint="eastAsia" w:ascii="Times New Roman" w:hAnsi="Times New Roman" w:eastAsia="宋体" w:cs="Times New Roman"/>
                <w:color w:val="auto"/>
                <w:sz w:val="24"/>
                <w:szCs w:val="24"/>
                <w:highlight w:val="none"/>
                <w:lang w:eastAsia="zh-CN"/>
              </w:rPr>
              <w:t>进行规范化的处理处置</w:t>
            </w:r>
            <w:r>
              <w:rPr>
                <w:rFonts w:hint="default" w:ascii="Times New Roman" w:hAnsi="Times New Roman" w:eastAsia="宋体" w:cs="Times New Roman"/>
                <w:color w:val="auto"/>
                <w:sz w:val="24"/>
                <w:szCs w:val="24"/>
                <w:highlight w:val="none"/>
              </w:rPr>
              <w:t>，并做好</w:t>
            </w:r>
            <w:r>
              <w:rPr>
                <w:rFonts w:hint="default" w:ascii="Times New Roman" w:hAnsi="Times New Roman" w:eastAsia="宋体" w:cs="Times New Roman"/>
                <w:color w:val="auto"/>
                <w:sz w:val="24"/>
                <w:szCs w:val="24"/>
                <w:highlight w:val="none"/>
                <w:lang w:val="en-US" w:eastAsia="zh-CN"/>
              </w:rPr>
              <w:t>防风、防雨、防晒、防渗漏</w:t>
            </w:r>
            <w:r>
              <w:rPr>
                <w:rFonts w:hint="eastAsia" w:ascii="Times New Roman" w:hAnsi="Times New Roman" w:eastAsia="宋体" w:cs="Times New Roman"/>
                <w:color w:val="auto"/>
                <w:sz w:val="24"/>
                <w:szCs w:val="24"/>
                <w:highlight w:val="none"/>
                <w:lang w:val="en-US" w:eastAsia="zh-CN"/>
              </w:rPr>
              <w:t>等</w:t>
            </w:r>
            <w:r>
              <w:rPr>
                <w:rFonts w:hint="default" w:ascii="Times New Roman" w:hAnsi="Times New Roman" w:eastAsia="宋体" w:cs="Times New Roman"/>
                <w:color w:val="auto"/>
                <w:sz w:val="24"/>
                <w:szCs w:val="24"/>
                <w:highlight w:val="none"/>
              </w:rPr>
              <w:t>措施。</w:t>
            </w:r>
          </w:p>
          <w:p w14:paraId="4A609037">
            <w:pPr>
              <w:pStyle w:val="5"/>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危险废物</w:t>
            </w:r>
          </w:p>
          <w:p w14:paraId="3FF3A846">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rPr>
              <w:t>建设单位拟在厂</w:t>
            </w:r>
            <w:r>
              <w:rPr>
                <w:rFonts w:hint="eastAsia" w:ascii="Times New Roman" w:hAnsi="Times New Roman" w:eastAsia="宋体" w:cs="Times New Roman"/>
                <w:bCs/>
                <w:color w:val="auto"/>
                <w:sz w:val="24"/>
                <w:highlight w:val="none"/>
                <w:lang w:val="en-US" w:eastAsia="zh-CN"/>
              </w:rPr>
              <w:t>区</w:t>
            </w:r>
            <w:r>
              <w:rPr>
                <w:rFonts w:hint="default" w:ascii="Times New Roman" w:hAnsi="Times New Roman" w:eastAsia="宋体" w:cs="Times New Roman"/>
                <w:bCs/>
                <w:color w:val="auto"/>
                <w:sz w:val="24"/>
                <w:highlight w:val="none"/>
                <w:lang w:val="en-US"/>
              </w:rPr>
              <w:t>内设置一处</w:t>
            </w:r>
            <w:r>
              <w:rPr>
                <w:rFonts w:hint="eastAsia" w:cs="Times New Roman"/>
                <w:bCs/>
                <w:color w:val="auto"/>
                <w:sz w:val="24"/>
                <w:highlight w:val="none"/>
                <w:lang w:val="en-US" w:eastAsia="zh-CN"/>
              </w:rPr>
              <w:t>危废贮存库</w:t>
            </w:r>
            <w:r>
              <w:rPr>
                <w:rFonts w:hint="default" w:ascii="Times New Roman" w:hAnsi="Times New Roman" w:eastAsia="宋体" w:cs="Times New Roman"/>
                <w:bCs/>
                <w:color w:val="auto"/>
                <w:sz w:val="24"/>
                <w:highlight w:val="none"/>
                <w:lang w:val="en-US"/>
              </w:rPr>
              <w:t>，危险废物收集后分类分区贮存于</w:t>
            </w:r>
            <w:r>
              <w:rPr>
                <w:rFonts w:hint="eastAsia" w:cs="Times New Roman"/>
                <w:bCs/>
                <w:color w:val="auto"/>
                <w:sz w:val="24"/>
                <w:highlight w:val="none"/>
                <w:lang w:val="en-US" w:eastAsia="zh-CN"/>
              </w:rPr>
              <w:t>危废贮存库</w:t>
            </w:r>
            <w:r>
              <w:rPr>
                <w:rFonts w:hint="default" w:ascii="Times New Roman" w:hAnsi="Times New Roman" w:eastAsia="宋体" w:cs="Times New Roman"/>
                <w:bCs/>
                <w:color w:val="auto"/>
                <w:sz w:val="24"/>
                <w:highlight w:val="none"/>
                <w:lang w:val="en-US"/>
              </w:rPr>
              <w:t>并委托有资质单位处置。危险废物在厂区内贮存执行《危险废物贮存污染</w:t>
            </w:r>
            <w:r>
              <w:rPr>
                <w:rFonts w:hint="eastAsia" w:cs="Times New Roman"/>
                <w:bCs/>
                <w:color w:val="auto"/>
                <w:sz w:val="24"/>
                <w:highlight w:val="none"/>
                <w:lang w:val="en-US" w:eastAsia="zh-CN"/>
              </w:rPr>
              <w:t>控制</w:t>
            </w:r>
            <w:r>
              <w:rPr>
                <w:rFonts w:hint="default" w:ascii="Times New Roman" w:hAnsi="Times New Roman" w:eastAsia="宋体" w:cs="Times New Roman"/>
                <w:bCs/>
                <w:color w:val="auto"/>
                <w:sz w:val="24"/>
                <w:highlight w:val="none"/>
                <w:lang w:val="en-US"/>
              </w:rPr>
              <w:t>标准》（GB18597-2023）</w:t>
            </w:r>
            <w:r>
              <w:rPr>
                <w:rFonts w:hint="eastAsia" w:ascii="Times New Roman" w:hAnsi="Times New Roman" w:eastAsia="宋体" w:cs="Times New Roman"/>
                <w:bCs/>
                <w:color w:val="auto"/>
                <w:sz w:val="24"/>
                <w:highlight w:val="none"/>
                <w:lang w:val="en-US" w:eastAsia="zh-CN"/>
              </w:rPr>
              <w:t>。</w:t>
            </w:r>
          </w:p>
          <w:p w14:paraId="1F708FA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①危险废物的收集和临时贮存要求</w:t>
            </w:r>
          </w:p>
          <w:p w14:paraId="6BB0942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eastAsia" w:cs="Times New Roman"/>
                <w:bCs/>
                <w:color w:val="auto"/>
                <w:sz w:val="24"/>
                <w:highlight w:val="none"/>
                <w:lang w:val="en-US" w:eastAsia="zh-CN"/>
              </w:rPr>
              <w:t>危废贮存库</w:t>
            </w:r>
            <w:r>
              <w:rPr>
                <w:rFonts w:hint="default" w:ascii="Times New Roman" w:hAnsi="Times New Roman" w:eastAsia="宋体" w:cs="Times New Roman"/>
                <w:bCs/>
                <w:color w:val="auto"/>
                <w:sz w:val="24"/>
                <w:highlight w:val="none"/>
                <w:lang w:val="en-US"/>
              </w:rPr>
              <w:t>应严格按照《危险废物贮存污染控制标准》（GB18597-2023）中的有关规定执行及建设，同时还需委托有资质的单位处置。根据《中华人民共和国固体废物污染环境防治法</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rPr>
              <w:t>危险废物收集、贮存、运输技术规范》（HJ2025-2012）、《危险废物贮存污染控制标准》</w:t>
            </w:r>
            <w:r>
              <w:rPr>
                <w:rFonts w:hint="eastAsia" w:cs="Times New Roman"/>
                <w:color w:val="auto"/>
                <w:kern w:val="0"/>
                <w:highlight w:val="none"/>
              </w:rPr>
              <w:t>（GB18597-2023）</w:t>
            </w:r>
            <w:r>
              <w:rPr>
                <w:rFonts w:hint="default" w:ascii="Times New Roman" w:hAnsi="Times New Roman" w:eastAsia="宋体" w:cs="Times New Roman"/>
                <w:bCs/>
                <w:color w:val="auto"/>
                <w:sz w:val="24"/>
                <w:highlight w:val="none"/>
                <w:lang w:val="en-US"/>
              </w:rPr>
              <w:t>，项目在运营过程中，按照以下要求管理危险废物：</w:t>
            </w:r>
          </w:p>
          <w:p w14:paraId="42383C9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a.加强危险废物管理，制定危险废物管理计划，并报当地生态环境部门备案。对员工进行培训，提高全体人员对危险废物管理的认识。确保相关管理人员和从事危废收集、运送、贮存等工作的人员掌握国家相关法律法规、规章和有关规范性文件的规定，熟悉本单位制定的危险废物管理规章制度、工作流程等各项工作要求；掌握危险废物分类收集、运送、贮存的正确方法和操作程序，提高安全防护和应急处置能力。</w:t>
            </w:r>
          </w:p>
          <w:p w14:paraId="4053AE9F">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b.建设单位必须严格按照《危险废物收集贮存运输技术规范》（HJ2025-2012）的</w:t>
            </w:r>
            <w:r>
              <w:rPr>
                <w:rFonts w:hint="eastAsia" w:cs="Times New Roman"/>
                <w:bCs/>
                <w:color w:val="auto"/>
                <w:sz w:val="24"/>
                <w:highlight w:val="none"/>
                <w:lang w:val="en-US" w:eastAsia="zh-CN"/>
              </w:rPr>
              <w:t>要求</w:t>
            </w:r>
            <w:r>
              <w:rPr>
                <w:rFonts w:hint="default" w:ascii="Times New Roman" w:hAnsi="Times New Roman" w:eastAsia="宋体" w:cs="Times New Roman"/>
                <w:bCs/>
                <w:color w:val="auto"/>
                <w:sz w:val="24"/>
                <w:highlight w:val="none"/>
                <w:lang w:val="en-US"/>
              </w:rPr>
              <w:t>进行危险废物的收集、贮存和运输。危险废物的收集、贮存，须按照其特性分类进行。禁止混合收集、贮存、运输、处置性质不相容而未经安全性处置的危废。盛装危废的容器和包装物，要确保无破损、泄漏和其他缺陷，并依据《危险废物贮存污染控制标准》（GB18597-2023）的规范建设危废贮存场所并设置危废标识。危险废物运输应由持有危险废物经营许可证的单位按照其许可证的经营范围组织实施，承担危险废物运输的单位应获得交通运输部门颁发的危险货物运输资质。</w:t>
            </w:r>
          </w:p>
          <w:p w14:paraId="25C4AED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c.规范建设</w:t>
            </w:r>
            <w:r>
              <w:rPr>
                <w:rFonts w:hint="eastAsia" w:cs="Times New Roman"/>
                <w:bCs/>
                <w:color w:val="auto"/>
                <w:sz w:val="24"/>
                <w:highlight w:val="none"/>
                <w:lang w:val="en-US" w:eastAsia="zh-CN"/>
              </w:rPr>
              <w:t>危废贮存库</w:t>
            </w:r>
            <w:r>
              <w:rPr>
                <w:rFonts w:hint="default" w:ascii="Times New Roman" w:hAnsi="Times New Roman" w:eastAsia="宋体" w:cs="Times New Roman"/>
                <w:bCs/>
                <w:color w:val="auto"/>
                <w:sz w:val="24"/>
                <w:highlight w:val="none"/>
                <w:lang w:val="en-US"/>
              </w:rPr>
              <w:t>。</w:t>
            </w:r>
            <w:r>
              <w:rPr>
                <w:rFonts w:hint="eastAsia" w:cs="Times New Roman"/>
                <w:bCs/>
                <w:color w:val="auto"/>
                <w:sz w:val="24"/>
                <w:highlight w:val="none"/>
                <w:lang w:val="en-US" w:eastAsia="zh-CN"/>
              </w:rPr>
              <w:t>危废贮存库</w:t>
            </w:r>
            <w:r>
              <w:rPr>
                <w:rFonts w:hint="default" w:ascii="Times New Roman" w:hAnsi="Times New Roman" w:eastAsia="宋体" w:cs="Times New Roman"/>
                <w:bCs/>
                <w:color w:val="auto"/>
                <w:sz w:val="24"/>
                <w:highlight w:val="none"/>
                <w:lang w:val="en-US"/>
              </w:rPr>
              <w:t>应设置明显标志，并对地面进行硬化，并具有防雨淋、防日晒、防渗漏、密闭等措施，并建立健全危险废物管理台账、专人管理。禁止将危废混入非危险废物中贮存。并且，贮存时间不得超过一年。</w:t>
            </w:r>
          </w:p>
          <w:p w14:paraId="302D921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d.严格执行危险废物转移管理制度，禁止将危险废物提供或委托给无危险废物经营许可证的单位从事收集、贮存、利用、处置等经营活动。</w:t>
            </w:r>
          </w:p>
          <w:p w14:paraId="1C08C92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②危险废物规范化管理要求</w:t>
            </w:r>
          </w:p>
          <w:p w14:paraId="48837C72">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根据《危险废物规范化管理指标体系》的规定，本项目在生产中产生的危险废物具体管理要求如下：</w:t>
            </w:r>
          </w:p>
          <w:p w14:paraId="448E3CB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a.污染防治责任制度：</w:t>
            </w:r>
          </w:p>
          <w:p w14:paraId="7A11D81F">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在危废暂存场所的显著位置张贴危险废物污染防治责任信息</w:t>
            </w:r>
            <w:r>
              <w:rPr>
                <w:rFonts w:hint="eastAsia" w:cs="Times New Roman"/>
                <w:bCs/>
                <w:color w:val="auto"/>
                <w:sz w:val="24"/>
                <w:highlight w:val="none"/>
                <w:lang w:val="en-US" w:eastAsia="zh-CN"/>
              </w:rPr>
              <w:t>且</w:t>
            </w:r>
            <w:r>
              <w:rPr>
                <w:rFonts w:hint="default" w:ascii="Times New Roman" w:hAnsi="Times New Roman" w:eastAsia="宋体" w:cs="Times New Roman"/>
                <w:bCs/>
                <w:color w:val="auto"/>
                <w:sz w:val="24"/>
                <w:highlight w:val="none"/>
                <w:lang w:val="en-US"/>
              </w:rPr>
              <w:t>张贴信息能够表明危险废物产生环节、危险特性、去向及责任人等。</w:t>
            </w:r>
          </w:p>
          <w:p w14:paraId="5DFEBA6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b.标识制度：</w:t>
            </w:r>
          </w:p>
          <w:p w14:paraId="156ECF28">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rPr>
              <w:t>危险废物标签、贮存分区标志和物贮存、利用、处置设施等标志根据《危险废物识别标志设置技术规范</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rPr>
              <w:t>（HJ 1276—2022）的要求设置。危险废物标签应以醒目的字样标注</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rPr>
              <w:t>危险废物</w:t>
            </w:r>
            <w:r>
              <w:rPr>
                <w:rFonts w:hint="eastAsia"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rPr>
              <w:t>危险废物标签应包含废物名称、废物类别、废物代码、废物形态、危险特性、主要成分、有害成分、注意事项、产生/收集单位名称、联系人、联系方式、产生日期、废物重量和备注</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rPr>
              <w:t>危险废物标签宜设置危险废物数字识别码和二维码</w:t>
            </w:r>
            <w:r>
              <w:rPr>
                <w:rFonts w:hint="eastAsia" w:ascii="Times New Roman" w:hAnsi="Times New Roman" w:eastAsia="宋体" w:cs="Times New Roman"/>
                <w:bCs/>
                <w:color w:val="auto"/>
                <w:sz w:val="24"/>
                <w:highlight w:val="none"/>
                <w:lang w:val="en-US" w:eastAsia="zh-CN"/>
              </w:rPr>
              <w:t>。</w:t>
            </w:r>
          </w:p>
          <w:p w14:paraId="5F0FA6C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c.管理计划制度：</w:t>
            </w:r>
          </w:p>
          <w:p w14:paraId="613199A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制定危险废物管理计划。管理计划应包括减少危险废物产生量和危害性的措施，以及危险废物贮存、利用、处置措施；报当地环保部门备案，若管理计划内容有重大改变，及时报当地环保部门重新备案。管理计划内容有重大改变的情形包括：①变更法人名称、法定代表人和地址；②增加或减少危险废物产生类别；③危险废物产生数量变化幅度超过20%；④新、改、扩建或拆除原有危险废物贮存、利用和处置设施。</w:t>
            </w:r>
          </w:p>
          <w:p w14:paraId="2B7D5F4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d.申报登记制度：</w:t>
            </w:r>
          </w:p>
          <w:p w14:paraId="0108724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eastAsia" w:cs="Times New Roman"/>
                <w:bCs/>
                <w:color w:val="auto"/>
                <w:sz w:val="24"/>
                <w:highlight w:val="none"/>
                <w:lang w:val="en-US" w:eastAsia="zh-CN"/>
              </w:rPr>
              <w:t>如实</w:t>
            </w:r>
            <w:r>
              <w:rPr>
                <w:rFonts w:hint="default" w:ascii="Times New Roman" w:hAnsi="Times New Roman" w:eastAsia="宋体" w:cs="Times New Roman"/>
                <w:bCs/>
                <w:color w:val="auto"/>
                <w:sz w:val="24"/>
                <w:highlight w:val="none"/>
                <w:lang w:val="en-US"/>
              </w:rPr>
              <w:t>向当地生态环境部门申报危险废物的种类、产生量、流向、贮存、处置等有关资料。可提供证明材料，如环评文件、竣工验收文件、危险废物管理台账、危险废物转移联单、危险废物处置利用合同、财务数据等；申报事项有重大改变的，应当及时申报；按照危险废物特性分类进行收集</w:t>
            </w:r>
            <w:r>
              <w:rPr>
                <w:rFonts w:hint="eastAsia" w:cs="Times New Roman"/>
                <w:bCs/>
                <w:color w:val="auto"/>
                <w:sz w:val="24"/>
                <w:highlight w:val="none"/>
                <w:lang w:val="en-US" w:eastAsia="zh-CN"/>
              </w:rPr>
              <w:t>且</w:t>
            </w:r>
            <w:r>
              <w:rPr>
                <w:rFonts w:hint="default" w:ascii="Times New Roman" w:hAnsi="Times New Roman" w:eastAsia="宋体" w:cs="Times New Roman"/>
                <w:bCs/>
                <w:color w:val="auto"/>
                <w:sz w:val="24"/>
                <w:highlight w:val="none"/>
                <w:lang w:val="en-US"/>
              </w:rPr>
              <w:t>不同类废</w:t>
            </w:r>
            <w:r>
              <w:rPr>
                <w:rFonts w:hint="eastAsia" w:cs="Times New Roman"/>
                <w:bCs/>
                <w:color w:val="auto"/>
                <w:sz w:val="24"/>
                <w:highlight w:val="none"/>
                <w:lang w:val="en-US" w:eastAsia="zh-CN"/>
              </w:rPr>
              <w:t>物之</w:t>
            </w:r>
            <w:r>
              <w:rPr>
                <w:rFonts w:hint="default" w:ascii="Times New Roman" w:hAnsi="Times New Roman" w:eastAsia="宋体" w:cs="Times New Roman"/>
                <w:bCs/>
                <w:color w:val="auto"/>
                <w:sz w:val="24"/>
                <w:highlight w:val="none"/>
                <w:lang w:val="en-US"/>
              </w:rPr>
              <w:t>间有明显的间隔（如过道等）；危险废物转移采取网上申报；对管理人员和从事危险废物收集、运输、暂存、利用和处置等工作的人员进行了培训；参加培训人员对本单位的危险废物管理制度、工作流程等各项要求，掌握危险废物分类收集、运输、暂存的正确方法和操作程序；贮存场所地面硬化及防渗处理</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rPr>
              <w:t>装载危险废物的容器完好无损；建立危险废物贮存台账，并</w:t>
            </w:r>
            <w:r>
              <w:rPr>
                <w:rFonts w:hint="eastAsia" w:cs="Times New Roman"/>
                <w:bCs/>
                <w:color w:val="auto"/>
                <w:sz w:val="24"/>
                <w:highlight w:val="none"/>
                <w:lang w:val="en-US" w:eastAsia="zh-CN"/>
              </w:rPr>
              <w:t>如实</w:t>
            </w:r>
            <w:r>
              <w:rPr>
                <w:rFonts w:hint="default" w:ascii="Times New Roman" w:hAnsi="Times New Roman" w:eastAsia="宋体" w:cs="Times New Roman"/>
                <w:bCs/>
                <w:color w:val="auto"/>
                <w:sz w:val="24"/>
                <w:highlight w:val="none"/>
                <w:lang w:val="en-US"/>
              </w:rPr>
              <w:t>规范记录危险废物贮存情况。</w:t>
            </w:r>
          </w:p>
          <w:p w14:paraId="6C7ECC0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③危险废物转移</w:t>
            </w:r>
          </w:p>
          <w:p w14:paraId="4C9A10C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建设单位按照危废转移要求，在转移危废前通过登录福建省固体废物环境监管平台申请电子转移联单，申报转移计划。</w:t>
            </w:r>
          </w:p>
          <w:p w14:paraId="61AA17E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④制定危险废物管理计划和危险废物台账管理</w:t>
            </w:r>
          </w:p>
          <w:p w14:paraId="622FB382">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建设单位按照《危险废物管理计划和管理台账制定技术导则》（HJ 1259 —2022）制定危险废物管理计划和危险废物台账管理。</w:t>
            </w:r>
          </w:p>
          <w:p w14:paraId="2264A87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a.建设单位制定年度危险废物管理计划，危险废物管理计划中记录了上年度产生的和本年度计划产生的危险废物名称、危废代码、废物类别、有害物质名称、危险特性、危废产生来源及生产工序。</w:t>
            </w:r>
          </w:p>
          <w:p w14:paraId="6EDB68D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b.制定危险废物减量化的计划和措施。</w:t>
            </w:r>
          </w:p>
          <w:p w14:paraId="0AD55E2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c.填报危险废物转移情况，包括危险废物贮存措施、运输措施和转移计划等。</w:t>
            </w:r>
          </w:p>
          <w:p w14:paraId="39BAFB9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rPr>
            </w:pPr>
            <w:r>
              <w:rPr>
                <w:rFonts w:hint="default" w:ascii="Times New Roman" w:hAnsi="Times New Roman" w:eastAsia="宋体" w:cs="Times New Roman"/>
                <w:bCs/>
                <w:color w:val="auto"/>
                <w:sz w:val="24"/>
                <w:highlight w:val="none"/>
                <w:lang w:val="en-US"/>
              </w:rPr>
              <w:t>d.填报危险废物委托利用或处置措施。</w:t>
            </w:r>
          </w:p>
          <w:p w14:paraId="10EA554E">
            <w:pPr>
              <w:pStyle w:val="5"/>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生活垃圾</w:t>
            </w:r>
          </w:p>
          <w:p w14:paraId="62D42312">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项目</w:t>
            </w:r>
            <w:r>
              <w:rPr>
                <w:rFonts w:hint="eastAsia" w:ascii="Times New Roman" w:hAnsi="Times New Roman" w:eastAsia="宋体" w:cs="Times New Roman"/>
                <w:bCs/>
                <w:color w:val="auto"/>
                <w:sz w:val="24"/>
                <w:highlight w:val="none"/>
                <w:lang w:val="en-US" w:eastAsia="zh-CN"/>
              </w:rPr>
              <w:t>运营期</w:t>
            </w:r>
            <w:r>
              <w:rPr>
                <w:rFonts w:hint="default" w:ascii="Times New Roman" w:hAnsi="Times New Roman" w:eastAsia="宋体" w:cs="Times New Roman"/>
                <w:bCs/>
                <w:color w:val="auto"/>
                <w:sz w:val="24"/>
                <w:highlight w:val="none"/>
              </w:rPr>
              <w:t>职工产生的生活垃圾应采取分类收集，并委托环卫部门统一外运处置。</w:t>
            </w:r>
          </w:p>
          <w:p w14:paraId="17130AB3">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szCs w:val="24"/>
                <w:highlight w:val="none"/>
              </w:rPr>
            </w:pPr>
            <w:r>
              <w:rPr>
                <w:rFonts w:hint="default" w:ascii="Times New Roman" w:hAnsi="Times New Roman" w:eastAsia="宋体" w:cs="Times New Roman"/>
                <w:bCs/>
                <w:color w:val="auto"/>
                <w:sz w:val="24"/>
                <w:highlight w:val="none"/>
                <w:lang w:val="en-US"/>
              </w:rPr>
              <w:t>综上所述，本项目只要加强对固体废物的收集和分类管理，并做到及时清运处置和综合利用后，对区域内自然环境、生态等造成的影响较小。</w:t>
            </w:r>
            <w:r>
              <w:rPr>
                <w:rFonts w:hint="eastAsia" w:ascii="宋体" w:hAnsi="宋体" w:eastAsia="宋体" w:cs="宋体"/>
                <w:color w:val="auto"/>
                <w:kern w:val="0"/>
                <w:sz w:val="24"/>
                <w:szCs w:val="24"/>
                <w:highlight w:val="none"/>
                <w:lang w:val="en-US" w:eastAsia="zh-CN" w:bidi="ar"/>
              </w:rPr>
              <w:t xml:space="preserve"> </w:t>
            </w:r>
          </w:p>
          <w:p w14:paraId="7E66A53D">
            <w:pPr>
              <w:pStyle w:val="3"/>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地下水、土壤环境影响和保护措施</w:t>
            </w:r>
          </w:p>
          <w:p w14:paraId="425CCE6A">
            <w:pPr>
              <w:pStyle w:val="4"/>
              <w:suppressLineNumbers w:val="0"/>
              <w:bidi w:val="0"/>
              <w:spacing w:before="0" w:beforeAutospacing="0" w:after="0" w:afterAutospacing="0"/>
              <w:ind w:left="0" w:right="0"/>
              <w:rPr>
                <w:rFonts w:hint="default"/>
                <w:lang w:val="en-US" w:eastAsia="zh-CN"/>
              </w:rPr>
            </w:pPr>
            <w:r>
              <w:rPr>
                <w:rFonts w:hint="default"/>
                <w:lang w:val="en-US" w:eastAsia="zh-CN"/>
              </w:rPr>
              <w:t>地下水、土壤环境影响分析</w:t>
            </w:r>
          </w:p>
          <w:p w14:paraId="1D11F8ED">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（1）</w:t>
            </w:r>
            <w:r>
              <w:rPr>
                <w:rFonts w:hint="default" w:ascii="Times New Roman" w:hAnsi="Times New Roman" w:eastAsia="宋体" w:cs="Times New Roman"/>
                <w:bCs/>
                <w:color w:val="auto"/>
                <w:sz w:val="24"/>
                <w:highlight w:val="none"/>
                <w:lang w:val="en-US" w:eastAsia="zh-CN"/>
              </w:rPr>
              <w:t>地下水环境</w:t>
            </w:r>
          </w:p>
          <w:p w14:paraId="214CB20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生活污水经化粪池处理后通过厂区污水总排放口排入市政污水管网，送往福清市融元污水处理厂集中处理。正常工况下化粪池及污水管道均采取严格的防渗、防溢流等措施，废水不易渗漏和进入地下水。根据现场调查，项目评价区域无饮用水水源地，阳下街道玉岭村已全部开通自来水管网、生活用水采用自来水。</w:t>
            </w:r>
          </w:p>
          <w:p w14:paraId="6294858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项目一般工业固废暂存场所及</w:t>
            </w:r>
            <w:r>
              <w:rPr>
                <w:rFonts w:hint="eastAsia" w:cs="Times New Roman"/>
                <w:bCs/>
                <w:color w:val="auto"/>
                <w:sz w:val="24"/>
                <w:highlight w:val="none"/>
                <w:lang w:val="en-US" w:eastAsia="zh-CN"/>
              </w:rPr>
              <w:t>危废贮存库</w:t>
            </w:r>
            <w:r>
              <w:rPr>
                <w:rFonts w:hint="default" w:ascii="Times New Roman" w:hAnsi="Times New Roman" w:eastAsia="宋体" w:cs="Times New Roman"/>
                <w:bCs/>
                <w:color w:val="auto"/>
                <w:sz w:val="24"/>
                <w:highlight w:val="none"/>
                <w:lang w:val="en-US" w:eastAsia="zh-CN"/>
              </w:rPr>
              <w:t>严格按照《一般工业固体废物贮存和填埋污染控制标准》</w:t>
            </w:r>
            <w:r>
              <w:rPr>
                <w:rFonts w:hint="eastAsia"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GB18599-2020</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中固废临时贮存场所的要求及《危险废物贮存污染控制标准》</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GB18597-20</w:t>
            </w:r>
            <w:r>
              <w:rPr>
                <w:rFonts w:hint="eastAsia" w:ascii="Times New Roman" w:hAnsi="Times New Roman" w:eastAsia="宋体" w:cs="Times New Roman"/>
                <w:bCs/>
                <w:color w:val="auto"/>
                <w:sz w:val="24"/>
                <w:highlight w:val="none"/>
                <w:lang w:val="en-US" w:eastAsia="zh-CN"/>
              </w:rPr>
              <w:t>23</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要求进行建设，具备防风、防雨、防晒、防渗漏等要求。在正常工况，不会对评价区地下水产生明显影响，其影响程度是可接受的。</w:t>
            </w:r>
          </w:p>
          <w:p w14:paraId="4A086B82">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项目使用的原料均属于无毒或低毒的化学品的使用，在做好厂房防渗情况下，不会产生危险化学品进入地下污染地下水的情况。</w:t>
            </w:r>
          </w:p>
          <w:p w14:paraId="5F200C2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综上所述</w:t>
            </w:r>
            <w:r>
              <w:rPr>
                <w:rFonts w:hint="default" w:ascii="Times New Roman" w:hAnsi="Times New Roman" w:eastAsia="宋体" w:cs="Times New Roman"/>
                <w:bCs/>
                <w:color w:val="auto"/>
                <w:sz w:val="24"/>
                <w:highlight w:val="none"/>
                <w:lang w:val="en-US" w:eastAsia="zh-CN"/>
              </w:rPr>
              <w:t>，项目在正常运行工况下，项目对地下水影响不大。但公司应加强管理，杜绝防渗层破裂等事故影响。</w:t>
            </w:r>
          </w:p>
          <w:p w14:paraId="731D458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lang w:val="en-US" w:eastAsia="zh-CN"/>
              </w:rPr>
              <w:t>土壤环境</w:t>
            </w:r>
          </w:p>
          <w:p w14:paraId="360C2BA0">
            <w:pPr>
              <w:keepNext w:val="0"/>
              <w:keepLines w:val="0"/>
              <w:suppressLineNumbers w:val="0"/>
              <w:spacing w:before="0" w:beforeAutospacing="0" w:after="0" w:afterAutospacing="0" w:line="360" w:lineRule="auto"/>
              <w:ind w:left="0" w:right="0" w:firstLine="480" w:firstLineChars="200"/>
              <w:rPr>
                <w:rFonts w:hint="eastAsia"/>
              </w:rPr>
            </w:pPr>
            <w:r>
              <w:rPr>
                <w:rFonts w:hint="eastAsia" w:ascii="Times New Roman" w:hAnsi="Times New Roman" w:eastAsia="宋体" w:cs="Times New Roman"/>
                <w:color w:val="auto"/>
                <w:sz w:val="24"/>
              </w:rPr>
              <w:t>对照《环境影响评价技术导则土壤环境》（HJ 964-2018）附录A，本项目属于制造业中</w:t>
            </w:r>
            <w:r>
              <w:rPr>
                <w:rFonts w:hint="eastAsia" w:cs="Times New Roman"/>
                <w:color w:val="auto"/>
                <w:sz w:val="24"/>
                <w:lang w:eastAsia="zh-CN"/>
              </w:rPr>
              <w:t>“</w:t>
            </w:r>
            <w:r>
              <w:rPr>
                <w:rFonts w:hint="eastAsia" w:ascii="Times New Roman" w:hAnsi="Times New Roman" w:eastAsia="宋体" w:cs="Times New Roman"/>
                <w:color w:val="auto"/>
                <w:sz w:val="24"/>
              </w:rPr>
              <w:t>设备制造、金属制品、汽车制造及其他用品制造</w:t>
            </w:r>
            <w:r>
              <w:rPr>
                <w:rFonts w:hint="eastAsia" w:cs="Times New Roman"/>
                <w:color w:val="auto"/>
                <w:sz w:val="24"/>
                <w:lang w:eastAsia="zh-CN"/>
              </w:rPr>
              <w:t>”</w:t>
            </w:r>
            <w:r>
              <w:rPr>
                <w:rFonts w:hint="eastAsia" w:ascii="Times New Roman" w:hAnsi="Times New Roman" w:eastAsia="宋体" w:cs="Times New Roman"/>
                <w:color w:val="auto"/>
                <w:sz w:val="24"/>
              </w:rPr>
              <w:t>的</w:t>
            </w:r>
            <w:r>
              <w:rPr>
                <w:rFonts w:hint="eastAsia" w:cs="Times New Roman"/>
                <w:color w:val="auto"/>
                <w:sz w:val="24"/>
                <w:lang w:eastAsia="zh-CN"/>
              </w:rPr>
              <w:t>“</w:t>
            </w:r>
            <w:r>
              <w:rPr>
                <w:rFonts w:hint="eastAsia" w:ascii="Times New Roman" w:hAnsi="Times New Roman" w:eastAsia="宋体" w:cs="Times New Roman"/>
                <w:color w:val="auto"/>
                <w:sz w:val="24"/>
              </w:rPr>
              <w:t>其他</w:t>
            </w:r>
            <w:r>
              <w:rPr>
                <w:rFonts w:hint="eastAsia" w:cs="Times New Roman"/>
                <w:color w:val="auto"/>
                <w:sz w:val="24"/>
                <w:lang w:eastAsia="zh-CN"/>
              </w:rPr>
              <w:t>”</w:t>
            </w:r>
            <w:r>
              <w:rPr>
                <w:rFonts w:hint="eastAsia" w:ascii="Times New Roman" w:hAnsi="Times New Roman" w:eastAsia="宋体" w:cs="Times New Roman"/>
                <w:color w:val="auto"/>
                <w:sz w:val="24"/>
              </w:rPr>
              <w:t>，本项目的土壤环境影响评价项目类别为Ⅲ类。项目周边不存在土壤环境敏感目标，占地规模为小型，因此，对照污染影响</w:t>
            </w:r>
            <w:r>
              <w:rPr>
                <w:rFonts w:hint="eastAsia" w:cs="Times New Roman"/>
                <w:color w:val="auto"/>
                <w:sz w:val="24"/>
                <w:lang w:eastAsia="zh-CN"/>
              </w:rPr>
              <w:t>性</w:t>
            </w:r>
            <w:r>
              <w:rPr>
                <w:rFonts w:hint="eastAsia" w:ascii="Times New Roman" w:hAnsi="Times New Roman" w:eastAsia="宋体" w:cs="Times New Roman"/>
                <w:color w:val="auto"/>
                <w:sz w:val="24"/>
              </w:rPr>
              <w:t>评价工作等级划分表（详见表4.</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rPr>
              <w:t>-1），本项目可不开展土壤环境影响评价工作。</w:t>
            </w:r>
          </w:p>
          <w:p w14:paraId="742E2B5B">
            <w:pPr>
              <w:pStyle w:val="39"/>
              <w:keepNext w:val="0"/>
              <w:keepLines w:val="0"/>
              <w:suppressLineNumbers w:val="0"/>
              <w:bidi w:val="0"/>
              <w:spacing w:before="0" w:beforeAutospacing="0" w:after="0" w:afterAutospacing="0"/>
              <w:ind w:left="0" w:right="0"/>
              <w:rPr>
                <w:rFonts w:hint="eastAsia"/>
              </w:rPr>
            </w:pPr>
            <w:r>
              <w:rPr>
                <w:rFonts w:hint="eastAsia"/>
              </w:rPr>
              <w:t>表4.</w:t>
            </w:r>
            <w:r>
              <w:rPr>
                <w:rFonts w:hint="eastAsia"/>
                <w:lang w:val="en-US" w:eastAsia="zh-CN"/>
              </w:rPr>
              <w:t>5</w:t>
            </w:r>
            <w:r>
              <w:rPr>
                <w:rFonts w:hint="eastAsia"/>
              </w:rPr>
              <w:t>-1  土壤污染影响型评价工作等级划分表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552"/>
              <w:gridCol w:w="780"/>
              <w:gridCol w:w="735"/>
              <w:gridCol w:w="767"/>
              <w:gridCol w:w="810"/>
              <w:gridCol w:w="689"/>
              <w:gridCol w:w="769"/>
              <w:gridCol w:w="728"/>
              <w:gridCol w:w="727"/>
              <w:gridCol w:w="759"/>
            </w:tblGrid>
            <w:tr w14:paraId="227F1D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934" w:type="pct"/>
                  <w:vMerge w:val="restart"/>
                  <w:noWrap w:val="0"/>
                  <w:vAlign w:val="center"/>
                </w:tcPr>
                <w:p w14:paraId="762941D0">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mc:AlternateContent>
                      <mc:Choice Requires="wps">
                        <w:drawing>
                          <wp:anchor distT="0" distB="0" distL="114300" distR="114300" simplePos="0" relativeHeight="251664384" behindDoc="0" locked="0" layoutInCell="1" allowOverlap="1">
                            <wp:simplePos x="0" y="0"/>
                            <wp:positionH relativeFrom="column">
                              <wp:posOffset>339725</wp:posOffset>
                            </wp:positionH>
                            <wp:positionV relativeFrom="paragraph">
                              <wp:posOffset>-8255</wp:posOffset>
                            </wp:positionV>
                            <wp:extent cx="614680" cy="689610"/>
                            <wp:effectExtent l="3810" t="3175" r="10160" b="12065"/>
                            <wp:wrapNone/>
                            <wp:docPr id="56" name="直接连接符 2"/>
                            <wp:cNvGraphicFramePr/>
                            <a:graphic xmlns:a="http://schemas.openxmlformats.org/drawingml/2006/main">
                              <a:graphicData uri="http://schemas.microsoft.com/office/word/2010/wordprocessingShape">
                                <wps:wsp>
                                  <wps:cNvCnPr/>
                                  <wps:spPr>
                                    <a:xfrm flipH="1" flipV="1">
                                      <a:off x="0" y="0"/>
                                      <a:ext cx="614680" cy="6896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2" o:spid="_x0000_s1026" o:spt="20" style="position:absolute;left:0pt;flip:x y;margin-left:26.75pt;margin-top:-0.65pt;height:54.3pt;width:48.4pt;z-index:251664384;mso-width-relative:page;mso-height-relative:page;" filled="f" stroked="t" coordsize="21600,21600" o:gfxdata="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xqGrtQAAAAJAQAADwAAAAAAAAABACAAAAAiAAAAZHJz&#10;L2Rvd25yZXYueG1sUEsBAhQAFAAAAAgAh07iQBhrz1oIAgAA/QMAAA4AAAAAAAAAAQAgAAAAIwEA&#10;AGRycy9lMm9Eb2MueG1sUEsFBgAAAAAGAAYAWQEAAJ0FAAAAAA==&#10;">
                            <v:fill on="f" focussize="0,0"/>
                            <v:stroke color="#000000" joinstyle="round"/>
                            <v:imagedata o:title=""/>
                            <o:lock v:ext="edit" aspectratio="f"/>
                          </v:line>
                        </w:pict>
                      </mc:Fallback>
                    </mc:AlternateContent>
                  </w:r>
                  <w:r>
                    <w:rPr>
                      <w:rFonts w:hint="eastAsia"/>
                      <w:szCs w:val="22"/>
                    </w:rPr>
                    <w:t>评价   占地</w:t>
                  </w:r>
                </w:p>
                <w:p w14:paraId="34F02740">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mc:AlternateContent>
                      <mc:Choice Requires="wps">
                        <w:drawing>
                          <wp:anchor distT="0" distB="0" distL="114300" distR="114300" simplePos="0" relativeHeight="251665408" behindDoc="0" locked="0" layoutInCell="1" allowOverlap="1">
                            <wp:simplePos x="0" y="0"/>
                            <wp:positionH relativeFrom="column">
                              <wp:posOffset>-37465</wp:posOffset>
                            </wp:positionH>
                            <wp:positionV relativeFrom="paragraph">
                              <wp:posOffset>147955</wp:posOffset>
                            </wp:positionV>
                            <wp:extent cx="1000125" cy="373380"/>
                            <wp:effectExtent l="1905" t="4445" r="7620" b="22225"/>
                            <wp:wrapNone/>
                            <wp:docPr id="57" name="直接连接符 3"/>
                            <wp:cNvGraphicFramePr/>
                            <a:graphic xmlns:a="http://schemas.openxmlformats.org/drawingml/2006/main">
                              <a:graphicData uri="http://schemas.microsoft.com/office/word/2010/wordprocessingShape">
                                <wps:wsp>
                                  <wps:cNvCnPr/>
                                  <wps:spPr>
                                    <a:xfrm flipH="1" flipV="1">
                                      <a:off x="0" y="0"/>
                                      <a:ext cx="1000125" cy="3733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3" o:spid="_x0000_s1026" o:spt="20" style="position:absolute;left:0pt;flip:x y;margin-left:-2.95pt;margin-top:11.65pt;height:29.4pt;width:78.75pt;z-index:251665408;mso-width-relative:page;mso-height-relative:page;" filled="f" stroked="t" coordsize="21600,21600" o:gfxdata="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wu781AAAAAgBAAAPAAAAAAAAAAEAIAAAACIAAABkcnMv&#10;ZG93bnJldi54bWxQSwECFAAUAAAACACHTuJA2uTkawcCAAD+AwAADgAAAAAAAAABACAAAAAjAQAA&#10;ZHJzL2Uyb0RvYy54bWxQSwUGAAAAAAYABgBZAQAAnAUAAAAA&#10;">
                            <v:fill on="f" focussize="0,0"/>
                            <v:stroke color="#000000" joinstyle="round"/>
                            <v:imagedata o:title=""/>
                            <o:lock v:ext="edit" aspectratio="f"/>
                          </v:line>
                        </w:pict>
                      </mc:Fallback>
                    </mc:AlternateContent>
                  </w:r>
                  <w:r>
                    <w:rPr>
                      <w:rFonts w:hint="eastAsia"/>
                      <w:szCs w:val="22"/>
                    </w:rPr>
                    <w:t>工作   规模</w:t>
                  </w:r>
                </w:p>
                <w:p w14:paraId="365938F4">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等级</w:t>
                  </w:r>
                </w:p>
                <w:p w14:paraId="506E7853">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敏感程度</w:t>
                  </w:r>
                </w:p>
              </w:tc>
              <w:tc>
                <w:tcPr>
                  <w:tcW w:w="1372" w:type="pct"/>
                  <w:gridSpan w:val="3"/>
                  <w:noWrap w:val="0"/>
                  <w:vAlign w:val="center"/>
                </w:tcPr>
                <w:p w14:paraId="16F0EA5C">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Ⅰ类</w:t>
                  </w:r>
                </w:p>
              </w:tc>
              <w:tc>
                <w:tcPr>
                  <w:tcW w:w="1363" w:type="pct"/>
                  <w:gridSpan w:val="3"/>
                  <w:noWrap w:val="0"/>
                  <w:vAlign w:val="center"/>
                </w:tcPr>
                <w:p w14:paraId="45EF01E4">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Ⅱ类</w:t>
                  </w:r>
                </w:p>
              </w:tc>
              <w:tc>
                <w:tcPr>
                  <w:tcW w:w="1329" w:type="pct"/>
                  <w:gridSpan w:val="3"/>
                  <w:noWrap w:val="0"/>
                  <w:vAlign w:val="center"/>
                </w:tcPr>
                <w:p w14:paraId="7E2C6BEA">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Ⅲ类</w:t>
                  </w:r>
                </w:p>
              </w:tc>
            </w:tr>
            <w:tr w14:paraId="0CAA23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934" w:type="pct"/>
                  <w:vMerge w:val="continue"/>
                  <w:noWrap w:val="0"/>
                  <w:vAlign w:val="center"/>
                </w:tcPr>
                <w:p w14:paraId="78ACA56B">
                  <w:pPr>
                    <w:pStyle w:val="38"/>
                    <w:keepNext w:val="0"/>
                    <w:keepLines w:val="0"/>
                    <w:widowControl/>
                    <w:suppressLineNumbers w:val="0"/>
                    <w:bidi w:val="0"/>
                    <w:spacing w:before="0" w:beforeAutospacing="0" w:after="0" w:afterAutospacing="0"/>
                    <w:ind w:left="0" w:right="0"/>
                    <w:rPr>
                      <w:rFonts w:hint="eastAsia"/>
                      <w:szCs w:val="22"/>
                    </w:rPr>
                  </w:pPr>
                </w:p>
              </w:tc>
              <w:tc>
                <w:tcPr>
                  <w:tcW w:w="469" w:type="pct"/>
                  <w:noWrap w:val="0"/>
                  <w:vAlign w:val="center"/>
                </w:tcPr>
                <w:p w14:paraId="5D0C7959">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大</w:t>
                  </w:r>
                </w:p>
              </w:tc>
              <w:tc>
                <w:tcPr>
                  <w:tcW w:w="442" w:type="pct"/>
                  <w:noWrap w:val="0"/>
                  <w:vAlign w:val="center"/>
                </w:tcPr>
                <w:p w14:paraId="2E2913D4">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中</w:t>
                  </w:r>
                </w:p>
              </w:tc>
              <w:tc>
                <w:tcPr>
                  <w:tcW w:w="461" w:type="pct"/>
                  <w:noWrap w:val="0"/>
                  <w:vAlign w:val="center"/>
                </w:tcPr>
                <w:p w14:paraId="57D65D01">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小</w:t>
                  </w:r>
                </w:p>
              </w:tc>
              <w:tc>
                <w:tcPr>
                  <w:tcW w:w="487" w:type="pct"/>
                  <w:noWrap w:val="0"/>
                  <w:vAlign w:val="center"/>
                </w:tcPr>
                <w:p w14:paraId="6DF14550">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大</w:t>
                  </w:r>
                </w:p>
              </w:tc>
              <w:tc>
                <w:tcPr>
                  <w:tcW w:w="414" w:type="pct"/>
                  <w:noWrap w:val="0"/>
                  <w:vAlign w:val="center"/>
                </w:tcPr>
                <w:p w14:paraId="4AEA8E9A">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中</w:t>
                  </w:r>
                </w:p>
              </w:tc>
              <w:tc>
                <w:tcPr>
                  <w:tcW w:w="461" w:type="pct"/>
                  <w:noWrap w:val="0"/>
                  <w:vAlign w:val="center"/>
                </w:tcPr>
                <w:p w14:paraId="6B644C1E">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小</w:t>
                  </w:r>
                </w:p>
              </w:tc>
              <w:tc>
                <w:tcPr>
                  <w:tcW w:w="438" w:type="pct"/>
                  <w:noWrap w:val="0"/>
                  <w:vAlign w:val="center"/>
                </w:tcPr>
                <w:p w14:paraId="1FE3A858">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大</w:t>
                  </w:r>
                </w:p>
              </w:tc>
              <w:tc>
                <w:tcPr>
                  <w:tcW w:w="437" w:type="pct"/>
                  <w:noWrap w:val="0"/>
                  <w:vAlign w:val="center"/>
                </w:tcPr>
                <w:p w14:paraId="3B813ADE">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中</w:t>
                  </w:r>
                </w:p>
              </w:tc>
              <w:tc>
                <w:tcPr>
                  <w:tcW w:w="453" w:type="pct"/>
                  <w:noWrap w:val="0"/>
                  <w:vAlign w:val="center"/>
                </w:tcPr>
                <w:p w14:paraId="7EE800DB">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小</w:t>
                  </w:r>
                </w:p>
              </w:tc>
            </w:tr>
            <w:tr w14:paraId="747BCC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934" w:type="pct"/>
                  <w:noWrap w:val="0"/>
                  <w:vAlign w:val="center"/>
                </w:tcPr>
                <w:p w14:paraId="2C7B007B">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敏感</w:t>
                  </w:r>
                </w:p>
              </w:tc>
              <w:tc>
                <w:tcPr>
                  <w:tcW w:w="469" w:type="pct"/>
                  <w:noWrap w:val="0"/>
                  <w:vAlign w:val="center"/>
                </w:tcPr>
                <w:p w14:paraId="5FC3A9B7">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一级</w:t>
                  </w:r>
                </w:p>
              </w:tc>
              <w:tc>
                <w:tcPr>
                  <w:tcW w:w="442" w:type="pct"/>
                  <w:noWrap w:val="0"/>
                  <w:vAlign w:val="center"/>
                </w:tcPr>
                <w:p w14:paraId="0E3512E7">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一级</w:t>
                  </w:r>
                </w:p>
              </w:tc>
              <w:tc>
                <w:tcPr>
                  <w:tcW w:w="461" w:type="pct"/>
                  <w:noWrap w:val="0"/>
                  <w:vAlign w:val="center"/>
                </w:tcPr>
                <w:p w14:paraId="013A7490">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一级</w:t>
                  </w:r>
                </w:p>
              </w:tc>
              <w:tc>
                <w:tcPr>
                  <w:tcW w:w="487" w:type="pct"/>
                  <w:noWrap w:val="0"/>
                  <w:vAlign w:val="center"/>
                </w:tcPr>
                <w:p w14:paraId="5F131B32">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二级</w:t>
                  </w:r>
                </w:p>
              </w:tc>
              <w:tc>
                <w:tcPr>
                  <w:tcW w:w="414" w:type="pct"/>
                  <w:noWrap w:val="0"/>
                  <w:vAlign w:val="center"/>
                </w:tcPr>
                <w:p w14:paraId="58CA7963">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二级</w:t>
                  </w:r>
                </w:p>
              </w:tc>
              <w:tc>
                <w:tcPr>
                  <w:tcW w:w="461" w:type="pct"/>
                  <w:noWrap w:val="0"/>
                  <w:vAlign w:val="center"/>
                </w:tcPr>
                <w:p w14:paraId="119FDD5C">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二级</w:t>
                  </w:r>
                </w:p>
              </w:tc>
              <w:tc>
                <w:tcPr>
                  <w:tcW w:w="438" w:type="pct"/>
                  <w:noWrap w:val="0"/>
                  <w:vAlign w:val="center"/>
                </w:tcPr>
                <w:p w14:paraId="34E1CD80">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三级</w:t>
                  </w:r>
                </w:p>
              </w:tc>
              <w:tc>
                <w:tcPr>
                  <w:tcW w:w="437" w:type="pct"/>
                  <w:noWrap w:val="0"/>
                  <w:vAlign w:val="center"/>
                </w:tcPr>
                <w:p w14:paraId="5DB49A38">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三级</w:t>
                  </w:r>
                </w:p>
              </w:tc>
              <w:tc>
                <w:tcPr>
                  <w:tcW w:w="453" w:type="pct"/>
                  <w:noWrap w:val="0"/>
                  <w:vAlign w:val="center"/>
                </w:tcPr>
                <w:p w14:paraId="1AC2F11F">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三级</w:t>
                  </w:r>
                </w:p>
              </w:tc>
            </w:tr>
            <w:tr w14:paraId="2EFDF6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934" w:type="pct"/>
                  <w:noWrap w:val="0"/>
                  <w:vAlign w:val="center"/>
                </w:tcPr>
                <w:p w14:paraId="38C388FC">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较敏感</w:t>
                  </w:r>
                </w:p>
              </w:tc>
              <w:tc>
                <w:tcPr>
                  <w:tcW w:w="469" w:type="pct"/>
                  <w:noWrap w:val="0"/>
                  <w:vAlign w:val="center"/>
                </w:tcPr>
                <w:p w14:paraId="3D62711C">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一级</w:t>
                  </w:r>
                </w:p>
              </w:tc>
              <w:tc>
                <w:tcPr>
                  <w:tcW w:w="442" w:type="pct"/>
                  <w:noWrap w:val="0"/>
                  <w:vAlign w:val="center"/>
                </w:tcPr>
                <w:p w14:paraId="44B67D8F">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一级</w:t>
                  </w:r>
                </w:p>
              </w:tc>
              <w:tc>
                <w:tcPr>
                  <w:tcW w:w="461" w:type="pct"/>
                  <w:noWrap w:val="0"/>
                  <w:vAlign w:val="center"/>
                </w:tcPr>
                <w:p w14:paraId="29B4F7DC">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二级</w:t>
                  </w:r>
                </w:p>
              </w:tc>
              <w:tc>
                <w:tcPr>
                  <w:tcW w:w="487" w:type="pct"/>
                  <w:noWrap w:val="0"/>
                  <w:vAlign w:val="center"/>
                </w:tcPr>
                <w:p w14:paraId="2BBF5239">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二级</w:t>
                  </w:r>
                </w:p>
              </w:tc>
              <w:tc>
                <w:tcPr>
                  <w:tcW w:w="414" w:type="pct"/>
                  <w:noWrap w:val="0"/>
                  <w:vAlign w:val="center"/>
                </w:tcPr>
                <w:p w14:paraId="74B07F34">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二级</w:t>
                  </w:r>
                </w:p>
              </w:tc>
              <w:tc>
                <w:tcPr>
                  <w:tcW w:w="461" w:type="pct"/>
                  <w:noWrap w:val="0"/>
                  <w:vAlign w:val="center"/>
                </w:tcPr>
                <w:p w14:paraId="09238056">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三级</w:t>
                  </w:r>
                </w:p>
              </w:tc>
              <w:tc>
                <w:tcPr>
                  <w:tcW w:w="438" w:type="pct"/>
                  <w:noWrap w:val="0"/>
                  <w:vAlign w:val="center"/>
                </w:tcPr>
                <w:p w14:paraId="6685A993">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三级</w:t>
                  </w:r>
                </w:p>
              </w:tc>
              <w:tc>
                <w:tcPr>
                  <w:tcW w:w="437" w:type="pct"/>
                  <w:noWrap w:val="0"/>
                  <w:vAlign w:val="center"/>
                </w:tcPr>
                <w:p w14:paraId="3AAFD83C">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三级</w:t>
                  </w:r>
                </w:p>
              </w:tc>
              <w:tc>
                <w:tcPr>
                  <w:tcW w:w="453" w:type="pct"/>
                  <w:tcBorders>
                    <w:bottom w:val="single" w:color="auto" w:sz="4" w:space="0"/>
                  </w:tcBorders>
                  <w:noWrap w:val="0"/>
                  <w:vAlign w:val="center"/>
                </w:tcPr>
                <w:p w14:paraId="7BD5AAD6">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w:t>
                  </w:r>
                </w:p>
              </w:tc>
            </w:tr>
            <w:tr w14:paraId="285308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934" w:type="pct"/>
                  <w:shd w:val="clear" w:color="auto" w:fill="auto"/>
                  <w:noWrap w:val="0"/>
                  <w:vAlign w:val="center"/>
                </w:tcPr>
                <w:p w14:paraId="6C6BC6A0">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不敏感</w:t>
                  </w:r>
                </w:p>
              </w:tc>
              <w:tc>
                <w:tcPr>
                  <w:tcW w:w="469" w:type="pct"/>
                  <w:shd w:val="clear" w:color="auto" w:fill="auto"/>
                  <w:noWrap w:val="0"/>
                  <w:vAlign w:val="center"/>
                </w:tcPr>
                <w:p w14:paraId="3ECAA050">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一级</w:t>
                  </w:r>
                </w:p>
              </w:tc>
              <w:tc>
                <w:tcPr>
                  <w:tcW w:w="442" w:type="pct"/>
                  <w:shd w:val="clear" w:color="auto" w:fill="auto"/>
                  <w:noWrap w:val="0"/>
                  <w:vAlign w:val="center"/>
                </w:tcPr>
                <w:p w14:paraId="70EE145D">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二级</w:t>
                  </w:r>
                </w:p>
              </w:tc>
              <w:tc>
                <w:tcPr>
                  <w:tcW w:w="461" w:type="pct"/>
                  <w:shd w:val="clear" w:color="auto" w:fill="auto"/>
                  <w:noWrap w:val="0"/>
                  <w:vAlign w:val="center"/>
                </w:tcPr>
                <w:p w14:paraId="24521110">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二级</w:t>
                  </w:r>
                </w:p>
              </w:tc>
              <w:tc>
                <w:tcPr>
                  <w:tcW w:w="487" w:type="pct"/>
                  <w:shd w:val="clear" w:color="auto" w:fill="auto"/>
                  <w:noWrap w:val="0"/>
                  <w:vAlign w:val="center"/>
                </w:tcPr>
                <w:p w14:paraId="586924B6">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二级</w:t>
                  </w:r>
                </w:p>
              </w:tc>
              <w:tc>
                <w:tcPr>
                  <w:tcW w:w="414" w:type="pct"/>
                  <w:shd w:val="clear" w:color="auto" w:fill="auto"/>
                  <w:noWrap w:val="0"/>
                  <w:vAlign w:val="center"/>
                </w:tcPr>
                <w:p w14:paraId="6BCAD6D8">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三级</w:t>
                  </w:r>
                </w:p>
              </w:tc>
              <w:tc>
                <w:tcPr>
                  <w:tcW w:w="461" w:type="pct"/>
                  <w:shd w:val="clear" w:color="auto" w:fill="auto"/>
                  <w:noWrap w:val="0"/>
                  <w:vAlign w:val="center"/>
                </w:tcPr>
                <w:p w14:paraId="156D6B30">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三级</w:t>
                  </w:r>
                </w:p>
              </w:tc>
              <w:tc>
                <w:tcPr>
                  <w:tcW w:w="438" w:type="pct"/>
                  <w:shd w:val="clear" w:color="auto" w:fill="auto"/>
                  <w:noWrap w:val="0"/>
                  <w:vAlign w:val="center"/>
                </w:tcPr>
                <w:p w14:paraId="6A255EAF">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三级</w:t>
                  </w:r>
                </w:p>
              </w:tc>
              <w:tc>
                <w:tcPr>
                  <w:tcW w:w="437" w:type="pct"/>
                  <w:shd w:val="clear" w:color="auto" w:fill="auto"/>
                  <w:noWrap w:val="0"/>
                  <w:vAlign w:val="center"/>
                </w:tcPr>
                <w:p w14:paraId="51473D53">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w:t>
                  </w:r>
                </w:p>
              </w:tc>
              <w:tc>
                <w:tcPr>
                  <w:tcW w:w="453" w:type="pct"/>
                  <w:tcBorders>
                    <w:top w:val="single" w:color="auto" w:sz="4" w:space="0"/>
                    <w:bottom w:val="single" w:color="auto" w:sz="4" w:space="0"/>
                  </w:tcBorders>
                  <w:shd w:val="clear" w:color="auto" w:fill="C0C0C0"/>
                  <w:noWrap w:val="0"/>
                  <w:vAlign w:val="center"/>
                </w:tcPr>
                <w:p w14:paraId="3433D3D8">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w:t>
                  </w:r>
                </w:p>
              </w:tc>
            </w:tr>
            <w:tr w14:paraId="54A1B1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5000" w:type="pct"/>
                  <w:gridSpan w:val="10"/>
                  <w:noWrap w:val="0"/>
                  <w:vAlign w:val="center"/>
                </w:tcPr>
                <w:p w14:paraId="6128BB88">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注：</w:t>
                  </w:r>
                  <w:r>
                    <w:rPr>
                      <w:rFonts w:hint="eastAsia"/>
                      <w:szCs w:val="22"/>
                      <w:lang w:eastAsia="zh-CN"/>
                    </w:rPr>
                    <w:t>“</w:t>
                  </w:r>
                  <w:r>
                    <w:rPr>
                      <w:rFonts w:hint="eastAsia"/>
                      <w:szCs w:val="22"/>
                    </w:rPr>
                    <w:t>-</w:t>
                  </w:r>
                  <w:r>
                    <w:rPr>
                      <w:rFonts w:hint="eastAsia"/>
                      <w:szCs w:val="22"/>
                      <w:lang w:eastAsia="zh-CN"/>
                    </w:rPr>
                    <w:t>”</w:t>
                  </w:r>
                  <w:r>
                    <w:rPr>
                      <w:rFonts w:hint="eastAsia"/>
                      <w:szCs w:val="22"/>
                    </w:rPr>
                    <w:t>表示可不开展土壤环境影响评价工作。</w:t>
                  </w:r>
                </w:p>
              </w:tc>
            </w:tr>
          </w:tbl>
          <w:p w14:paraId="74D6DB88">
            <w:pPr>
              <w:pStyle w:val="4"/>
              <w:suppressLineNumbers w:val="0"/>
              <w:bidi w:val="0"/>
              <w:spacing w:before="0" w:beforeAutospacing="0" w:after="0" w:afterAutospacing="0"/>
              <w:ind w:left="0" w:right="0"/>
              <w:rPr>
                <w:rFonts w:hint="eastAsia"/>
                <w:lang w:val="en-US" w:eastAsia="zh-CN"/>
              </w:rPr>
            </w:pPr>
            <w:r>
              <w:rPr>
                <w:rFonts w:hint="default"/>
                <w:lang w:val="en-US" w:eastAsia="zh-CN"/>
              </w:rPr>
              <w:t>地下水、土壤环境防控措施</w:t>
            </w:r>
          </w:p>
          <w:p w14:paraId="5F77037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1</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防渗措施</w:t>
            </w:r>
          </w:p>
          <w:p w14:paraId="6DED609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①合理进行防渗区域划分</w:t>
            </w:r>
          </w:p>
          <w:p w14:paraId="74BAEC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根据本项目厂区可能泄漏至地面区域污染物的性质和生产单元的构筑方式，将厂区划分为重点污染防治区、一般污染防治区，针对不同的区域提出相应的防渗要求。结合项目的特点，项目防渗防治分区见表4.</w:t>
            </w:r>
            <w:r>
              <w:rPr>
                <w:rFonts w:hint="eastAsia" w:ascii="Times New Roman" w:hAnsi="Times New Roman" w:eastAsia="宋体" w:cs="Times New Roman"/>
                <w:bCs/>
                <w:color w:val="auto"/>
                <w:sz w:val="24"/>
                <w:highlight w:val="none"/>
                <w:lang w:val="en-US" w:eastAsia="zh-CN"/>
              </w:rPr>
              <w:t>5</w:t>
            </w:r>
            <w:r>
              <w:rPr>
                <w:rFonts w:hint="default" w:ascii="Times New Roman" w:hAnsi="Times New Roman" w:eastAsia="宋体"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lang w:val="en-US" w:eastAsia="zh-CN"/>
              </w:rPr>
              <w:t>。</w:t>
            </w:r>
          </w:p>
          <w:p w14:paraId="038880B3">
            <w:pPr>
              <w:pStyle w:val="39"/>
              <w:keepNext w:val="0"/>
              <w:keepLines w:val="0"/>
              <w:suppressLineNumbers w:val="0"/>
              <w:bidi w:val="0"/>
              <w:spacing w:before="0" w:beforeAutospacing="0" w:after="0" w:afterAutospacing="0"/>
              <w:ind w:left="0" w:right="0"/>
              <w:rPr>
                <w:rFonts w:hint="default"/>
              </w:rPr>
            </w:pPr>
            <w:r>
              <w:rPr>
                <w:rFonts w:hint="default"/>
              </w:rPr>
              <w:t>表</w:t>
            </w:r>
            <w:r>
              <w:rPr>
                <w:rFonts w:hint="default"/>
                <w:lang w:val="en-US" w:eastAsia="zh-CN"/>
              </w:rPr>
              <w:t>4.</w:t>
            </w:r>
            <w:r>
              <w:rPr>
                <w:rFonts w:hint="eastAsia"/>
                <w:lang w:val="en-US" w:eastAsia="zh-CN"/>
              </w:rPr>
              <w:t>5</w:t>
            </w:r>
            <w:r>
              <w:rPr>
                <w:rFonts w:hint="default"/>
                <w:lang w:val="en-US" w:eastAsia="zh-CN"/>
              </w:rPr>
              <w:t>-</w:t>
            </w:r>
            <w:r>
              <w:rPr>
                <w:rFonts w:hint="eastAsia"/>
                <w:lang w:val="en-US" w:eastAsia="zh-CN"/>
              </w:rPr>
              <w:t>2</w:t>
            </w:r>
            <w:r>
              <w:rPr>
                <w:rFonts w:hint="default"/>
                <w:lang w:val="en-US" w:eastAsia="zh-CN"/>
              </w:rPr>
              <w:t xml:space="preserve"> </w:t>
            </w:r>
            <w:r>
              <w:rPr>
                <w:rFonts w:hint="default"/>
              </w:rPr>
              <w:t xml:space="preserve"> </w:t>
            </w:r>
            <w:r>
              <w:rPr>
                <w:rFonts w:hint="default"/>
                <w:lang w:eastAsia="zh-CN"/>
              </w:rPr>
              <w:t>土壤</w:t>
            </w:r>
            <w:r>
              <w:rPr>
                <w:rFonts w:hint="default"/>
              </w:rPr>
              <w:t>污染防治分区一览表</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36"/>
              <w:gridCol w:w="1071"/>
              <w:gridCol w:w="3880"/>
              <w:gridCol w:w="1725"/>
            </w:tblGrid>
            <w:tr w14:paraId="393A63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84" w:type="pct"/>
                  <w:tcBorders>
                    <w:top w:val="single" w:color="auto" w:sz="12" w:space="0"/>
                  </w:tcBorders>
                  <w:noWrap w:val="0"/>
                  <w:vAlign w:val="center"/>
                </w:tcPr>
                <w:p w14:paraId="38D31C52">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防治分区</w:t>
                  </w:r>
                </w:p>
              </w:tc>
              <w:tc>
                <w:tcPr>
                  <w:tcW w:w="644" w:type="pct"/>
                  <w:tcBorders>
                    <w:top w:val="single" w:color="auto" w:sz="12" w:space="0"/>
                  </w:tcBorders>
                  <w:noWrap w:val="0"/>
                  <w:vAlign w:val="center"/>
                </w:tcPr>
                <w:p w14:paraId="2F96F2FA">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序号</w:t>
                  </w:r>
                </w:p>
              </w:tc>
              <w:tc>
                <w:tcPr>
                  <w:tcW w:w="2333" w:type="pct"/>
                  <w:tcBorders>
                    <w:top w:val="single" w:color="auto" w:sz="12" w:space="0"/>
                  </w:tcBorders>
                  <w:noWrap w:val="0"/>
                  <w:vAlign w:val="center"/>
                </w:tcPr>
                <w:p w14:paraId="738FC365">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装置或者构筑物名称</w:t>
                  </w:r>
                </w:p>
              </w:tc>
              <w:tc>
                <w:tcPr>
                  <w:tcW w:w="1037" w:type="pct"/>
                  <w:tcBorders>
                    <w:top w:val="single" w:color="auto" w:sz="12" w:space="0"/>
                  </w:tcBorders>
                  <w:noWrap w:val="0"/>
                  <w:vAlign w:val="center"/>
                </w:tcPr>
                <w:p w14:paraId="1E53C40D">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防渗区域</w:t>
                  </w:r>
                </w:p>
              </w:tc>
            </w:tr>
            <w:tr w14:paraId="1FFDF8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84" w:type="pct"/>
                  <w:noWrap w:val="0"/>
                  <w:vAlign w:val="center"/>
                </w:tcPr>
                <w:p w14:paraId="63460796">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重点污染防</w:t>
                  </w:r>
                </w:p>
                <w:p w14:paraId="75C359DA">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治区</w:t>
                  </w:r>
                </w:p>
              </w:tc>
              <w:tc>
                <w:tcPr>
                  <w:tcW w:w="644" w:type="pct"/>
                  <w:noWrap w:val="0"/>
                  <w:vAlign w:val="center"/>
                </w:tcPr>
                <w:p w14:paraId="425B6FF7">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1</w:t>
                  </w:r>
                </w:p>
              </w:tc>
              <w:tc>
                <w:tcPr>
                  <w:tcW w:w="2333" w:type="pct"/>
                  <w:noWrap w:val="0"/>
                  <w:vAlign w:val="center"/>
                </w:tcPr>
                <w:p w14:paraId="7E44A499">
                  <w:pPr>
                    <w:pStyle w:val="38"/>
                    <w:keepNext w:val="0"/>
                    <w:keepLines w:val="0"/>
                    <w:widowControl/>
                    <w:suppressLineNumbers w:val="0"/>
                    <w:bidi w:val="0"/>
                    <w:spacing w:before="0" w:beforeAutospacing="0" w:after="0" w:afterAutospacing="0"/>
                    <w:ind w:left="0" w:right="0"/>
                    <w:rPr>
                      <w:rFonts w:hint="eastAsia" w:eastAsia="宋体"/>
                      <w:szCs w:val="22"/>
                      <w:lang w:val="en-US" w:eastAsia="zh-CN"/>
                    </w:rPr>
                  </w:pPr>
                  <w:r>
                    <w:rPr>
                      <w:rFonts w:hint="eastAsia"/>
                      <w:szCs w:val="22"/>
                      <w:lang w:eastAsia="zh-CN"/>
                    </w:rPr>
                    <w:t>危废贮存库</w:t>
                  </w:r>
                </w:p>
              </w:tc>
              <w:tc>
                <w:tcPr>
                  <w:tcW w:w="1037" w:type="pct"/>
                  <w:noWrap w:val="0"/>
                  <w:vAlign w:val="center"/>
                </w:tcPr>
                <w:p w14:paraId="4C3DA31C">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rPr>
                    <w:t>地面</w:t>
                  </w:r>
                </w:p>
              </w:tc>
            </w:tr>
            <w:tr w14:paraId="5740B1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84" w:type="pct"/>
                  <w:tcBorders>
                    <w:bottom w:val="single" w:color="auto" w:sz="12" w:space="0"/>
                  </w:tcBorders>
                  <w:noWrap w:val="0"/>
                  <w:vAlign w:val="center"/>
                </w:tcPr>
                <w:p w14:paraId="33FBF22A">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一般污染防</w:t>
                  </w:r>
                </w:p>
                <w:p w14:paraId="583E6633">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治区</w:t>
                  </w:r>
                </w:p>
              </w:tc>
              <w:tc>
                <w:tcPr>
                  <w:tcW w:w="644" w:type="pct"/>
                  <w:tcBorders>
                    <w:bottom w:val="single" w:color="auto" w:sz="12" w:space="0"/>
                  </w:tcBorders>
                  <w:noWrap w:val="0"/>
                  <w:vAlign w:val="center"/>
                </w:tcPr>
                <w:p w14:paraId="06DD5A49">
                  <w:pPr>
                    <w:pStyle w:val="38"/>
                    <w:keepNext w:val="0"/>
                    <w:keepLines w:val="0"/>
                    <w:widowControl/>
                    <w:suppressLineNumbers w:val="0"/>
                    <w:bidi w:val="0"/>
                    <w:spacing w:before="0" w:beforeAutospacing="0" w:after="0" w:afterAutospacing="0"/>
                    <w:ind w:left="0" w:right="0"/>
                    <w:rPr>
                      <w:rFonts w:hint="default"/>
                      <w:szCs w:val="22"/>
                      <w:lang w:eastAsia="zh-CN"/>
                    </w:rPr>
                  </w:pPr>
                  <w:r>
                    <w:rPr>
                      <w:rFonts w:hint="eastAsia"/>
                      <w:szCs w:val="22"/>
                      <w:lang w:val="en-US" w:eastAsia="zh-CN"/>
                    </w:rPr>
                    <w:t>2</w:t>
                  </w:r>
                </w:p>
              </w:tc>
              <w:tc>
                <w:tcPr>
                  <w:tcW w:w="2333" w:type="pct"/>
                  <w:tcBorders>
                    <w:bottom w:val="single" w:color="auto" w:sz="12" w:space="0"/>
                  </w:tcBorders>
                  <w:noWrap w:val="0"/>
                  <w:vAlign w:val="center"/>
                </w:tcPr>
                <w:p w14:paraId="52E5999A">
                  <w:pPr>
                    <w:pStyle w:val="38"/>
                    <w:keepNext w:val="0"/>
                    <w:keepLines w:val="0"/>
                    <w:widowControl/>
                    <w:suppressLineNumbers w:val="0"/>
                    <w:bidi w:val="0"/>
                    <w:spacing w:before="0" w:beforeAutospacing="0" w:after="0" w:afterAutospacing="0"/>
                    <w:ind w:left="0" w:right="0"/>
                    <w:rPr>
                      <w:rFonts w:hint="default"/>
                      <w:szCs w:val="22"/>
                      <w:lang w:eastAsia="zh-CN"/>
                    </w:rPr>
                  </w:pPr>
                  <w:r>
                    <w:rPr>
                      <w:rFonts w:hint="default"/>
                      <w:szCs w:val="22"/>
                      <w:lang w:eastAsia="zh-CN"/>
                    </w:rPr>
                    <w:t>一般工业固废</w:t>
                  </w:r>
                  <w:r>
                    <w:rPr>
                      <w:rFonts w:hint="eastAsia"/>
                      <w:szCs w:val="22"/>
                      <w:lang w:val="en-US" w:eastAsia="zh-CN"/>
                    </w:rPr>
                    <w:t>区</w:t>
                  </w:r>
                  <w:r>
                    <w:rPr>
                      <w:rFonts w:hint="default"/>
                      <w:szCs w:val="22"/>
                      <w:lang w:eastAsia="zh-CN"/>
                    </w:rPr>
                    <w:t>、项目生产车间</w:t>
                  </w:r>
                </w:p>
              </w:tc>
              <w:tc>
                <w:tcPr>
                  <w:tcW w:w="1037" w:type="pct"/>
                  <w:tcBorders>
                    <w:bottom w:val="single" w:color="auto" w:sz="12" w:space="0"/>
                  </w:tcBorders>
                  <w:noWrap w:val="0"/>
                  <w:vAlign w:val="center"/>
                </w:tcPr>
                <w:p w14:paraId="54D402A7">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地面</w:t>
                  </w:r>
                </w:p>
              </w:tc>
            </w:tr>
          </w:tbl>
          <w:p w14:paraId="303404A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②防渗要求</w:t>
            </w:r>
          </w:p>
          <w:p w14:paraId="12EB93B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重点污染区防渗要求：根据《环境影响评价技术导则地下水环境》</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HJ610-2016</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的要求，重点防渗区的防渗性能应等效黏土防渗层≥6.0m，渗透系数≤1.0×10</w:t>
            </w:r>
            <w:r>
              <w:rPr>
                <w:rFonts w:hint="default" w:ascii="Times New Roman" w:hAnsi="Times New Roman" w:eastAsia="宋体" w:cs="Times New Roman"/>
                <w:bCs/>
                <w:color w:val="auto"/>
                <w:sz w:val="24"/>
                <w:highlight w:val="none"/>
                <w:vertAlign w:val="superscript"/>
                <w:lang w:val="en-US" w:eastAsia="zh-CN"/>
              </w:rPr>
              <w:t>-7</w:t>
            </w:r>
            <w:r>
              <w:rPr>
                <w:rFonts w:hint="default" w:ascii="Times New Roman" w:hAnsi="Times New Roman" w:eastAsia="宋体" w:cs="Times New Roman"/>
                <w:bCs/>
                <w:color w:val="auto"/>
                <w:sz w:val="24"/>
                <w:highlight w:val="none"/>
                <w:lang w:val="en-US" w:eastAsia="zh-CN"/>
              </w:rPr>
              <w:t>cm/s。危险废物暂存场重点防渗区应按照《危险废物污染防治技术政策》及《危险废物贮存污染控制标准》</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GB18597-20</w:t>
            </w:r>
            <w:r>
              <w:rPr>
                <w:rFonts w:hint="eastAsia" w:ascii="Times New Roman" w:hAnsi="Times New Roman" w:eastAsia="宋体" w:cs="Times New Roman"/>
                <w:bCs/>
                <w:color w:val="auto"/>
                <w:sz w:val="24"/>
                <w:highlight w:val="none"/>
                <w:lang w:val="en-US" w:eastAsia="zh-CN"/>
              </w:rPr>
              <w:t>23</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等危险废物处理的相关标准、法律法规的要求；一般污染区防渗要求：根据《环境影响评价技术导则地下水环境》</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HJ610-2016</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，一般防渗区的防渗性能等效黏土防渗层≥1.5m，渗透系数≤1.0×10</w:t>
            </w:r>
            <w:r>
              <w:rPr>
                <w:rFonts w:hint="default" w:ascii="Times New Roman" w:hAnsi="Times New Roman" w:eastAsia="宋体" w:cs="Times New Roman"/>
                <w:bCs/>
                <w:color w:val="auto"/>
                <w:sz w:val="24"/>
                <w:highlight w:val="none"/>
                <w:vertAlign w:val="superscript"/>
                <w:lang w:val="en-US" w:eastAsia="zh-CN"/>
              </w:rPr>
              <w:t>-7</w:t>
            </w:r>
            <w:r>
              <w:rPr>
                <w:rFonts w:hint="default" w:ascii="Times New Roman" w:hAnsi="Times New Roman" w:eastAsia="宋体" w:cs="Times New Roman"/>
                <w:bCs/>
                <w:color w:val="auto"/>
                <w:sz w:val="24"/>
                <w:highlight w:val="none"/>
                <w:lang w:val="en-US" w:eastAsia="zh-CN"/>
              </w:rPr>
              <w:t>cm/s。一般工业固体废物暂存场一般防渗区应按照《一般工业固体废物贮存处置场污染控制标准》</w:t>
            </w:r>
            <w:r>
              <w:rPr>
                <w:rFonts w:hint="eastAsia"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GB18599-2020</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 xml:space="preserve"> Ⅱ类场进行设计</w:t>
            </w:r>
            <w:r>
              <w:rPr>
                <w:rFonts w:hint="eastAsia" w:cs="Times New Roman"/>
                <w:bCs/>
                <w:color w:val="auto"/>
                <w:sz w:val="24"/>
                <w:highlight w:val="none"/>
                <w:lang w:val="en-US" w:eastAsia="zh-CN"/>
              </w:rPr>
              <w:t>且</w:t>
            </w:r>
            <w:r>
              <w:rPr>
                <w:rFonts w:hint="default" w:ascii="Times New Roman" w:hAnsi="Times New Roman" w:eastAsia="宋体" w:cs="Times New Roman"/>
                <w:bCs/>
                <w:color w:val="auto"/>
                <w:sz w:val="24"/>
                <w:highlight w:val="none"/>
                <w:lang w:val="en-US" w:eastAsia="zh-CN"/>
              </w:rPr>
              <w:t>具有防雨、防渗、防风、防日晒的功能。</w:t>
            </w:r>
          </w:p>
          <w:p w14:paraId="0B12AC8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lang w:val="en-US" w:eastAsia="zh-CN"/>
              </w:rPr>
              <w:t>监控措施</w:t>
            </w:r>
          </w:p>
          <w:p w14:paraId="43601AE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①项目</w:t>
            </w:r>
            <w:r>
              <w:rPr>
                <w:rFonts w:hint="eastAsia" w:cs="Times New Roman"/>
                <w:bCs/>
                <w:color w:val="auto"/>
                <w:sz w:val="24"/>
                <w:highlight w:val="none"/>
                <w:lang w:val="en-US" w:eastAsia="zh-CN"/>
              </w:rPr>
              <w:t>危废贮存库</w:t>
            </w:r>
            <w:r>
              <w:rPr>
                <w:rFonts w:hint="default" w:ascii="Times New Roman" w:hAnsi="Times New Roman" w:eastAsia="宋体" w:cs="Times New Roman"/>
                <w:bCs/>
                <w:color w:val="auto"/>
                <w:sz w:val="24"/>
                <w:highlight w:val="none"/>
                <w:lang w:val="en-US" w:eastAsia="zh-CN"/>
              </w:rPr>
              <w:t>四周建设导流沟装置，防止危险废物等泄漏时四处扩散，并可及时移除或者清理污染源；</w:t>
            </w:r>
          </w:p>
          <w:p w14:paraId="782077A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②建立健全环境管理和监测制度，保证各环保设施正常运转，同时强化风险防范意识，如遇环保设施不能正常运转，应立即停产检修；</w:t>
            </w:r>
          </w:p>
          <w:p w14:paraId="20E3911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③若发生危险废物泄漏等，必要时委托有资质的单位对厂址周边地下水、土壤等进行跟踪监测，掌握厂址周边污染变化趋势。</w:t>
            </w:r>
          </w:p>
          <w:p w14:paraId="251F65D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④在今后的生产活动中，做好设备的维护、检修，杜绝跑、冒、滴、漏现象。同时，加强污染物产生主要环节的收集治理，加强厂区的安全防护、环境风险防范措施，以便及时发现事故隐患，及时采取有效的应对措施。</w:t>
            </w:r>
          </w:p>
          <w:p w14:paraId="49D4433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⑤项目生产经营用地的用途变更或者在其土地使用权收回、转让前，应当由土地使用权人按照规定进行土壤污染状况调查。</w:t>
            </w:r>
          </w:p>
          <w:p w14:paraId="6636BC62">
            <w:pPr>
              <w:pStyle w:val="4"/>
              <w:suppressLineNumbers w:val="0"/>
              <w:bidi w:val="0"/>
              <w:spacing w:before="0" w:beforeAutospacing="0" w:after="0" w:afterAutospacing="0"/>
              <w:ind w:left="0" w:right="0"/>
              <w:rPr>
                <w:rFonts w:hint="default"/>
                <w:lang w:val="en-US" w:eastAsia="zh-CN"/>
              </w:rPr>
            </w:pPr>
            <w:r>
              <w:rPr>
                <w:rFonts w:hint="default"/>
                <w:lang w:val="en-US" w:eastAsia="zh-CN"/>
              </w:rPr>
              <w:t>跟踪监测要求</w:t>
            </w:r>
          </w:p>
          <w:p w14:paraId="7FC6CE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本项目选址于</w:t>
            </w:r>
            <w:r>
              <w:rPr>
                <w:rFonts w:hint="eastAsia"/>
                <w:lang w:val="en-US" w:eastAsia="zh-CN"/>
              </w:rPr>
              <w:t>福清融侨经济技术开发区（租赁福清洪添科技有限公司车间2第3层）</w:t>
            </w:r>
            <w:r>
              <w:rPr>
                <w:rFonts w:hint="default" w:ascii="Times New Roman" w:hAnsi="Times New Roman" w:eastAsia="宋体" w:cs="Times New Roman"/>
                <w:bCs/>
                <w:color w:val="auto"/>
                <w:kern w:val="2"/>
                <w:sz w:val="24"/>
                <w:szCs w:val="24"/>
                <w:highlight w:val="none"/>
                <w:lang w:val="en-US" w:eastAsia="zh-CN" w:bidi="ar-SA"/>
              </w:rPr>
              <w:t>，周边以工业企业为主，项目周边地下水、土壤环境相对不敏感，采取有效的防渗措施后，项目对地下水、土壤环境影响很小，本评价不对项目地下水、土壤环境进行跟踪监测。</w:t>
            </w:r>
          </w:p>
          <w:p w14:paraId="31E55648">
            <w:pPr>
              <w:pStyle w:val="3"/>
              <w:keepNext w:val="0"/>
              <w:keepLines w:val="0"/>
              <w:suppressLineNumbers w:val="0"/>
              <w:tabs>
                <w:tab w:val="left" w:pos="420"/>
                <w:tab w:val="clear" w:pos="0"/>
              </w:tabs>
              <w:bidi w:val="0"/>
              <w:spacing w:before="0" w:beforeAutospacing="0" w:after="0" w:afterAutospacing="0"/>
              <w:ind w:left="0" w:right="0"/>
              <w:rPr>
                <w:rFonts w:hint="eastAsia"/>
              </w:rPr>
            </w:pPr>
            <w:bookmarkStart w:id="33" w:name="_Toc2618"/>
            <w:bookmarkStart w:id="34" w:name="_Toc14009"/>
            <w:bookmarkStart w:id="35" w:name="_Toc4247_WPSOffice_Level2"/>
            <w:r>
              <w:rPr>
                <w:rFonts w:hint="eastAsia"/>
              </w:rPr>
              <w:t>运营期环境风险影响和保护措施</w:t>
            </w:r>
            <w:bookmarkEnd w:id="33"/>
          </w:p>
          <w:bookmarkEnd w:id="34"/>
          <w:bookmarkEnd w:id="35"/>
          <w:p w14:paraId="445073E0">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项目原辅材料存在的危险物质主要为</w:t>
            </w:r>
            <w:r>
              <w:rPr>
                <w:rFonts w:hint="eastAsia" w:ascii="Times New Roman" w:hAnsi="Times New Roman" w:cs="Times New Roman"/>
                <w:b w:val="0"/>
                <w:bCs w:val="0"/>
                <w:iCs w:val="0"/>
                <w:color w:val="auto"/>
                <w:sz w:val="24"/>
                <w:lang w:eastAsia="zh-CN"/>
              </w:rPr>
              <w:t>生产过程中设备进行保养维修</w:t>
            </w:r>
            <w:r>
              <w:rPr>
                <w:rFonts w:hint="eastAsia" w:cs="Times New Roman"/>
                <w:b w:val="0"/>
                <w:bCs w:val="0"/>
                <w:iCs w:val="0"/>
                <w:color w:val="auto"/>
                <w:sz w:val="24"/>
                <w:lang w:eastAsia="zh-CN"/>
              </w:rPr>
              <w:t>使用</w:t>
            </w:r>
            <w:r>
              <w:rPr>
                <w:rFonts w:hint="eastAsia" w:cs="Times New Roman"/>
                <w:b w:val="0"/>
                <w:bCs w:val="0"/>
                <w:iCs w:val="0"/>
                <w:color w:val="auto"/>
                <w:sz w:val="24"/>
                <w:lang w:val="en-US" w:eastAsia="zh-CN"/>
              </w:rPr>
              <w:t>后产生</w:t>
            </w:r>
            <w:r>
              <w:rPr>
                <w:rFonts w:hint="eastAsia" w:ascii="Times New Roman" w:hAnsi="Times New Roman" w:cs="Times New Roman"/>
                <w:b w:val="0"/>
                <w:bCs w:val="0"/>
                <w:iCs w:val="0"/>
                <w:color w:val="auto"/>
                <w:sz w:val="24"/>
                <w:lang w:eastAsia="zh-CN"/>
              </w:rPr>
              <w:t>的</w:t>
            </w:r>
            <w:r>
              <w:rPr>
                <w:rFonts w:hint="eastAsia" w:ascii="Times New Roman" w:hAnsi="Times New Roman" w:cs="Times New Roman"/>
                <w:b w:val="0"/>
                <w:bCs w:val="0"/>
                <w:iCs w:val="0"/>
                <w:color w:val="auto"/>
                <w:sz w:val="24"/>
                <w:lang w:val="en-US" w:eastAsia="zh-CN"/>
              </w:rPr>
              <w:t>废机油。原辅材料</w:t>
            </w:r>
            <w:r>
              <w:rPr>
                <w:rFonts w:hint="eastAsia" w:cs="宋体"/>
                <w:b w:val="0"/>
                <w:bCs w:val="0"/>
                <w:iCs w:val="0"/>
                <w:color w:val="auto"/>
              </w:rPr>
              <w:t>存放于原材料仓库</w:t>
            </w:r>
            <w:r>
              <w:rPr>
                <w:rFonts w:hint="eastAsia" w:cs="宋体"/>
                <w:b w:val="0"/>
                <w:bCs w:val="0"/>
                <w:iCs w:val="0"/>
                <w:color w:val="auto"/>
                <w:lang w:eastAsia="zh-CN"/>
              </w:rPr>
              <w:t>且</w:t>
            </w:r>
            <w:r>
              <w:rPr>
                <w:rFonts w:hint="eastAsia" w:cs="宋体"/>
                <w:b w:val="0"/>
                <w:bCs w:val="0"/>
                <w:iCs w:val="0"/>
                <w:color w:val="auto"/>
              </w:rPr>
              <w:t>该部分原料在非取用时为密闭包装状态。项目产生的危险废物暂存于</w:t>
            </w:r>
            <w:r>
              <w:rPr>
                <w:rFonts w:hint="eastAsia" w:cs="宋体"/>
                <w:b w:val="0"/>
                <w:bCs w:val="0"/>
                <w:iCs w:val="0"/>
                <w:color w:val="auto"/>
                <w:lang w:eastAsia="zh-CN"/>
              </w:rPr>
              <w:t>危废贮存库</w:t>
            </w:r>
            <w:r>
              <w:rPr>
                <w:rFonts w:hint="eastAsia" w:cs="宋体"/>
                <w:b w:val="0"/>
                <w:bCs w:val="0"/>
                <w:iCs w:val="0"/>
                <w:color w:val="auto"/>
              </w:rPr>
              <w:t>。</w:t>
            </w:r>
          </w:p>
          <w:p w14:paraId="36ADA1AF">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lang w:val="zh-CN"/>
              </w:rPr>
              <w:t>根据</w:t>
            </w:r>
            <w:r>
              <w:rPr>
                <w:rFonts w:hint="eastAsia" w:cs="宋体"/>
                <w:b w:val="0"/>
                <w:bCs w:val="0"/>
                <w:iCs w:val="0"/>
                <w:color w:val="auto"/>
              </w:rPr>
              <w:t>《建设项目环境风险评价技术导则》（HJ169-2018）附录C，计算所涉及的每种危险物质在厂界内的最大存在总量与其在《建设项目环境风险评价技术导则》（HJ169-2018）附录B中对应临界量的比值Q。在不同厂区的同一种物质，按其在厂界内的最大存在总量计算。当企业只涉及一种风险物质时，该物质的数量与其临界量的比值，即为Q。当企业存在多种化学物质时，则按下式计算物质总量与其临界量比值（Q）：</w:t>
            </w:r>
          </w:p>
          <w:p w14:paraId="1DA8DB26">
            <w:pPr>
              <w:pStyle w:val="15"/>
              <w:keepNext w:val="0"/>
              <w:keepLines w:val="0"/>
              <w:suppressLineNumbers w:val="0"/>
              <w:bidi w:val="0"/>
              <w:spacing w:before="0" w:beforeAutospacing="0" w:after="0" w:afterAutospacing="0"/>
              <w:ind w:left="0" w:right="0"/>
              <w:jc w:val="center"/>
            </w:pPr>
            <w:r>
              <w:drawing>
                <wp:inline distT="0" distB="0" distL="114300" distR="114300">
                  <wp:extent cx="1903730" cy="464185"/>
                  <wp:effectExtent l="0" t="0" r="1270" b="12065"/>
                  <wp:docPr id="128" name="图片 3" descr="C:\Users\admin\AppData\Roaming\Tencent\Users\506048567\QQ\WinTemp\RichOle\`_O{@QX45~6E2EU4~BK~(Z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 descr="C:\Users\admin\AppData\Roaming\Tencent\Users\506048567\QQ\WinTemp\RichOle\`_O{@QX45~6E2EU4~BK~(ZR.png"/>
                          <pic:cNvPicPr>
                            <a:picLocks noChangeAspect="1"/>
                          </pic:cNvPicPr>
                        </pic:nvPicPr>
                        <pic:blipFill>
                          <a:blip r:embed="rId45" cstate="email"/>
                          <a:stretch>
                            <a:fillRect/>
                          </a:stretch>
                        </pic:blipFill>
                        <pic:spPr>
                          <a:xfrm>
                            <a:off x="0" y="0"/>
                            <a:ext cx="1903730" cy="464185"/>
                          </a:xfrm>
                          <a:prstGeom prst="rect">
                            <a:avLst/>
                          </a:prstGeom>
                          <a:noFill/>
                          <a:ln>
                            <a:noFill/>
                          </a:ln>
                        </pic:spPr>
                      </pic:pic>
                    </a:graphicData>
                  </a:graphic>
                </wp:inline>
              </w:drawing>
            </w:r>
          </w:p>
          <w:p w14:paraId="7877E5B4">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式中：q</w:t>
            </w:r>
            <w:r>
              <w:rPr>
                <w:rFonts w:hint="eastAsia" w:cs="宋体"/>
                <w:b w:val="0"/>
                <w:bCs w:val="0"/>
                <w:iCs w:val="0"/>
                <w:color w:val="auto"/>
                <w:vertAlign w:val="subscript"/>
              </w:rPr>
              <w:t>1</w:t>
            </w:r>
            <w:r>
              <w:rPr>
                <w:rFonts w:hint="eastAsia" w:cs="宋体"/>
                <w:b w:val="0"/>
                <w:bCs w:val="0"/>
                <w:iCs w:val="0"/>
                <w:color w:val="auto"/>
              </w:rPr>
              <w:t>，q</w:t>
            </w:r>
            <w:r>
              <w:rPr>
                <w:rFonts w:hint="eastAsia" w:cs="宋体"/>
                <w:b w:val="0"/>
                <w:bCs w:val="0"/>
                <w:iCs w:val="0"/>
                <w:color w:val="auto"/>
                <w:vertAlign w:val="subscript"/>
              </w:rPr>
              <w:t>2</w:t>
            </w:r>
            <w:r>
              <w:rPr>
                <w:rFonts w:hint="eastAsia" w:cs="宋体"/>
                <w:b w:val="0"/>
                <w:bCs w:val="0"/>
                <w:iCs w:val="0"/>
                <w:color w:val="auto"/>
              </w:rPr>
              <w:t>，...，q</w:t>
            </w:r>
            <w:r>
              <w:rPr>
                <w:rFonts w:hint="eastAsia" w:cs="宋体"/>
                <w:b w:val="0"/>
                <w:bCs w:val="0"/>
                <w:iCs w:val="0"/>
                <w:color w:val="auto"/>
                <w:vertAlign w:val="subscript"/>
              </w:rPr>
              <w:t>n</w:t>
            </w:r>
            <w:r>
              <w:rPr>
                <w:rFonts w:hint="eastAsia" w:cs="宋体"/>
                <w:b w:val="0"/>
                <w:bCs w:val="0"/>
                <w:iCs w:val="0"/>
                <w:color w:val="auto"/>
              </w:rPr>
              <w:t>——每种风险物质的存在量，t；</w:t>
            </w:r>
          </w:p>
          <w:p w14:paraId="002C5092">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Q</w:t>
            </w:r>
            <w:r>
              <w:rPr>
                <w:rFonts w:hint="eastAsia" w:cs="宋体"/>
                <w:b w:val="0"/>
                <w:bCs w:val="0"/>
                <w:iCs w:val="0"/>
                <w:color w:val="auto"/>
                <w:vertAlign w:val="subscript"/>
              </w:rPr>
              <w:t>1</w:t>
            </w:r>
            <w:r>
              <w:rPr>
                <w:rFonts w:hint="eastAsia" w:cs="宋体"/>
                <w:b w:val="0"/>
                <w:bCs w:val="0"/>
                <w:iCs w:val="0"/>
                <w:color w:val="auto"/>
              </w:rPr>
              <w:t>，Q</w:t>
            </w:r>
            <w:r>
              <w:rPr>
                <w:rFonts w:hint="eastAsia" w:cs="宋体"/>
                <w:b w:val="0"/>
                <w:bCs w:val="0"/>
                <w:iCs w:val="0"/>
                <w:color w:val="auto"/>
                <w:vertAlign w:val="subscript"/>
              </w:rPr>
              <w:t>2</w:t>
            </w:r>
            <w:r>
              <w:rPr>
                <w:rFonts w:hint="eastAsia" w:cs="宋体"/>
                <w:b w:val="0"/>
                <w:bCs w:val="0"/>
                <w:iCs w:val="0"/>
                <w:color w:val="auto"/>
              </w:rPr>
              <w:t>，...，Q</w:t>
            </w:r>
            <w:r>
              <w:rPr>
                <w:rFonts w:hint="eastAsia" w:cs="宋体"/>
                <w:b w:val="0"/>
                <w:bCs w:val="0"/>
                <w:iCs w:val="0"/>
                <w:color w:val="auto"/>
                <w:vertAlign w:val="subscript"/>
              </w:rPr>
              <w:t>n</w:t>
            </w:r>
            <w:r>
              <w:rPr>
                <w:rFonts w:hint="eastAsia" w:cs="宋体"/>
                <w:b w:val="0"/>
                <w:bCs w:val="0"/>
                <w:iCs w:val="0"/>
                <w:color w:val="auto"/>
              </w:rPr>
              <w:t>——每种风险物质的临界量，t。</w:t>
            </w:r>
          </w:p>
          <w:p w14:paraId="762FAA0E">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当Q＜1时，该项目环境风险潜势为</w:t>
            </w:r>
            <w:r>
              <w:rPr>
                <w:rFonts w:hint="eastAsia" w:cs="宋体"/>
                <w:b w:val="0"/>
                <w:bCs w:val="0"/>
                <w:iCs w:val="0"/>
                <w:color w:val="auto"/>
              </w:rPr>
              <w:fldChar w:fldCharType="begin"/>
            </w:r>
            <w:r>
              <w:rPr>
                <w:rFonts w:hint="eastAsia" w:cs="宋体"/>
                <w:b w:val="0"/>
                <w:bCs w:val="0"/>
                <w:iCs w:val="0"/>
                <w:color w:val="auto"/>
              </w:rPr>
              <w:instrText xml:space="preserve"> = 1 \* ROMAN </w:instrText>
            </w:r>
            <w:r>
              <w:rPr>
                <w:rFonts w:hint="eastAsia" w:cs="宋体"/>
                <w:b w:val="0"/>
                <w:bCs w:val="0"/>
                <w:iCs w:val="0"/>
                <w:color w:val="auto"/>
              </w:rPr>
              <w:fldChar w:fldCharType="separate"/>
            </w:r>
            <w:r>
              <w:rPr>
                <w:rFonts w:hint="eastAsia" w:cs="宋体"/>
                <w:b w:val="0"/>
                <w:bCs w:val="0"/>
                <w:iCs w:val="0"/>
                <w:color w:val="auto"/>
              </w:rPr>
              <w:t>I</w:t>
            </w:r>
            <w:r>
              <w:rPr>
                <w:rFonts w:hint="eastAsia" w:cs="宋体"/>
                <w:b w:val="0"/>
                <w:bCs w:val="0"/>
                <w:iCs w:val="0"/>
                <w:color w:val="auto"/>
              </w:rPr>
              <w:fldChar w:fldCharType="end"/>
            </w:r>
            <w:r>
              <w:rPr>
                <w:rFonts w:hint="eastAsia" w:cs="宋体"/>
                <w:b w:val="0"/>
                <w:bCs w:val="0"/>
                <w:iCs w:val="0"/>
                <w:color w:val="auto"/>
              </w:rPr>
              <w:t>。</w:t>
            </w:r>
          </w:p>
          <w:p w14:paraId="59BE2ADC">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当Q≥1时，将Q值划分为：（1）1≤Q＜10；（2）10≤Q＜100；（3）Q≥100。</w:t>
            </w:r>
          </w:p>
          <w:p w14:paraId="5D5C7DA4">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lang w:val="zh-CN"/>
              </w:rPr>
              <w:t>本项目涉及的危险物质情况及临界量比值详见表</w:t>
            </w:r>
            <w:r>
              <w:rPr>
                <w:rFonts w:hint="eastAsia" w:cs="宋体"/>
                <w:b w:val="0"/>
                <w:bCs w:val="0"/>
                <w:iCs w:val="0"/>
                <w:color w:val="auto"/>
              </w:rPr>
              <w:t>4.6-</w:t>
            </w:r>
            <w:r>
              <w:rPr>
                <w:rFonts w:hint="eastAsia" w:cs="宋体"/>
                <w:b w:val="0"/>
                <w:bCs w:val="0"/>
                <w:iCs w:val="0"/>
                <w:color w:val="auto"/>
                <w:lang w:val="en-US" w:eastAsia="zh-CN"/>
              </w:rPr>
              <w:t>1</w:t>
            </w:r>
            <w:r>
              <w:rPr>
                <w:rFonts w:hint="eastAsia" w:cs="宋体"/>
                <w:b w:val="0"/>
                <w:bCs w:val="0"/>
                <w:iCs w:val="0"/>
                <w:color w:val="auto"/>
                <w:lang w:val="zh-CN"/>
              </w:rPr>
              <w:t>。</w:t>
            </w:r>
          </w:p>
          <w:p w14:paraId="31B98CE4">
            <w:pPr>
              <w:pStyle w:val="39"/>
              <w:keepNext w:val="0"/>
              <w:keepLines w:val="0"/>
              <w:suppressLineNumbers w:val="0"/>
              <w:bidi w:val="0"/>
              <w:spacing w:before="0" w:beforeAutospacing="0" w:after="0" w:afterAutospacing="0"/>
              <w:ind w:left="0" w:right="0"/>
              <w:rPr>
                <w:rFonts w:hint="eastAsia"/>
              </w:rPr>
            </w:pPr>
            <w:r>
              <w:rPr>
                <w:rFonts w:hint="eastAsia"/>
              </w:rPr>
              <w:t>表4.6-</w:t>
            </w:r>
            <w:r>
              <w:rPr>
                <w:rFonts w:hint="eastAsia"/>
                <w:lang w:val="en-US" w:eastAsia="zh-CN"/>
              </w:rPr>
              <w:t>1</w:t>
            </w:r>
            <w:r>
              <w:rPr>
                <w:rFonts w:hint="eastAsia"/>
              </w:rPr>
              <w:t xml:space="preserve">  危险物质储存情况及临界量比值</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429"/>
              <w:gridCol w:w="784"/>
              <w:gridCol w:w="1091"/>
              <w:gridCol w:w="1491"/>
              <w:gridCol w:w="712"/>
              <w:gridCol w:w="910"/>
              <w:gridCol w:w="1093"/>
            </w:tblGrid>
            <w:tr w14:paraId="7DA37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dxa"/>
                  <w:tcBorders>
                    <w:top w:val="single" w:color="000000" w:sz="12" w:space="0"/>
                    <w:left w:val="nil"/>
                    <w:bottom w:val="single" w:color="auto" w:sz="4" w:space="0"/>
                    <w:right w:val="single" w:color="auto" w:sz="4" w:space="0"/>
                    <w:tl2br w:val="nil"/>
                  </w:tcBorders>
                  <w:shd w:val="clear" w:color="auto" w:fill="auto"/>
                  <w:vAlign w:val="center"/>
                </w:tcPr>
                <w:p w14:paraId="686316AC">
                  <w:pPr>
                    <w:pStyle w:val="38"/>
                    <w:keepNext w:val="0"/>
                    <w:keepLines w:val="0"/>
                    <w:widowControl/>
                    <w:suppressLineNumbers w:val="0"/>
                    <w:bidi w:val="0"/>
                    <w:spacing w:before="0" w:beforeAutospacing="0" w:after="0" w:afterAutospacing="0"/>
                    <w:ind w:left="0" w:right="0"/>
                    <w:rPr>
                      <w:rFonts w:hint="eastAsia" w:cs="宋体"/>
                      <w:b w:val="0"/>
                      <w:bCs w:val="0"/>
                      <w:iCs w:val="0"/>
                      <w:color w:val="000000"/>
                      <w:szCs w:val="22"/>
                      <w:vertAlign w:val="baseline"/>
                    </w:rPr>
                  </w:pPr>
                  <w:r>
                    <w:rPr>
                      <w:rFonts w:hint="eastAsia"/>
                      <w:b w:val="0"/>
                      <w:color w:val="000000"/>
                      <w:szCs w:val="22"/>
                      <w:lang w:val="en-US" w:eastAsia="zh-CN"/>
                    </w:rPr>
                    <w:t>序号</w:t>
                  </w:r>
                </w:p>
              </w:tc>
              <w:tc>
                <w:tcPr>
                  <w:tcW w:w="1429" w:type="dxa"/>
                  <w:tcBorders>
                    <w:top w:val="single" w:color="000000" w:sz="12" w:space="0"/>
                    <w:left w:val="single" w:color="auto" w:sz="4" w:space="0"/>
                    <w:bottom w:val="single" w:color="auto" w:sz="4" w:space="0"/>
                    <w:right w:val="single" w:color="auto" w:sz="4" w:space="0"/>
                  </w:tcBorders>
                  <w:shd w:val="clear" w:color="auto" w:fill="auto"/>
                  <w:vAlign w:val="center"/>
                </w:tcPr>
                <w:p w14:paraId="6B00FDAC">
                  <w:pPr>
                    <w:pStyle w:val="38"/>
                    <w:keepNext w:val="0"/>
                    <w:keepLines w:val="0"/>
                    <w:widowControl/>
                    <w:suppressLineNumbers w:val="0"/>
                    <w:bidi w:val="0"/>
                    <w:spacing w:before="0" w:beforeAutospacing="0" w:after="0" w:afterAutospacing="0"/>
                    <w:ind w:left="0" w:right="0"/>
                    <w:rPr>
                      <w:rFonts w:hint="eastAsia" w:cs="宋体"/>
                      <w:b w:val="0"/>
                      <w:bCs w:val="0"/>
                      <w:iCs w:val="0"/>
                      <w:color w:val="000000"/>
                      <w:szCs w:val="22"/>
                      <w:vertAlign w:val="baseline"/>
                    </w:rPr>
                  </w:pPr>
                  <w:r>
                    <w:rPr>
                      <w:rFonts w:hint="eastAsia"/>
                      <w:b w:val="0"/>
                      <w:color w:val="000000"/>
                      <w:szCs w:val="22"/>
                      <w:lang w:val="en-US" w:eastAsia="zh-CN"/>
                    </w:rPr>
                    <w:t>风险物质</w:t>
                  </w:r>
                </w:p>
              </w:tc>
              <w:tc>
                <w:tcPr>
                  <w:tcW w:w="784" w:type="dxa"/>
                  <w:tcBorders>
                    <w:top w:val="single" w:color="000000" w:sz="12" w:space="0"/>
                    <w:left w:val="single" w:color="auto" w:sz="4" w:space="0"/>
                    <w:bottom w:val="single" w:color="auto" w:sz="4" w:space="0"/>
                    <w:right w:val="single" w:color="auto" w:sz="4" w:space="0"/>
                  </w:tcBorders>
                  <w:shd w:val="clear" w:color="auto" w:fill="auto"/>
                  <w:vAlign w:val="center"/>
                </w:tcPr>
                <w:p w14:paraId="3311DE54">
                  <w:pPr>
                    <w:pStyle w:val="38"/>
                    <w:keepNext w:val="0"/>
                    <w:keepLines w:val="0"/>
                    <w:widowControl/>
                    <w:suppressLineNumbers w:val="0"/>
                    <w:bidi w:val="0"/>
                    <w:spacing w:before="0" w:beforeAutospacing="0" w:after="0" w:afterAutospacing="0"/>
                    <w:ind w:left="0" w:right="0"/>
                    <w:rPr>
                      <w:rFonts w:hint="eastAsia" w:cs="宋体"/>
                      <w:b w:val="0"/>
                      <w:bCs w:val="0"/>
                      <w:iCs w:val="0"/>
                      <w:color w:val="000000"/>
                      <w:szCs w:val="22"/>
                      <w:vertAlign w:val="baseline"/>
                    </w:rPr>
                  </w:pPr>
                  <w:r>
                    <w:rPr>
                      <w:rFonts w:hint="eastAsia"/>
                      <w:b w:val="0"/>
                      <w:color w:val="000000"/>
                      <w:szCs w:val="22"/>
                      <w:lang w:val="en-US" w:eastAsia="zh-CN"/>
                    </w:rPr>
                    <w:t>危险物质成分</w:t>
                  </w:r>
                </w:p>
              </w:tc>
              <w:tc>
                <w:tcPr>
                  <w:tcW w:w="1091" w:type="dxa"/>
                  <w:tcBorders>
                    <w:top w:val="single" w:color="000000" w:sz="12" w:space="0"/>
                    <w:left w:val="single" w:color="auto" w:sz="4" w:space="0"/>
                    <w:bottom w:val="single" w:color="auto" w:sz="4" w:space="0"/>
                    <w:right w:val="single" w:color="auto" w:sz="4" w:space="0"/>
                  </w:tcBorders>
                  <w:shd w:val="clear" w:color="auto" w:fill="auto"/>
                  <w:vAlign w:val="center"/>
                </w:tcPr>
                <w:p w14:paraId="63FDAD59">
                  <w:pPr>
                    <w:pStyle w:val="38"/>
                    <w:keepNext w:val="0"/>
                    <w:keepLines w:val="0"/>
                    <w:widowControl/>
                    <w:suppressLineNumbers w:val="0"/>
                    <w:bidi w:val="0"/>
                    <w:spacing w:before="0" w:beforeAutospacing="0" w:after="0" w:afterAutospacing="0"/>
                    <w:ind w:left="0" w:right="0"/>
                    <w:rPr>
                      <w:rFonts w:hint="eastAsia" w:cs="宋体"/>
                      <w:b w:val="0"/>
                      <w:bCs w:val="0"/>
                      <w:iCs w:val="0"/>
                      <w:color w:val="000000"/>
                      <w:szCs w:val="22"/>
                      <w:vertAlign w:val="baseline"/>
                    </w:rPr>
                  </w:pPr>
                  <w:r>
                    <w:rPr>
                      <w:rFonts w:hint="eastAsia"/>
                      <w:b w:val="0"/>
                      <w:color w:val="000000"/>
                      <w:szCs w:val="22"/>
                      <w:lang w:val="en-US" w:eastAsia="zh-CN"/>
                    </w:rPr>
                    <w:t>成分含量</w:t>
                  </w:r>
                </w:p>
              </w:tc>
              <w:tc>
                <w:tcPr>
                  <w:tcW w:w="1491" w:type="dxa"/>
                  <w:tcBorders>
                    <w:top w:val="single" w:color="000000" w:sz="12" w:space="0"/>
                    <w:left w:val="single" w:color="auto" w:sz="4" w:space="0"/>
                    <w:bottom w:val="single" w:color="auto" w:sz="4" w:space="0"/>
                    <w:right w:val="single" w:color="auto" w:sz="4" w:space="0"/>
                  </w:tcBorders>
                  <w:shd w:val="clear" w:color="auto" w:fill="auto"/>
                  <w:vAlign w:val="center"/>
                </w:tcPr>
                <w:p w14:paraId="17D91F29">
                  <w:pPr>
                    <w:pStyle w:val="38"/>
                    <w:keepNext w:val="0"/>
                    <w:keepLines w:val="0"/>
                    <w:widowControl/>
                    <w:suppressLineNumbers w:val="0"/>
                    <w:bidi w:val="0"/>
                    <w:spacing w:before="0" w:beforeAutospacing="0" w:after="0" w:afterAutospacing="0"/>
                    <w:ind w:left="0" w:right="0"/>
                    <w:rPr>
                      <w:rFonts w:hint="eastAsia" w:cs="宋体"/>
                      <w:b w:val="0"/>
                      <w:bCs w:val="0"/>
                      <w:iCs w:val="0"/>
                      <w:color w:val="000000"/>
                      <w:szCs w:val="22"/>
                      <w:vertAlign w:val="baseline"/>
                    </w:rPr>
                  </w:pPr>
                  <w:r>
                    <w:rPr>
                      <w:rFonts w:hint="eastAsia"/>
                      <w:b w:val="0"/>
                      <w:color w:val="000000"/>
                      <w:szCs w:val="22"/>
                      <w:lang w:val="en-US" w:eastAsia="zh-CN"/>
                    </w:rPr>
                    <w:t>最大贮存量</w:t>
                  </w:r>
                  <w:r>
                    <w:rPr>
                      <w:rFonts w:hint="default"/>
                      <w:b w:val="0"/>
                      <w:color w:val="000000"/>
                      <w:szCs w:val="22"/>
                      <w:lang w:val="en-US" w:eastAsia="zh-CN"/>
                    </w:rPr>
                    <w:t>/</w:t>
                  </w:r>
                  <w:r>
                    <w:rPr>
                      <w:rFonts w:hint="eastAsia"/>
                      <w:b w:val="0"/>
                      <w:color w:val="000000"/>
                      <w:szCs w:val="22"/>
                      <w:lang w:val="en-US" w:eastAsia="zh-CN"/>
                    </w:rPr>
                    <w:t>最大在线量（</w:t>
                  </w:r>
                  <w:r>
                    <w:rPr>
                      <w:rFonts w:hint="default"/>
                      <w:b w:val="0"/>
                      <w:color w:val="000000"/>
                      <w:szCs w:val="22"/>
                      <w:lang w:val="en-US" w:eastAsia="zh-CN"/>
                    </w:rPr>
                    <w:t>t</w:t>
                  </w:r>
                  <w:r>
                    <w:rPr>
                      <w:rFonts w:hint="eastAsia"/>
                      <w:b w:val="0"/>
                      <w:color w:val="000000"/>
                      <w:szCs w:val="22"/>
                      <w:lang w:val="en-US" w:eastAsia="zh-CN"/>
                    </w:rPr>
                    <w:t>）</w:t>
                  </w:r>
                </w:p>
              </w:tc>
              <w:tc>
                <w:tcPr>
                  <w:tcW w:w="712" w:type="dxa"/>
                  <w:tcBorders>
                    <w:top w:val="single" w:color="000000" w:sz="12" w:space="0"/>
                    <w:left w:val="single" w:color="auto" w:sz="4" w:space="0"/>
                    <w:bottom w:val="single" w:color="auto" w:sz="4" w:space="0"/>
                    <w:right w:val="single" w:color="auto" w:sz="4" w:space="0"/>
                  </w:tcBorders>
                  <w:shd w:val="clear" w:color="auto" w:fill="auto"/>
                  <w:vAlign w:val="center"/>
                </w:tcPr>
                <w:p w14:paraId="67A0FDAE">
                  <w:pPr>
                    <w:pStyle w:val="38"/>
                    <w:keepNext w:val="0"/>
                    <w:keepLines w:val="0"/>
                    <w:widowControl/>
                    <w:suppressLineNumbers w:val="0"/>
                    <w:bidi w:val="0"/>
                    <w:spacing w:before="0" w:beforeAutospacing="0" w:after="0" w:afterAutospacing="0"/>
                    <w:ind w:left="0" w:right="0"/>
                    <w:rPr>
                      <w:rFonts w:hint="eastAsia" w:cs="宋体"/>
                      <w:b w:val="0"/>
                      <w:bCs w:val="0"/>
                      <w:iCs w:val="0"/>
                      <w:color w:val="000000"/>
                      <w:szCs w:val="22"/>
                      <w:vertAlign w:val="baseline"/>
                    </w:rPr>
                  </w:pPr>
                  <w:r>
                    <w:rPr>
                      <w:rFonts w:hint="eastAsia"/>
                      <w:b w:val="0"/>
                      <w:color w:val="000000"/>
                      <w:szCs w:val="22"/>
                      <w:lang w:val="en-US" w:eastAsia="zh-CN"/>
                    </w:rPr>
                    <w:t>贮存位置</w:t>
                  </w:r>
                </w:p>
              </w:tc>
              <w:tc>
                <w:tcPr>
                  <w:tcW w:w="910" w:type="dxa"/>
                  <w:tcBorders>
                    <w:top w:val="single" w:color="000000" w:sz="12" w:space="0"/>
                    <w:left w:val="single" w:color="auto" w:sz="4" w:space="0"/>
                    <w:bottom w:val="single" w:color="auto" w:sz="4" w:space="0"/>
                    <w:right w:val="single" w:color="auto" w:sz="4" w:space="0"/>
                  </w:tcBorders>
                  <w:shd w:val="clear" w:color="auto" w:fill="auto"/>
                  <w:vAlign w:val="center"/>
                </w:tcPr>
                <w:p w14:paraId="379A2DC0">
                  <w:pPr>
                    <w:pStyle w:val="38"/>
                    <w:keepNext w:val="0"/>
                    <w:keepLines w:val="0"/>
                    <w:widowControl/>
                    <w:suppressLineNumbers w:val="0"/>
                    <w:bidi w:val="0"/>
                    <w:spacing w:before="0" w:beforeAutospacing="0" w:after="0" w:afterAutospacing="0"/>
                    <w:ind w:left="0" w:right="0"/>
                    <w:rPr>
                      <w:rFonts w:hint="eastAsia" w:cs="宋体"/>
                      <w:b w:val="0"/>
                      <w:bCs w:val="0"/>
                      <w:iCs w:val="0"/>
                      <w:color w:val="000000"/>
                      <w:szCs w:val="22"/>
                      <w:vertAlign w:val="baseline"/>
                    </w:rPr>
                  </w:pPr>
                  <w:r>
                    <w:rPr>
                      <w:rFonts w:hint="eastAsia"/>
                      <w:b w:val="0"/>
                      <w:color w:val="000000"/>
                      <w:szCs w:val="22"/>
                      <w:lang w:val="en-US" w:eastAsia="zh-CN"/>
                    </w:rPr>
                    <w:t>临界量（</w:t>
                  </w:r>
                  <w:r>
                    <w:rPr>
                      <w:rFonts w:hint="default"/>
                      <w:b w:val="0"/>
                      <w:color w:val="000000"/>
                      <w:szCs w:val="22"/>
                      <w:lang w:val="en-US" w:eastAsia="zh-CN"/>
                    </w:rPr>
                    <w:t>t</w:t>
                  </w:r>
                  <w:r>
                    <w:rPr>
                      <w:rFonts w:hint="eastAsia"/>
                      <w:b w:val="0"/>
                      <w:color w:val="000000"/>
                      <w:szCs w:val="22"/>
                      <w:lang w:val="en-US" w:eastAsia="zh-CN"/>
                    </w:rPr>
                    <w:t>）</w:t>
                  </w:r>
                </w:p>
              </w:tc>
              <w:tc>
                <w:tcPr>
                  <w:tcW w:w="1093" w:type="dxa"/>
                  <w:tcBorders>
                    <w:top w:val="single" w:color="000000" w:sz="12" w:space="0"/>
                    <w:left w:val="single" w:color="auto" w:sz="4" w:space="0"/>
                    <w:bottom w:val="single" w:color="auto" w:sz="4" w:space="0"/>
                    <w:right w:val="nil"/>
                  </w:tcBorders>
                  <w:shd w:val="clear" w:color="auto" w:fill="auto"/>
                  <w:vAlign w:val="center"/>
                </w:tcPr>
                <w:p w14:paraId="25DA11C3">
                  <w:pPr>
                    <w:pStyle w:val="38"/>
                    <w:keepNext w:val="0"/>
                    <w:keepLines w:val="0"/>
                    <w:widowControl/>
                    <w:suppressLineNumbers w:val="0"/>
                    <w:bidi w:val="0"/>
                    <w:spacing w:before="0" w:beforeAutospacing="0" w:after="0" w:afterAutospacing="0"/>
                    <w:ind w:left="0" w:right="0"/>
                    <w:rPr>
                      <w:rFonts w:hint="eastAsia" w:cs="宋体"/>
                      <w:b w:val="0"/>
                      <w:bCs w:val="0"/>
                      <w:iCs w:val="0"/>
                      <w:color w:val="000000"/>
                      <w:szCs w:val="22"/>
                      <w:vertAlign w:val="baseline"/>
                    </w:rPr>
                  </w:pPr>
                  <w:r>
                    <w:rPr>
                      <w:rFonts w:hint="eastAsia"/>
                      <w:b w:val="0"/>
                      <w:color w:val="000000"/>
                      <w:szCs w:val="22"/>
                      <w:lang w:val="en-US" w:eastAsia="zh-CN"/>
                    </w:rPr>
                    <w:t>临界量比值</w:t>
                  </w:r>
                </w:p>
              </w:tc>
            </w:tr>
            <w:tr w14:paraId="6C4B1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8" w:type="dxa"/>
                  <w:tcBorders>
                    <w:top w:val="single" w:color="auto" w:sz="4" w:space="0"/>
                    <w:left w:val="nil"/>
                    <w:bottom w:val="single" w:color="auto" w:sz="4" w:space="0"/>
                    <w:right w:val="single" w:color="auto" w:sz="4" w:space="0"/>
                  </w:tcBorders>
                  <w:shd w:val="clear" w:color="auto" w:fill="auto"/>
                  <w:vAlign w:val="center"/>
                </w:tcPr>
                <w:p w14:paraId="11A735DD">
                  <w:pPr>
                    <w:pStyle w:val="38"/>
                    <w:keepNext w:val="0"/>
                    <w:keepLines w:val="0"/>
                    <w:widowControl/>
                    <w:suppressLineNumbers w:val="0"/>
                    <w:bidi w:val="0"/>
                    <w:spacing w:before="0" w:beforeAutospacing="0" w:after="0" w:afterAutospacing="0"/>
                    <w:ind w:left="0" w:right="0"/>
                    <w:rPr>
                      <w:rFonts w:hint="eastAsia" w:cs="宋体"/>
                      <w:b w:val="0"/>
                      <w:bCs w:val="0"/>
                      <w:iCs w:val="0"/>
                      <w:color w:val="000000"/>
                      <w:szCs w:val="22"/>
                      <w:vertAlign w:val="baseline"/>
                    </w:rPr>
                  </w:pPr>
                  <w:r>
                    <w:rPr>
                      <w:rFonts w:hint="eastAsia"/>
                      <w:b w:val="0"/>
                      <w:color w:val="000000"/>
                      <w:szCs w:val="22"/>
                      <w:lang w:val="en-US" w:eastAsia="zh-CN"/>
                    </w:rPr>
                    <w:t>1</w:t>
                  </w:r>
                </w:p>
              </w:tc>
              <w:tc>
                <w:tcPr>
                  <w:tcW w:w="1429" w:type="dxa"/>
                  <w:tcBorders>
                    <w:top w:val="single" w:color="auto" w:sz="4" w:space="0"/>
                    <w:left w:val="single" w:color="auto" w:sz="4" w:space="0"/>
                    <w:bottom w:val="single" w:color="auto" w:sz="4" w:space="0"/>
                    <w:right w:val="single" w:color="auto" w:sz="4" w:space="0"/>
                  </w:tcBorders>
                  <w:shd w:val="clear" w:color="auto" w:fill="auto"/>
                  <w:vAlign w:val="center"/>
                </w:tcPr>
                <w:p w14:paraId="7C0D9AED">
                  <w:pPr>
                    <w:pStyle w:val="38"/>
                    <w:keepNext w:val="0"/>
                    <w:keepLines w:val="0"/>
                    <w:widowControl/>
                    <w:suppressLineNumbers w:val="0"/>
                    <w:bidi w:val="0"/>
                    <w:spacing w:before="0" w:beforeAutospacing="0" w:after="0" w:afterAutospacing="0"/>
                    <w:ind w:left="0" w:right="0"/>
                    <w:rPr>
                      <w:rFonts w:hint="eastAsia" w:cs="宋体"/>
                      <w:b w:val="0"/>
                      <w:bCs w:val="0"/>
                      <w:iCs w:val="0"/>
                      <w:color w:val="000000"/>
                      <w:szCs w:val="22"/>
                      <w:vertAlign w:val="baseline"/>
                    </w:rPr>
                  </w:pPr>
                  <w:r>
                    <w:rPr>
                      <w:rFonts w:hint="eastAsia"/>
                      <w:b w:val="0"/>
                      <w:color w:val="000000"/>
                      <w:szCs w:val="22"/>
                      <w:lang w:val="en-US" w:eastAsia="zh-CN"/>
                    </w:rPr>
                    <w:t>废机油</w:t>
                  </w:r>
                </w:p>
              </w:tc>
              <w:tc>
                <w:tcPr>
                  <w:tcW w:w="784" w:type="dxa"/>
                  <w:tcBorders>
                    <w:top w:val="single" w:color="auto" w:sz="4" w:space="0"/>
                    <w:left w:val="single" w:color="auto" w:sz="4" w:space="0"/>
                    <w:bottom w:val="single" w:color="auto" w:sz="4" w:space="0"/>
                    <w:right w:val="single" w:color="auto" w:sz="4" w:space="0"/>
                  </w:tcBorders>
                  <w:shd w:val="clear" w:color="auto" w:fill="auto"/>
                  <w:vAlign w:val="center"/>
                </w:tcPr>
                <w:p w14:paraId="098285A1">
                  <w:pPr>
                    <w:pStyle w:val="38"/>
                    <w:keepNext w:val="0"/>
                    <w:keepLines w:val="0"/>
                    <w:widowControl/>
                    <w:suppressLineNumbers w:val="0"/>
                    <w:bidi w:val="0"/>
                    <w:spacing w:before="0" w:beforeAutospacing="0" w:after="0" w:afterAutospacing="0"/>
                    <w:ind w:left="0" w:right="0"/>
                    <w:rPr>
                      <w:rFonts w:hint="eastAsia" w:cs="宋体"/>
                      <w:b w:val="0"/>
                      <w:bCs w:val="0"/>
                      <w:iCs w:val="0"/>
                      <w:color w:val="000000"/>
                      <w:szCs w:val="22"/>
                      <w:vertAlign w:val="baseline"/>
                    </w:rPr>
                  </w:pPr>
                  <w:r>
                    <w:rPr>
                      <w:rFonts w:hint="eastAsia"/>
                      <w:b w:val="0"/>
                      <w:color w:val="000000"/>
                      <w:szCs w:val="22"/>
                      <w:lang w:val="en-US" w:eastAsia="zh-CN"/>
                    </w:rPr>
                    <w:t>油类物质</w:t>
                  </w:r>
                </w:p>
              </w:tc>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5319B38E">
                  <w:pPr>
                    <w:pStyle w:val="38"/>
                    <w:keepNext w:val="0"/>
                    <w:keepLines w:val="0"/>
                    <w:widowControl/>
                    <w:suppressLineNumbers w:val="0"/>
                    <w:bidi w:val="0"/>
                    <w:spacing w:before="0" w:beforeAutospacing="0" w:after="0" w:afterAutospacing="0"/>
                    <w:ind w:left="0" w:right="0"/>
                    <w:rPr>
                      <w:rFonts w:hint="eastAsia" w:cs="宋体"/>
                      <w:b w:val="0"/>
                      <w:bCs w:val="0"/>
                      <w:iCs w:val="0"/>
                      <w:color w:val="000000"/>
                      <w:szCs w:val="22"/>
                      <w:vertAlign w:val="baseline"/>
                    </w:rPr>
                  </w:pPr>
                  <w:r>
                    <w:rPr>
                      <w:rFonts w:hint="default"/>
                      <w:b w:val="0"/>
                      <w:color w:val="000000"/>
                      <w:szCs w:val="22"/>
                      <w:lang w:val="en-US" w:eastAsia="zh-CN"/>
                    </w:rPr>
                    <w:t>/</w:t>
                  </w:r>
                </w:p>
              </w:tc>
              <w:tc>
                <w:tcPr>
                  <w:tcW w:w="1491" w:type="dxa"/>
                  <w:tcBorders>
                    <w:top w:val="single" w:color="auto" w:sz="4" w:space="0"/>
                    <w:left w:val="single" w:color="auto" w:sz="4" w:space="0"/>
                    <w:bottom w:val="single" w:color="auto" w:sz="4" w:space="0"/>
                    <w:right w:val="single" w:color="auto" w:sz="4" w:space="0"/>
                  </w:tcBorders>
                  <w:shd w:val="clear" w:color="auto" w:fill="auto"/>
                  <w:vAlign w:val="center"/>
                </w:tcPr>
                <w:p w14:paraId="2D4E5594">
                  <w:pPr>
                    <w:pStyle w:val="38"/>
                    <w:keepNext w:val="0"/>
                    <w:keepLines w:val="0"/>
                    <w:widowControl/>
                    <w:suppressLineNumbers w:val="0"/>
                    <w:bidi w:val="0"/>
                    <w:spacing w:before="0" w:beforeAutospacing="0" w:after="0" w:afterAutospacing="0"/>
                    <w:ind w:left="0" w:right="0"/>
                    <w:rPr>
                      <w:rFonts w:hint="eastAsia" w:cs="宋体"/>
                      <w:b w:val="0"/>
                      <w:bCs w:val="0"/>
                      <w:iCs w:val="0"/>
                      <w:color w:val="000000"/>
                      <w:szCs w:val="22"/>
                      <w:vertAlign w:val="baseline"/>
                    </w:rPr>
                  </w:pPr>
                  <w:r>
                    <w:rPr>
                      <w:rFonts w:hint="default"/>
                      <w:b w:val="0"/>
                      <w:color w:val="000000"/>
                      <w:szCs w:val="22"/>
                      <w:lang w:val="en-US" w:eastAsia="zh-CN"/>
                    </w:rPr>
                    <w:t>0.01</w:t>
                  </w:r>
                </w:p>
              </w:tc>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14:paraId="7AD2BC72">
                  <w:pPr>
                    <w:pStyle w:val="38"/>
                    <w:keepNext w:val="0"/>
                    <w:keepLines w:val="0"/>
                    <w:widowControl/>
                    <w:suppressLineNumbers w:val="0"/>
                    <w:bidi w:val="0"/>
                    <w:spacing w:before="0" w:beforeAutospacing="0" w:after="0" w:afterAutospacing="0"/>
                    <w:ind w:left="0" w:right="0"/>
                    <w:rPr>
                      <w:rFonts w:hint="eastAsia" w:cs="宋体"/>
                      <w:b w:val="0"/>
                      <w:bCs w:val="0"/>
                      <w:iCs w:val="0"/>
                      <w:color w:val="000000"/>
                      <w:szCs w:val="22"/>
                      <w:vertAlign w:val="baseline"/>
                    </w:rPr>
                  </w:pPr>
                  <w:r>
                    <w:rPr>
                      <w:rFonts w:hint="eastAsia"/>
                      <w:b w:val="0"/>
                      <w:color w:val="000000"/>
                      <w:szCs w:val="22"/>
                      <w:lang w:val="en-US" w:eastAsia="zh-CN"/>
                    </w:rPr>
                    <w:t>危废贮存库</w:t>
                  </w:r>
                </w:p>
              </w:tc>
              <w:tc>
                <w:tcPr>
                  <w:tcW w:w="910" w:type="dxa"/>
                  <w:tcBorders>
                    <w:top w:val="single" w:color="auto" w:sz="4" w:space="0"/>
                    <w:left w:val="single" w:color="auto" w:sz="4" w:space="0"/>
                    <w:bottom w:val="single" w:color="auto" w:sz="4" w:space="0"/>
                    <w:right w:val="single" w:color="auto" w:sz="4" w:space="0"/>
                  </w:tcBorders>
                  <w:shd w:val="clear" w:color="auto" w:fill="auto"/>
                  <w:vAlign w:val="center"/>
                </w:tcPr>
                <w:p w14:paraId="53B7F420">
                  <w:pPr>
                    <w:pStyle w:val="38"/>
                    <w:keepNext w:val="0"/>
                    <w:keepLines w:val="0"/>
                    <w:widowControl/>
                    <w:suppressLineNumbers w:val="0"/>
                    <w:bidi w:val="0"/>
                    <w:spacing w:before="0" w:beforeAutospacing="0" w:after="0" w:afterAutospacing="0"/>
                    <w:ind w:left="0" w:right="0"/>
                    <w:rPr>
                      <w:rFonts w:hint="eastAsia" w:cs="宋体"/>
                      <w:b w:val="0"/>
                      <w:bCs w:val="0"/>
                      <w:iCs w:val="0"/>
                      <w:color w:val="000000"/>
                      <w:szCs w:val="22"/>
                      <w:vertAlign w:val="baseline"/>
                    </w:rPr>
                  </w:pPr>
                  <w:r>
                    <w:rPr>
                      <w:rFonts w:hint="default"/>
                      <w:b w:val="0"/>
                      <w:color w:val="000000"/>
                      <w:szCs w:val="22"/>
                      <w:lang w:val="en-US" w:eastAsia="zh-CN"/>
                    </w:rPr>
                    <w:t>2500</w:t>
                  </w:r>
                </w:p>
              </w:tc>
              <w:tc>
                <w:tcPr>
                  <w:tcW w:w="1093" w:type="dxa"/>
                  <w:tcBorders>
                    <w:top w:val="single" w:color="auto" w:sz="4" w:space="0"/>
                    <w:left w:val="single" w:color="auto" w:sz="4" w:space="0"/>
                    <w:bottom w:val="single" w:color="auto" w:sz="4" w:space="0"/>
                    <w:right w:val="nil"/>
                  </w:tcBorders>
                  <w:shd w:val="clear" w:color="auto" w:fill="auto"/>
                  <w:vAlign w:val="center"/>
                </w:tcPr>
                <w:p w14:paraId="2AA52397">
                  <w:pPr>
                    <w:pStyle w:val="38"/>
                    <w:keepNext w:val="0"/>
                    <w:keepLines w:val="0"/>
                    <w:widowControl/>
                    <w:suppressLineNumbers w:val="0"/>
                    <w:bidi w:val="0"/>
                    <w:spacing w:before="0" w:beforeAutospacing="0" w:after="0" w:afterAutospacing="0"/>
                    <w:ind w:left="0" w:right="0"/>
                    <w:rPr>
                      <w:rFonts w:hint="eastAsia" w:cs="宋体"/>
                      <w:b w:val="0"/>
                      <w:bCs w:val="0"/>
                      <w:iCs w:val="0"/>
                      <w:color w:val="000000"/>
                      <w:szCs w:val="22"/>
                      <w:vertAlign w:val="baseline"/>
                    </w:rPr>
                  </w:pPr>
                  <w:r>
                    <w:rPr>
                      <w:rFonts w:hint="default"/>
                      <w:b w:val="0"/>
                      <w:color w:val="000000"/>
                      <w:szCs w:val="22"/>
                      <w:lang w:val="en-US" w:eastAsia="zh-CN"/>
                    </w:rPr>
                    <w:t>0.000004</w:t>
                  </w:r>
                </w:p>
              </w:tc>
            </w:tr>
            <w:tr w14:paraId="026BA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5" w:type="dxa"/>
                  <w:gridSpan w:val="7"/>
                  <w:tcBorders>
                    <w:top w:val="single" w:color="auto" w:sz="4" w:space="0"/>
                    <w:left w:val="nil"/>
                    <w:bottom w:val="single" w:color="000000" w:sz="12" w:space="0"/>
                    <w:right w:val="single" w:color="auto" w:sz="4" w:space="0"/>
                  </w:tcBorders>
                  <w:shd w:val="clear" w:color="auto" w:fill="auto"/>
                  <w:vAlign w:val="center"/>
                </w:tcPr>
                <w:p w14:paraId="57A8764B">
                  <w:pPr>
                    <w:pStyle w:val="38"/>
                    <w:keepNext w:val="0"/>
                    <w:keepLines w:val="0"/>
                    <w:widowControl/>
                    <w:suppressLineNumbers w:val="0"/>
                    <w:bidi w:val="0"/>
                    <w:spacing w:before="0" w:beforeAutospacing="0" w:after="0" w:afterAutospacing="0"/>
                    <w:ind w:left="0" w:right="0"/>
                    <w:rPr>
                      <w:rFonts w:hint="default"/>
                      <w:b w:val="0"/>
                      <w:color w:val="000000"/>
                      <w:szCs w:val="22"/>
                      <w:lang w:val="en-US" w:eastAsia="zh-CN"/>
                    </w:rPr>
                  </w:pPr>
                  <w:r>
                    <w:rPr>
                      <w:rFonts w:hint="eastAsia"/>
                      <w:b w:val="0"/>
                      <w:color w:val="000000"/>
                      <w:szCs w:val="22"/>
                      <w:lang w:val="en-US" w:eastAsia="zh-CN"/>
                    </w:rPr>
                    <w:t>总计</w:t>
                  </w:r>
                </w:p>
              </w:tc>
              <w:tc>
                <w:tcPr>
                  <w:tcW w:w="1093" w:type="dxa"/>
                  <w:tcBorders>
                    <w:top w:val="single" w:color="auto" w:sz="4" w:space="0"/>
                    <w:left w:val="single" w:color="auto" w:sz="4" w:space="0"/>
                    <w:bottom w:val="single" w:color="000000" w:sz="12" w:space="0"/>
                    <w:right w:val="nil"/>
                  </w:tcBorders>
                  <w:shd w:val="clear" w:color="auto" w:fill="auto"/>
                  <w:vAlign w:val="center"/>
                </w:tcPr>
                <w:p w14:paraId="5DD6C5D7">
                  <w:pPr>
                    <w:pStyle w:val="38"/>
                    <w:keepNext w:val="0"/>
                    <w:keepLines w:val="0"/>
                    <w:widowControl/>
                    <w:suppressLineNumbers w:val="0"/>
                    <w:bidi w:val="0"/>
                    <w:spacing w:before="0" w:beforeAutospacing="0" w:after="0" w:afterAutospacing="0"/>
                    <w:ind w:left="0" w:right="0"/>
                    <w:rPr>
                      <w:rFonts w:hint="default"/>
                      <w:b w:val="0"/>
                      <w:color w:val="000000"/>
                      <w:szCs w:val="22"/>
                      <w:lang w:val="en-US" w:eastAsia="zh-CN"/>
                    </w:rPr>
                  </w:pPr>
                  <w:r>
                    <w:rPr>
                      <w:rFonts w:hint="default"/>
                      <w:b w:val="0"/>
                      <w:color w:val="000000"/>
                      <w:szCs w:val="22"/>
                      <w:lang w:val="en-US" w:eastAsia="zh-CN"/>
                    </w:rPr>
                    <w:t>0.000004</w:t>
                  </w:r>
                </w:p>
              </w:tc>
            </w:tr>
          </w:tbl>
          <w:p w14:paraId="372C912E">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由表可知项目危险物质的临界量比值Q=</w:t>
            </w:r>
            <w:r>
              <w:rPr>
                <w:rFonts w:hint="default"/>
                <w:b w:val="0"/>
                <w:color w:val="000000"/>
                <w:lang w:val="en-US" w:eastAsia="zh-CN"/>
              </w:rPr>
              <w:t>0.000004</w:t>
            </w:r>
            <w:r>
              <w:rPr>
                <w:rFonts w:hint="eastAsia" w:cs="宋体"/>
                <w:b w:val="0"/>
                <w:bCs w:val="0"/>
                <w:iCs w:val="0"/>
                <w:color w:val="auto"/>
              </w:rPr>
              <w:t>＜1，项目环境风险潜势为</w:t>
            </w:r>
            <w:r>
              <w:rPr>
                <w:rFonts w:hint="eastAsia"/>
                <w:b w:val="0"/>
                <w:bCs w:val="0"/>
                <w:iCs w:val="0"/>
                <w:color w:val="auto"/>
              </w:rPr>
              <w:t>Ⅰ</w:t>
            </w:r>
            <w:r>
              <w:rPr>
                <w:rFonts w:hint="eastAsia" w:cs="宋体"/>
                <w:b w:val="0"/>
                <w:bCs w:val="0"/>
                <w:iCs w:val="0"/>
                <w:color w:val="auto"/>
              </w:rPr>
              <w:t>。</w:t>
            </w:r>
          </w:p>
          <w:p w14:paraId="532070C0">
            <w:pPr>
              <w:pStyle w:val="4"/>
              <w:suppressLineNumbers w:val="0"/>
              <w:tabs>
                <w:tab w:val="left" w:pos="420"/>
                <w:tab w:val="clear" w:pos="0"/>
              </w:tabs>
              <w:bidi w:val="0"/>
              <w:spacing w:before="0" w:beforeAutospacing="0" w:after="0" w:afterAutospacing="0"/>
              <w:ind w:left="0" w:right="0"/>
              <w:rPr>
                <w:rFonts w:hint="eastAsia"/>
              </w:rPr>
            </w:pPr>
            <w:r>
              <w:rPr>
                <w:rFonts w:hint="eastAsia"/>
              </w:rPr>
              <w:t>环境风险潜势初判</w:t>
            </w:r>
          </w:p>
          <w:p w14:paraId="369DFED6">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根据《建设项目环境风险评价技术导则》（HJ 169-2018），环境风险评价工作等级划分详见下表4.6-</w:t>
            </w:r>
            <w:r>
              <w:rPr>
                <w:rFonts w:hint="eastAsia" w:cs="宋体"/>
                <w:b w:val="0"/>
                <w:bCs w:val="0"/>
                <w:iCs w:val="0"/>
                <w:color w:val="auto"/>
                <w:lang w:val="en-US" w:eastAsia="zh-CN"/>
              </w:rPr>
              <w:t>2</w:t>
            </w:r>
            <w:r>
              <w:rPr>
                <w:rFonts w:hint="eastAsia" w:cs="宋体"/>
                <w:b w:val="0"/>
                <w:bCs w:val="0"/>
                <w:iCs w:val="0"/>
                <w:color w:val="auto"/>
              </w:rPr>
              <w:t>。</w:t>
            </w:r>
          </w:p>
          <w:p w14:paraId="72F6C724">
            <w:pPr>
              <w:pStyle w:val="39"/>
              <w:keepNext w:val="0"/>
              <w:keepLines w:val="0"/>
              <w:suppressLineNumbers w:val="0"/>
              <w:bidi w:val="0"/>
              <w:spacing w:before="0" w:beforeAutospacing="0" w:after="0" w:afterAutospacing="0"/>
              <w:ind w:left="0" w:right="0"/>
              <w:rPr>
                <w:rFonts w:hint="eastAsia"/>
              </w:rPr>
            </w:pPr>
            <w:r>
              <w:rPr>
                <w:rFonts w:hint="eastAsia"/>
              </w:rPr>
              <w:t>表4.6-</w:t>
            </w:r>
            <w:r>
              <w:rPr>
                <w:rFonts w:hint="eastAsia"/>
                <w:lang w:val="en-US" w:eastAsia="zh-CN"/>
              </w:rPr>
              <w:t>2</w:t>
            </w:r>
            <w:r>
              <w:rPr>
                <w:rFonts w:hint="eastAsia"/>
              </w:rPr>
              <w:t xml:space="preserve">  评价工作等级划分</w:t>
            </w:r>
          </w:p>
          <w:tbl>
            <w:tblPr>
              <w:tblStyle w:val="29"/>
              <w:tblW w:w="7902" w:type="dxa"/>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063"/>
              <w:gridCol w:w="1303"/>
              <w:gridCol w:w="1653"/>
              <w:gridCol w:w="1654"/>
              <w:gridCol w:w="1229"/>
            </w:tblGrid>
            <w:tr w14:paraId="40D293C8">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393" w:hRule="atLeast"/>
                <w:jc w:val="center"/>
              </w:trPr>
              <w:tc>
                <w:tcPr>
                  <w:tcW w:w="2063" w:type="dxa"/>
                  <w:vAlign w:val="center"/>
                </w:tcPr>
                <w:p w14:paraId="5F51F696">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环境风险潜势</w:t>
                  </w:r>
                </w:p>
              </w:tc>
              <w:tc>
                <w:tcPr>
                  <w:tcW w:w="1303" w:type="dxa"/>
                  <w:vAlign w:val="center"/>
                </w:tcPr>
                <w:p w14:paraId="0CA6B978">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Ⅳ、Ⅳ+</w:t>
                  </w:r>
                </w:p>
              </w:tc>
              <w:tc>
                <w:tcPr>
                  <w:tcW w:w="1653" w:type="dxa"/>
                  <w:vAlign w:val="center"/>
                </w:tcPr>
                <w:p w14:paraId="0D51D222">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Ⅲ</w:t>
                  </w:r>
                </w:p>
              </w:tc>
              <w:tc>
                <w:tcPr>
                  <w:tcW w:w="1654" w:type="dxa"/>
                  <w:vAlign w:val="center"/>
                </w:tcPr>
                <w:p w14:paraId="6845A93E">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Ⅱ</w:t>
                  </w:r>
                </w:p>
              </w:tc>
              <w:tc>
                <w:tcPr>
                  <w:tcW w:w="1229" w:type="dxa"/>
                  <w:vAlign w:val="center"/>
                </w:tcPr>
                <w:p w14:paraId="3F13B601">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Ⅰ</w:t>
                  </w:r>
                </w:p>
              </w:tc>
            </w:tr>
            <w:tr w14:paraId="715CB6E1">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3" w:hRule="atLeast"/>
                <w:jc w:val="center"/>
              </w:trPr>
              <w:tc>
                <w:tcPr>
                  <w:tcW w:w="2063" w:type="dxa"/>
                  <w:vAlign w:val="center"/>
                </w:tcPr>
                <w:p w14:paraId="1F2FDFF4">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评价工作等级</w:t>
                  </w:r>
                </w:p>
              </w:tc>
              <w:tc>
                <w:tcPr>
                  <w:tcW w:w="1303" w:type="dxa"/>
                  <w:vAlign w:val="center"/>
                </w:tcPr>
                <w:p w14:paraId="5E09EA87">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一</w:t>
                  </w:r>
                </w:p>
              </w:tc>
              <w:tc>
                <w:tcPr>
                  <w:tcW w:w="1653" w:type="dxa"/>
                  <w:vAlign w:val="center"/>
                </w:tcPr>
                <w:p w14:paraId="275F109F">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二</w:t>
                  </w:r>
                </w:p>
              </w:tc>
              <w:tc>
                <w:tcPr>
                  <w:tcW w:w="1654" w:type="dxa"/>
                  <w:vAlign w:val="center"/>
                </w:tcPr>
                <w:p w14:paraId="3535A86D">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三</w:t>
                  </w:r>
                </w:p>
              </w:tc>
              <w:tc>
                <w:tcPr>
                  <w:tcW w:w="1229" w:type="dxa"/>
                  <w:vAlign w:val="center"/>
                </w:tcPr>
                <w:p w14:paraId="72A31789">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简单分析a</w:t>
                  </w:r>
                </w:p>
              </w:tc>
            </w:tr>
            <w:tr w14:paraId="5259F78F">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3" w:hRule="atLeast"/>
                <w:jc w:val="center"/>
              </w:trPr>
              <w:tc>
                <w:tcPr>
                  <w:tcW w:w="7902" w:type="dxa"/>
                  <w:gridSpan w:val="5"/>
                  <w:vAlign w:val="center"/>
                </w:tcPr>
                <w:p w14:paraId="6F98F07B">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a</w:t>
                  </w:r>
                  <w:r>
                    <w:rPr>
                      <w:rFonts w:hint="eastAsia"/>
                      <w:b w:val="0"/>
                      <w:bCs w:val="0"/>
                      <w:szCs w:val="22"/>
                      <w:lang w:eastAsia="zh-CN"/>
                    </w:rPr>
                    <w:t>.</w:t>
                  </w:r>
                  <w:r>
                    <w:rPr>
                      <w:rFonts w:hint="eastAsia"/>
                      <w:b w:val="0"/>
                      <w:bCs w:val="0"/>
                      <w:szCs w:val="22"/>
                    </w:rPr>
                    <w:t>相对于详细评价工作内容而言，在描述危险物质、环境影响途径、环境危害后果、风险防范措施等方面给出定性的说明。</w:t>
                  </w:r>
                </w:p>
              </w:tc>
            </w:tr>
          </w:tbl>
          <w:p w14:paraId="7C49F545">
            <w:pPr>
              <w:pStyle w:val="4"/>
              <w:suppressLineNumbers w:val="0"/>
              <w:tabs>
                <w:tab w:val="left" w:pos="420"/>
                <w:tab w:val="clear" w:pos="0"/>
              </w:tabs>
              <w:bidi w:val="0"/>
              <w:spacing w:before="0" w:beforeAutospacing="0" w:after="0" w:afterAutospacing="0"/>
              <w:ind w:left="0" w:right="0"/>
              <w:rPr>
                <w:rFonts w:hint="eastAsia"/>
              </w:rPr>
            </w:pPr>
            <w:r>
              <w:rPr>
                <w:rFonts w:hint="eastAsia"/>
              </w:rPr>
              <w:t>环境风险识别</w:t>
            </w:r>
          </w:p>
          <w:p w14:paraId="237E2BC7">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本项目可能发生的事故主要有：火灾爆炸事故、废水事故性排放等。根据风险识别，本项目主要存在的事故类型见表4.6-</w:t>
            </w:r>
            <w:r>
              <w:rPr>
                <w:rFonts w:hint="eastAsia" w:cs="宋体"/>
                <w:b w:val="0"/>
                <w:bCs w:val="0"/>
                <w:iCs w:val="0"/>
                <w:color w:val="auto"/>
                <w:lang w:val="en-US" w:eastAsia="zh-CN"/>
              </w:rPr>
              <w:t>3</w:t>
            </w:r>
            <w:r>
              <w:rPr>
                <w:rFonts w:hint="eastAsia" w:cs="宋体"/>
                <w:b w:val="0"/>
                <w:bCs w:val="0"/>
                <w:iCs w:val="0"/>
                <w:color w:val="auto"/>
              </w:rPr>
              <w:t>。</w:t>
            </w:r>
          </w:p>
          <w:p w14:paraId="73E5CFD2">
            <w:pPr>
              <w:pStyle w:val="39"/>
              <w:keepNext w:val="0"/>
              <w:keepLines w:val="0"/>
              <w:suppressLineNumbers w:val="0"/>
              <w:bidi w:val="0"/>
              <w:spacing w:before="0" w:beforeAutospacing="0" w:after="0" w:afterAutospacing="0"/>
              <w:ind w:left="0" w:right="0"/>
              <w:rPr>
                <w:rFonts w:hint="eastAsia"/>
              </w:rPr>
            </w:pPr>
            <w:r>
              <w:rPr>
                <w:rFonts w:hint="eastAsia"/>
              </w:rPr>
              <w:t>表4.6-</w:t>
            </w:r>
            <w:r>
              <w:rPr>
                <w:rFonts w:hint="eastAsia"/>
                <w:lang w:val="en-US" w:eastAsia="zh-CN"/>
              </w:rPr>
              <w:t>3</w:t>
            </w:r>
            <w:r>
              <w:rPr>
                <w:rFonts w:hint="eastAsia"/>
              </w:rPr>
              <w:t xml:space="preserve">  环境风险因素识别一览表</w:t>
            </w:r>
          </w:p>
          <w:tbl>
            <w:tblPr>
              <w:tblStyle w:val="30"/>
              <w:tblW w:w="7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4"/>
              <w:gridCol w:w="1105"/>
              <w:gridCol w:w="3137"/>
              <w:gridCol w:w="2170"/>
            </w:tblGrid>
            <w:tr w14:paraId="5792D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4" w:type="dxa"/>
                  <w:tcBorders>
                    <w:top w:val="single" w:color="auto" w:sz="12" w:space="0"/>
                    <w:left w:val="nil"/>
                  </w:tcBorders>
                  <w:vAlign w:val="center"/>
                </w:tcPr>
                <w:p w14:paraId="48220CFC">
                  <w:pPr>
                    <w:pStyle w:val="38"/>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危险目标</w:t>
                  </w:r>
                </w:p>
              </w:tc>
              <w:tc>
                <w:tcPr>
                  <w:tcW w:w="1105" w:type="dxa"/>
                  <w:tcBorders>
                    <w:top w:val="single" w:color="auto" w:sz="12" w:space="0"/>
                  </w:tcBorders>
                  <w:vAlign w:val="center"/>
                </w:tcPr>
                <w:p w14:paraId="2B5C22CF">
                  <w:pPr>
                    <w:pStyle w:val="38"/>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事故类型</w:t>
                  </w:r>
                </w:p>
              </w:tc>
              <w:tc>
                <w:tcPr>
                  <w:tcW w:w="3137" w:type="dxa"/>
                  <w:tcBorders>
                    <w:top w:val="single" w:color="auto" w:sz="12" w:space="0"/>
                  </w:tcBorders>
                  <w:vAlign w:val="center"/>
                </w:tcPr>
                <w:p w14:paraId="585D035D">
                  <w:pPr>
                    <w:pStyle w:val="38"/>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事故引发原因</w:t>
                  </w:r>
                </w:p>
              </w:tc>
              <w:tc>
                <w:tcPr>
                  <w:tcW w:w="2170" w:type="dxa"/>
                  <w:tcBorders>
                    <w:top w:val="single" w:color="auto" w:sz="12" w:space="0"/>
                    <w:right w:val="nil"/>
                  </w:tcBorders>
                  <w:vAlign w:val="center"/>
                </w:tcPr>
                <w:p w14:paraId="64B351AF">
                  <w:pPr>
                    <w:pStyle w:val="38"/>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环境事故后果</w:t>
                  </w:r>
                </w:p>
              </w:tc>
            </w:tr>
            <w:tr w14:paraId="6CFDD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4" w:type="dxa"/>
                  <w:tcBorders>
                    <w:left w:val="nil"/>
                  </w:tcBorders>
                  <w:vAlign w:val="center"/>
                </w:tcPr>
                <w:p w14:paraId="64BD99F8">
                  <w:pPr>
                    <w:pStyle w:val="38"/>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废气处理措施</w:t>
                  </w:r>
                </w:p>
              </w:tc>
              <w:tc>
                <w:tcPr>
                  <w:tcW w:w="1105" w:type="dxa"/>
                  <w:vAlign w:val="center"/>
                </w:tcPr>
                <w:p w14:paraId="53F8DD00">
                  <w:pPr>
                    <w:pStyle w:val="38"/>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事故排放</w:t>
                  </w:r>
                </w:p>
              </w:tc>
              <w:tc>
                <w:tcPr>
                  <w:tcW w:w="3137" w:type="dxa"/>
                  <w:vAlign w:val="center"/>
                </w:tcPr>
                <w:p w14:paraId="286D129D">
                  <w:pPr>
                    <w:pStyle w:val="38"/>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废气处理设施发生故障，废气未经处理后排放，会对周围的环境空气带来一定程度的不利影响</w:t>
                  </w:r>
                </w:p>
              </w:tc>
              <w:tc>
                <w:tcPr>
                  <w:tcW w:w="2170" w:type="dxa"/>
                  <w:tcBorders>
                    <w:right w:val="nil"/>
                  </w:tcBorders>
                  <w:vAlign w:val="center"/>
                </w:tcPr>
                <w:p w14:paraId="6B280574">
                  <w:pPr>
                    <w:pStyle w:val="38"/>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污染周边大气环境</w:t>
                  </w:r>
                </w:p>
              </w:tc>
            </w:tr>
            <w:tr w14:paraId="6C825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4" w:type="dxa"/>
                  <w:tcBorders>
                    <w:left w:val="nil"/>
                  </w:tcBorders>
                  <w:vAlign w:val="center"/>
                </w:tcPr>
                <w:p w14:paraId="03327982">
                  <w:pPr>
                    <w:pStyle w:val="38"/>
                    <w:keepNext w:val="0"/>
                    <w:keepLines w:val="0"/>
                    <w:widowControl/>
                    <w:suppressLineNumbers w:val="0"/>
                    <w:bidi w:val="0"/>
                    <w:spacing w:before="0" w:beforeAutospacing="0" w:after="0" w:afterAutospacing="0"/>
                    <w:ind w:left="0" w:right="0"/>
                    <w:jc w:val="center"/>
                    <w:rPr>
                      <w:rFonts w:hint="eastAsia"/>
                      <w:b w:val="0"/>
                      <w:bCs w:val="0"/>
                      <w:szCs w:val="22"/>
                      <w:lang w:eastAsia="zh-CN"/>
                    </w:rPr>
                  </w:pPr>
                  <w:r>
                    <w:rPr>
                      <w:rFonts w:hint="eastAsia"/>
                      <w:b w:val="0"/>
                      <w:bCs w:val="0"/>
                      <w:szCs w:val="22"/>
                      <w:lang w:eastAsia="zh-CN"/>
                    </w:rPr>
                    <w:t>危废贮存库</w:t>
                  </w:r>
                </w:p>
              </w:tc>
              <w:tc>
                <w:tcPr>
                  <w:tcW w:w="1105" w:type="dxa"/>
                  <w:vAlign w:val="center"/>
                </w:tcPr>
                <w:p w14:paraId="442BF059">
                  <w:pPr>
                    <w:pStyle w:val="38"/>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泄漏</w:t>
                  </w:r>
                </w:p>
              </w:tc>
              <w:tc>
                <w:tcPr>
                  <w:tcW w:w="3137" w:type="dxa"/>
                  <w:vAlign w:val="center"/>
                </w:tcPr>
                <w:p w14:paraId="73AE88E7">
                  <w:pPr>
                    <w:pStyle w:val="38"/>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装卸或存储过程中某些危险废物可能会发生泄漏污染地下水及土壤</w:t>
                  </w:r>
                </w:p>
              </w:tc>
              <w:tc>
                <w:tcPr>
                  <w:tcW w:w="2170" w:type="dxa"/>
                  <w:tcBorders>
                    <w:right w:val="nil"/>
                  </w:tcBorders>
                  <w:vAlign w:val="center"/>
                </w:tcPr>
                <w:p w14:paraId="42BD1AD3">
                  <w:pPr>
                    <w:pStyle w:val="38"/>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污染地下水及土壤</w:t>
                  </w:r>
                </w:p>
              </w:tc>
            </w:tr>
            <w:tr w14:paraId="08C6B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534" w:type="dxa"/>
                  <w:tcBorders>
                    <w:left w:val="nil"/>
                  </w:tcBorders>
                  <w:vAlign w:val="center"/>
                </w:tcPr>
                <w:p w14:paraId="1A3A89E4">
                  <w:pPr>
                    <w:pStyle w:val="38"/>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生产车间、原材料仓库</w:t>
                  </w:r>
                </w:p>
              </w:tc>
              <w:tc>
                <w:tcPr>
                  <w:tcW w:w="1105" w:type="dxa"/>
                  <w:vAlign w:val="center"/>
                </w:tcPr>
                <w:p w14:paraId="70193A79">
                  <w:pPr>
                    <w:pStyle w:val="38"/>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泄漏</w:t>
                  </w:r>
                </w:p>
              </w:tc>
              <w:tc>
                <w:tcPr>
                  <w:tcW w:w="3137" w:type="dxa"/>
                  <w:vAlign w:val="center"/>
                </w:tcPr>
                <w:p w14:paraId="568B179C">
                  <w:pPr>
                    <w:pStyle w:val="38"/>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若原辅材料包装不密，容易引起化学品泄漏</w:t>
                  </w:r>
                </w:p>
              </w:tc>
              <w:tc>
                <w:tcPr>
                  <w:tcW w:w="2170" w:type="dxa"/>
                  <w:tcBorders>
                    <w:right w:val="nil"/>
                  </w:tcBorders>
                  <w:vAlign w:val="center"/>
                </w:tcPr>
                <w:p w14:paraId="51DC23D6">
                  <w:pPr>
                    <w:pStyle w:val="38"/>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燃烧产生的烟气逸散到大气对环境造成影响</w:t>
                  </w:r>
                </w:p>
              </w:tc>
            </w:tr>
            <w:tr w14:paraId="55F36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4" w:type="dxa"/>
                  <w:tcBorders>
                    <w:left w:val="nil"/>
                    <w:bottom w:val="single" w:color="auto" w:sz="12" w:space="0"/>
                  </w:tcBorders>
                  <w:vAlign w:val="center"/>
                </w:tcPr>
                <w:p w14:paraId="7253A6E6">
                  <w:pPr>
                    <w:pStyle w:val="38"/>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火灾、爆炸次生、伴生影响</w:t>
                  </w:r>
                </w:p>
              </w:tc>
              <w:tc>
                <w:tcPr>
                  <w:tcW w:w="1105" w:type="dxa"/>
                  <w:tcBorders>
                    <w:bottom w:val="single" w:color="auto" w:sz="12" w:space="0"/>
                  </w:tcBorders>
                  <w:vAlign w:val="center"/>
                </w:tcPr>
                <w:p w14:paraId="3D515BF0">
                  <w:pPr>
                    <w:pStyle w:val="38"/>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火灾事故</w:t>
                  </w:r>
                </w:p>
              </w:tc>
              <w:tc>
                <w:tcPr>
                  <w:tcW w:w="3137" w:type="dxa"/>
                  <w:tcBorders>
                    <w:bottom w:val="single" w:color="auto" w:sz="12" w:space="0"/>
                  </w:tcBorders>
                  <w:vAlign w:val="center"/>
                </w:tcPr>
                <w:p w14:paraId="50E46BAC">
                  <w:pPr>
                    <w:pStyle w:val="38"/>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原辅材料在车间内遇明火或者高热容</w:t>
                  </w:r>
                  <w:r>
                    <w:rPr>
                      <w:rFonts w:hint="eastAsia"/>
                      <w:b w:val="0"/>
                      <w:bCs w:val="0"/>
                      <w:szCs w:val="22"/>
                      <w:lang w:eastAsia="zh-CN"/>
                    </w:rPr>
                    <w:t>易严</w:t>
                  </w:r>
                  <w:r>
                    <w:rPr>
                      <w:rFonts w:hint="eastAsia"/>
                      <w:b w:val="0"/>
                      <w:bCs w:val="0"/>
                      <w:szCs w:val="22"/>
                    </w:rPr>
                    <w:t>重火灾事故</w:t>
                  </w:r>
                </w:p>
              </w:tc>
              <w:tc>
                <w:tcPr>
                  <w:tcW w:w="2170" w:type="dxa"/>
                  <w:tcBorders>
                    <w:bottom w:val="single" w:color="auto" w:sz="12" w:space="0"/>
                    <w:right w:val="nil"/>
                  </w:tcBorders>
                  <w:vAlign w:val="center"/>
                </w:tcPr>
                <w:p w14:paraId="6C8147F4">
                  <w:pPr>
                    <w:pStyle w:val="38"/>
                    <w:keepNext w:val="0"/>
                    <w:keepLines w:val="0"/>
                    <w:widowControl/>
                    <w:suppressLineNumbers w:val="0"/>
                    <w:bidi w:val="0"/>
                    <w:spacing w:before="0" w:beforeAutospacing="0" w:after="0" w:afterAutospacing="0"/>
                    <w:ind w:left="0" w:right="0"/>
                    <w:jc w:val="center"/>
                    <w:rPr>
                      <w:rFonts w:hint="eastAsia"/>
                      <w:b w:val="0"/>
                      <w:bCs w:val="0"/>
                      <w:szCs w:val="22"/>
                    </w:rPr>
                  </w:pPr>
                  <w:r>
                    <w:rPr>
                      <w:rFonts w:hint="eastAsia"/>
                      <w:b w:val="0"/>
                      <w:bCs w:val="0"/>
                      <w:szCs w:val="22"/>
                    </w:rPr>
                    <w:t>消防废水可能污染周边地表水</w:t>
                  </w:r>
                </w:p>
              </w:tc>
            </w:tr>
          </w:tbl>
          <w:p w14:paraId="462C9197">
            <w:pPr>
              <w:pStyle w:val="4"/>
              <w:suppressLineNumbers w:val="0"/>
              <w:tabs>
                <w:tab w:val="left" w:pos="420"/>
                <w:tab w:val="clear" w:pos="0"/>
              </w:tabs>
              <w:bidi w:val="0"/>
              <w:spacing w:before="0" w:beforeAutospacing="0" w:after="0" w:afterAutospacing="0"/>
              <w:ind w:left="0" w:right="0"/>
              <w:rPr>
                <w:rFonts w:hint="eastAsia"/>
              </w:rPr>
            </w:pPr>
            <w:r>
              <w:rPr>
                <w:rFonts w:hint="eastAsia"/>
              </w:rPr>
              <w:t>环境风险分析</w:t>
            </w:r>
          </w:p>
          <w:p w14:paraId="14351E78">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（1）化学品泄漏后果分析</w:t>
            </w:r>
          </w:p>
          <w:p w14:paraId="3D4B4BB2">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由于设备失灵、原辅材料转运操作失误等原因都</w:t>
            </w:r>
            <w:r>
              <w:rPr>
                <w:rFonts w:hint="eastAsia" w:cs="宋体"/>
                <w:b w:val="0"/>
                <w:bCs w:val="0"/>
                <w:iCs w:val="0"/>
                <w:color w:val="auto"/>
                <w:lang w:eastAsia="zh-CN"/>
              </w:rPr>
              <w:t>可能</w:t>
            </w:r>
            <w:r>
              <w:rPr>
                <w:rFonts w:hint="eastAsia" w:cs="宋体"/>
                <w:b w:val="0"/>
                <w:bCs w:val="0"/>
                <w:iCs w:val="0"/>
                <w:color w:val="auto"/>
              </w:rPr>
              <w:t>造成化学品泄漏事故，造成项目周围的大气烃类污染。发生化学品泄漏时，由于味道比较容易发现，若采取必要措施就可将污染控制在泄漏的局部区域，不致形成大面积的区域性污染。</w:t>
            </w:r>
          </w:p>
          <w:p w14:paraId="20DF3449">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（2）火灾、爆炸后果分析</w:t>
            </w:r>
          </w:p>
          <w:p w14:paraId="0379FF6E">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化学品泄漏后一旦发生火灾、爆炸事故，对生产区域、现场工作人员和过往车辆将产生较为严重的损害。通过类比分析，发生火灾爆炸后，其影响范围相对主要集中在厂内，也可能会危害周围的居民，应制定紧急预案，保证危害半径内的居民、重要设施得到迅速救助、撤离或保护。</w:t>
            </w:r>
          </w:p>
          <w:p w14:paraId="2786119A">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火灾热辐射影响主要在厂区范围，而火灾燃烧过程中同时会伴生大量的烟尘、CO、SO</w:t>
            </w:r>
            <w:r>
              <w:rPr>
                <w:rFonts w:hint="eastAsia" w:cs="宋体"/>
                <w:b w:val="0"/>
                <w:bCs w:val="0"/>
                <w:iCs w:val="0"/>
                <w:color w:val="auto"/>
                <w:vertAlign w:val="subscript"/>
              </w:rPr>
              <w:t>2</w:t>
            </w:r>
            <w:r>
              <w:rPr>
                <w:rFonts w:hint="eastAsia" w:cs="宋体"/>
                <w:b w:val="0"/>
                <w:bCs w:val="0"/>
                <w:iCs w:val="0"/>
                <w:color w:val="auto"/>
              </w:rPr>
              <w:t>和NO</w:t>
            </w:r>
            <w:r>
              <w:rPr>
                <w:rFonts w:hint="eastAsia" w:cs="宋体"/>
                <w:b w:val="0"/>
                <w:bCs w:val="0"/>
                <w:iCs w:val="0"/>
                <w:color w:val="auto"/>
                <w:vertAlign w:val="subscript"/>
              </w:rPr>
              <w:t>2</w:t>
            </w:r>
            <w:r>
              <w:rPr>
                <w:rFonts w:hint="eastAsia" w:cs="宋体"/>
                <w:b w:val="0"/>
                <w:bCs w:val="0"/>
                <w:iCs w:val="0"/>
                <w:color w:val="auto"/>
              </w:rPr>
              <w:t>等污染物，将对周围大气环境产生影响。由于生产设备发生火灾和爆炸后，急剧燃烧所需的供氧量不足，属于典型的不完全燃烧，燃烧过程中产生的CO量很大。污染物影响范围较大，一般都到了几百米以外，尤其是有风的条件下，污染范围更广。</w:t>
            </w:r>
          </w:p>
          <w:p w14:paraId="2F54054A">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故在发生着火事故的情况下可能出现大面积的严重污染。本厂区的平面设计符合《城镇燃气设计规范》（GB</w:t>
            </w:r>
            <w:r>
              <w:rPr>
                <w:rFonts w:hint="eastAsia" w:cs="宋体"/>
                <w:b w:val="0"/>
                <w:bCs w:val="0"/>
                <w:iCs w:val="0"/>
                <w:color w:val="auto"/>
                <w:lang w:val="en-US" w:eastAsia="zh-CN"/>
              </w:rPr>
              <w:t>50</w:t>
            </w:r>
            <w:r>
              <w:rPr>
                <w:rFonts w:hint="eastAsia" w:cs="宋体"/>
                <w:b w:val="0"/>
                <w:bCs w:val="0"/>
                <w:iCs w:val="0"/>
                <w:color w:val="auto"/>
              </w:rPr>
              <w:t>028-2006）等设计规范中的相关规定，建设方还应该采取严密的防范措施，严防事故的发生，同时应该制定详尽的事故应急预案，确保一旦发生事故可以行之有效的办法进行处理。则项目发生火灾、爆炸的危害程度</w:t>
            </w:r>
            <w:r>
              <w:rPr>
                <w:rFonts w:hint="eastAsia" w:cs="宋体"/>
                <w:b w:val="0"/>
                <w:bCs w:val="0"/>
                <w:iCs w:val="0"/>
                <w:color w:val="auto"/>
                <w:lang w:eastAsia="zh-CN"/>
              </w:rPr>
              <w:t>可以</w:t>
            </w:r>
            <w:r>
              <w:rPr>
                <w:rFonts w:hint="eastAsia" w:cs="宋体"/>
                <w:b w:val="0"/>
                <w:bCs w:val="0"/>
                <w:iCs w:val="0"/>
                <w:color w:val="auto"/>
              </w:rPr>
              <w:t>得到控制。</w:t>
            </w:r>
          </w:p>
          <w:p w14:paraId="363877C3">
            <w:pPr>
              <w:pStyle w:val="4"/>
              <w:suppressLineNumbers w:val="0"/>
              <w:tabs>
                <w:tab w:val="left" w:pos="420"/>
                <w:tab w:val="clear" w:pos="0"/>
              </w:tabs>
              <w:bidi w:val="0"/>
              <w:spacing w:before="0" w:beforeAutospacing="0" w:after="0" w:afterAutospacing="0"/>
              <w:ind w:left="0" w:right="0"/>
              <w:rPr>
                <w:rFonts w:hint="eastAsia"/>
              </w:rPr>
            </w:pPr>
            <w:bookmarkStart w:id="36" w:name="_Toc10994"/>
            <w:bookmarkStart w:id="37" w:name="_Toc25083"/>
            <w:bookmarkStart w:id="38" w:name="_Toc22839"/>
            <w:bookmarkStart w:id="39" w:name="_Toc9435"/>
            <w:bookmarkStart w:id="40" w:name="_Toc8122"/>
            <w:r>
              <w:rPr>
                <w:rFonts w:hint="eastAsia"/>
              </w:rPr>
              <w:t>环境风险防范措施和事故应急措施</w:t>
            </w:r>
            <w:bookmarkEnd w:id="36"/>
            <w:bookmarkEnd w:id="37"/>
            <w:bookmarkEnd w:id="38"/>
            <w:bookmarkEnd w:id="39"/>
            <w:bookmarkEnd w:id="40"/>
          </w:p>
          <w:p w14:paraId="4B800A35">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（1）火灾、爆炸的防控措施</w:t>
            </w:r>
          </w:p>
          <w:p w14:paraId="2332F073">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①设置应急物资准备条件：如消防沙堆、干粉灭火器、灭火毯等消防器具，事故一旦发生可立即利用上述设备，将事故造成的影响降至最低。要定期对消防设施进行检查和维护保养，确保消防设施完好有效。</w:t>
            </w:r>
          </w:p>
          <w:p w14:paraId="75CFDB2C">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②加强安全检查，实行以防火为中心的安全管理。危险化学品仓库、生产设备周围要坚决杜绝明火，及时清理厂区内可燃杂物，保持消防通道畅通。特别要注意防止电火花引起火灾及爆炸。同时做好检查记录，发现问题和隐患及时进行整改。</w:t>
            </w:r>
          </w:p>
          <w:p w14:paraId="69F08C89">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③加强预案制定和演练。为加强对事故的有效控制，降低事故危害程度，公司制定完备的应急救援预案。并针对跑冒、泄漏制定</w:t>
            </w:r>
            <w:r>
              <w:rPr>
                <w:rFonts w:hint="eastAsia" w:cs="宋体"/>
                <w:b w:val="0"/>
                <w:bCs w:val="0"/>
                <w:iCs w:val="0"/>
                <w:color w:val="auto"/>
                <w:lang w:eastAsia="zh-CN"/>
              </w:rPr>
              <w:t>“</w:t>
            </w:r>
            <w:r>
              <w:rPr>
                <w:rFonts w:hint="eastAsia" w:cs="宋体"/>
                <w:b w:val="0"/>
                <w:bCs w:val="0"/>
                <w:iCs w:val="0"/>
                <w:color w:val="auto"/>
              </w:rPr>
              <w:t>污染控制应急救援措施</w:t>
            </w:r>
            <w:r>
              <w:rPr>
                <w:rFonts w:hint="eastAsia" w:cs="宋体"/>
                <w:b w:val="0"/>
                <w:bCs w:val="0"/>
                <w:iCs w:val="0"/>
                <w:color w:val="auto"/>
                <w:lang w:eastAsia="zh-CN"/>
              </w:rPr>
              <w:t>”</w:t>
            </w:r>
            <w:r>
              <w:rPr>
                <w:rFonts w:hint="eastAsia" w:cs="宋体"/>
                <w:b w:val="0"/>
                <w:bCs w:val="0"/>
                <w:iCs w:val="0"/>
                <w:color w:val="auto"/>
              </w:rPr>
              <w:t>。</w:t>
            </w:r>
          </w:p>
          <w:p w14:paraId="75BE85F2">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④加强对公司职工的教育培训，实行上岗证制度，增强职工风险意识，提高事故自救能力，制定和强化各种安全管理、安全运营的规程，减少人为风险事故（如误操作）的发生。</w:t>
            </w:r>
          </w:p>
          <w:p w14:paraId="52E9A1EC">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（2）危化品储运安全防范措施</w:t>
            </w:r>
          </w:p>
          <w:p w14:paraId="33070689">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本项目的危险化学品根据用途和类型不同，分别贮存。项目应严格按照《危险化学品安全管理条例》的要求，加强对危险化学品的管理；制定危险化学品安全操作规程，要求操作人员严格按操作规程作业；对从事危险化</w:t>
            </w:r>
            <w:r>
              <w:rPr>
                <w:rFonts w:hint="eastAsia" w:cs="宋体"/>
                <w:b w:val="0"/>
                <w:bCs w:val="0"/>
                <w:iCs w:val="0"/>
                <w:color w:val="auto"/>
                <w:lang w:eastAsia="zh-CN"/>
              </w:rPr>
              <w:t>学品</w:t>
            </w:r>
            <w:r>
              <w:rPr>
                <w:rFonts w:hint="eastAsia" w:cs="宋体"/>
                <w:b w:val="0"/>
                <w:bCs w:val="0"/>
                <w:iCs w:val="0"/>
                <w:color w:val="auto"/>
              </w:rPr>
              <w:t>作业人员定期进行安全培训教育；经常对危险化学品作业场所进行安全检查。</w:t>
            </w:r>
          </w:p>
          <w:p w14:paraId="34E34D10">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项目原料储存需符合储存危险化学品的相关条件（如防晒、防潮、通风、防雷、防静电等），实施危险化学品的储存和使用。建立健全安全规程及值勤制度设置通讯、报警装置，确保其处于完好状态；对储存危险化学品的容器，应经有关检验部门定期检验合格后，才能使用，并设置明显的标识及警示牌；对使用危险化学品的名称、数量进行严格登记：凡储存、使用危险化学品的岗位，都应配置合格的防毒器材、消防器材，并确保其处于完好状态；所有进入储存、使用危险化学品的人员，都必须严格遵守《危险化学品管理制度》。采购危险化学品时，应到已获得危险化学品经营许可证的企业进行采购，并要求供应商提供技术说明书及相关技术资料；采购人员必须进行专业培训并取证：危险化学品的包装物、容器必须有专业检测机构检验合格才能使用：从事危险化学品运输、押运人员，应经有关培训并取证后才能从事危险化学品运输、押运工作；运输危险化学品的车、船应悬挂危险化学品标志不得在</w:t>
            </w:r>
            <w:r>
              <w:rPr>
                <w:rFonts w:hint="eastAsia" w:cs="宋体"/>
                <w:b w:val="0"/>
                <w:bCs w:val="0"/>
                <w:iCs w:val="0"/>
                <w:color w:val="auto"/>
                <w:lang w:eastAsia="zh-CN"/>
              </w:rPr>
              <w:t>人烟稠密</w:t>
            </w:r>
            <w:r>
              <w:rPr>
                <w:rFonts w:hint="eastAsia" w:cs="宋体"/>
                <w:b w:val="0"/>
                <w:bCs w:val="0"/>
                <w:iCs w:val="0"/>
                <w:color w:val="auto"/>
              </w:rPr>
              <w:t>地区停留；危险化学品的运输、押运人员，应配置合格的防护器材。建设单位在储运过程中应小心谨慎，熟知每种物料的性质和储运注意事项。</w:t>
            </w:r>
          </w:p>
          <w:p w14:paraId="3C618BF0">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（3）原材料仓库建设要求</w:t>
            </w:r>
          </w:p>
          <w:p w14:paraId="629EFA33">
            <w:pPr>
              <w:keepNext w:val="0"/>
              <w:keepLines w:val="0"/>
              <w:suppressLineNumbers w:val="0"/>
              <w:spacing w:before="0" w:beforeAutospacing="0" w:after="0" w:afterAutospacing="0"/>
              <w:ind w:left="0" w:right="0" w:firstLine="480" w:firstLineChars="200"/>
              <w:rPr>
                <w:rFonts w:hint="eastAsia" w:cs="宋体"/>
                <w:b w:val="0"/>
                <w:bCs w:val="0"/>
                <w:iCs w:val="0"/>
                <w:color w:val="auto"/>
              </w:rPr>
            </w:pPr>
            <w:r>
              <w:rPr>
                <w:rFonts w:hint="eastAsia" w:cs="宋体"/>
                <w:b w:val="0"/>
                <w:bCs w:val="0"/>
                <w:iCs w:val="0"/>
                <w:color w:val="auto"/>
              </w:rPr>
              <w:t>本项目原材料仓库的建设应参考《危险化学品经营企业安全技术基本》（GB18265-2019）和《建筑设计防火规范》的建设要求，原材料仓库应防潮、平整、坚实、易于清扫，采用不发生火花的地面，采用防腐材料，减少火灾隐患。项目采用的有机溶剂，都具有挥发性，因此原材料仓库需设置防液体流散措施和通风设备。</w:t>
            </w:r>
          </w:p>
          <w:p w14:paraId="295C05B9">
            <w:pPr>
              <w:pStyle w:val="4"/>
              <w:suppressLineNumbers w:val="0"/>
              <w:bidi w:val="0"/>
              <w:spacing w:before="0" w:beforeAutospacing="0" w:after="0" w:afterAutospacing="0"/>
              <w:ind w:left="0" w:right="0"/>
              <w:rPr>
                <w:rFonts w:hint="default"/>
              </w:rPr>
            </w:pPr>
            <w:r>
              <w:rPr>
                <w:rFonts w:hint="default"/>
              </w:rPr>
              <w:t>风险分析结论</w:t>
            </w:r>
          </w:p>
          <w:p w14:paraId="1B9E69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rPr>
              <w:t>本项目化学品储存量较少，不构成重大危险源。配套相应的应急措施的前提下，在加强厂区防火管理、完善事故应急预案的基础上，事故发生概率很低，经过采取妥善的风险防范措施，本项目环境风险在可接受的范围内。</w:t>
            </w:r>
          </w:p>
          <w:p w14:paraId="6C022829">
            <w:pPr>
              <w:pStyle w:val="3"/>
              <w:keepNext w:val="0"/>
              <w:keepLines w:val="0"/>
              <w:suppressLineNumbers w:val="0"/>
              <w:bidi w:val="0"/>
              <w:spacing w:before="0" w:beforeAutospacing="0" w:after="0" w:afterAutospacing="0"/>
              <w:ind w:left="0" w:right="0"/>
              <w:rPr>
                <w:rFonts w:hint="default"/>
                <w:lang w:val="en-US" w:eastAsia="zh-CN"/>
              </w:rPr>
            </w:pPr>
            <w:bookmarkStart w:id="41" w:name="_Toc4526"/>
            <w:bookmarkStart w:id="42" w:name="_Toc20048"/>
            <w:bookmarkStart w:id="43" w:name="_Toc17437"/>
            <w:r>
              <w:rPr>
                <w:rFonts w:hint="default"/>
                <w:lang w:val="en-US" w:eastAsia="zh-CN"/>
              </w:rPr>
              <w:t>自行监测计划</w:t>
            </w:r>
            <w:bookmarkEnd w:id="41"/>
            <w:bookmarkEnd w:id="42"/>
            <w:bookmarkEnd w:id="43"/>
          </w:p>
          <w:p w14:paraId="5002B899">
            <w:pPr>
              <w:keepNext w:val="0"/>
              <w:keepLines w:val="0"/>
              <w:suppressLineNumbers w:val="0"/>
              <w:bidi w:val="0"/>
              <w:spacing w:before="0" w:beforeAutospacing="0" w:after="0" w:afterAutospacing="0"/>
              <w:ind w:left="0" w:right="0"/>
              <w:rPr>
                <w:rFonts w:hint="eastAsia"/>
                <w:lang w:eastAsia="zh-CN"/>
              </w:rPr>
            </w:pPr>
            <w:r>
              <w:rPr>
                <w:rFonts w:hint="default" w:ascii="Times New Roman" w:hAnsi="Times New Roman" w:eastAsia="宋体" w:cs="Times New Roman"/>
                <w:b w:val="0"/>
                <w:bCs w:val="0"/>
                <w:iCs w:val="0"/>
                <w:color w:val="000000"/>
                <w:sz w:val="24"/>
                <w:highlight w:val="none"/>
                <w:u w:val="none"/>
                <w:lang w:val="en-US" w:eastAsia="zh-CN"/>
              </w:rPr>
              <w:t>根据《固定污染源排污许可证分类管理名录</w:t>
            </w:r>
            <w:r>
              <w:rPr>
                <w:rFonts w:hint="eastAsia" w:cs="Times New Roman"/>
                <w:b w:val="0"/>
                <w:bCs w:val="0"/>
                <w:iCs w:val="0"/>
                <w:color w:val="000000"/>
                <w:sz w:val="24"/>
                <w:highlight w:val="none"/>
                <w:u w:val="none"/>
                <w:lang w:val="en-US" w:eastAsia="zh-CN"/>
              </w:rPr>
              <w:t>（</w:t>
            </w:r>
            <w:r>
              <w:rPr>
                <w:rFonts w:hint="default" w:ascii="Times New Roman" w:hAnsi="Times New Roman" w:eastAsia="宋体" w:cs="Times New Roman"/>
                <w:b w:val="0"/>
                <w:bCs w:val="0"/>
                <w:iCs w:val="0"/>
                <w:color w:val="000000"/>
                <w:sz w:val="24"/>
                <w:highlight w:val="none"/>
                <w:u w:val="none"/>
                <w:lang w:val="en-US" w:eastAsia="zh-CN"/>
              </w:rPr>
              <w:t>2019年本</w:t>
            </w:r>
            <w:r>
              <w:rPr>
                <w:rFonts w:hint="eastAsia" w:cs="Times New Roman"/>
                <w:b w:val="0"/>
                <w:bCs w:val="0"/>
                <w:iCs w:val="0"/>
                <w:color w:val="000000"/>
                <w:sz w:val="24"/>
                <w:highlight w:val="none"/>
                <w:u w:val="none"/>
                <w:lang w:val="en-US" w:eastAsia="zh-CN"/>
              </w:rPr>
              <w:t>）</w:t>
            </w:r>
            <w:r>
              <w:rPr>
                <w:rFonts w:hint="default" w:ascii="Times New Roman" w:hAnsi="Times New Roman" w:eastAsia="宋体" w:cs="Times New Roman"/>
                <w:b w:val="0"/>
                <w:bCs w:val="0"/>
                <w:iCs w:val="0"/>
                <w:color w:val="000000"/>
                <w:sz w:val="24"/>
                <w:highlight w:val="none"/>
                <w:u w:val="none"/>
                <w:lang w:val="en-US" w:eastAsia="zh-CN"/>
              </w:rPr>
              <w:t>》中，本项目属于</w:t>
            </w:r>
            <w:r>
              <w:rPr>
                <w:rFonts w:hint="eastAsia"/>
                <w:lang w:val="en-US" w:eastAsia="zh-CN"/>
              </w:rPr>
              <w:t>“</w:t>
            </w:r>
            <w:r>
              <w:rPr>
                <w:rFonts w:hint="default"/>
                <w:lang w:val="en-US" w:eastAsia="zh-CN"/>
              </w:rPr>
              <w:t xml:space="preserve"> 二十四、橡胶和塑料制品业 29 塑料制品业 292</w:t>
            </w:r>
            <w:r>
              <w:rPr>
                <w:rFonts w:hint="default"/>
              </w:rPr>
              <w:t>中</w:t>
            </w:r>
            <w:r>
              <w:rPr>
                <w:rFonts w:hint="eastAsia"/>
                <w:lang w:val="en-US" w:eastAsia="zh-CN"/>
              </w:rPr>
              <w:t>的</w:t>
            </w:r>
            <w:r>
              <w:rPr>
                <w:rFonts w:hint="default"/>
              </w:rPr>
              <w:t>其他</w:t>
            </w:r>
            <w:r>
              <w:rPr>
                <w:rFonts w:hint="eastAsia"/>
                <w:lang w:val="en-US" w:eastAsia="zh-CN"/>
              </w:rPr>
              <w:t>”</w:t>
            </w:r>
            <w:r>
              <w:rPr>
                <w:rFonts w:hint="default"/>
              </w:rPr>
              <w:t>类</w:t>
            </w:r>
            <w:r>
              <w:rPr>
                <w:rFonts w:hint="eastAsia"/>
                <w:lang w:val="en-US" w:eastAsia="zh-CN"/>
              </w:rPr>
              <w:t>及“二十八、金属制品业 33 金属表面处理及热处理加工 336中的</w:t>
            </w:r>
            <w:r>
              <w:rPr>
                <w:rFonts w:hint="default"/>
              </w:rPr>
              <w:t>其他</w:t>
            </w:r>
            <w:r>
              <w:rPr>
                <w:rFonts w:hint="eastAsia"/>
                <w:lang w:val="en-US" w:eastAsia="zh-CN"/>
              </w:rPr>
              <w:t xml:space="preserve"> ”</w:t>
            </w:r>
            <w:r>
              <w:rPr>
                <w:rFonts w:hint="default"/>
              </w:rPr>
              <w:t>类，应进行</w:t>
            </w:r>
            <w:r>
              <w:rPr>
                <w:rFonts w:hint="eastAsia"/>
                <w:lang w:val="en-US" w:eastAsia="zh-CN"/>
              </w:rPr>
              <w:t>排污</w:t>
            </w:r>
            <w:r>
              <w:rPr>
                <w:rFonts w:hint="default"/>
              </w:rPr>
              <w:t>登记管理</w:t>
            </w:r>
            <w:r>
              <w:rPr>
                <w:rFonts w:hint="eastAsia"/>
                <w:lang w:eastAsia="zh-CN"/>
              </w:rPr>
              <w:t>。</w:t>
            </w:r>
          </w:p>
          <w:p w14:paraId="59C8D8C7">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val="0"/>
                <w:iCs w:val="0"/>
                <w:color w:val="000000"/>
                <w:sz w:val="24"/>
                <w:szCs w:val="24"/>
              </w:rPr>
            </w:pPr>
            <w:r>
              <w:rPr>
                <w:rFonts w:hint="eastAsia" w:cs="Times New Roman"/>
                <w:b w:val="0"/>
                <w:bCs w:val="0"/>
                <w:iCs w:val="0"/>
                <w:color w:val="000000"/>
                <w:sz w:val="24"/>
                <w:lang w:eastAsia="zh-CN"/>
              </w:rPr>
              <w:t>本评价参照《</w:t>
            </w:r>
            <w:r>
              <w:rPr>
                <w:rFonts w:hint="eastAsia" w:cs="Times New Roman"/>
                <w:b w:val="0"/>
                <w:bCs w:val="0"/>
                <w:iCs w:val="0"/>
                <w:color w:val="000000"/>
                <w:sz w:val="24"/>
                <w:lang w:val="en-US" w:eastAsia="zh-CN"/>
              </w:rPr>
              <w:t>排污单位自行监测技术指南 总则</w:t>
            </w:r>
            <w:r>
              <w:rPr>
                <w:rFonts w:hint="eastAsia" w:ascii="Times New Roman" w:hAnsi="Times New Roman" w:eastAsia="宋体" w:cs="Times New Roman"/>
                <w:b w:val="0"/>
                <w:bCs w:val="0"/>
                <w:iCs w:val="0"/>
                <w:color w:val="000000"/>
                <w:kern w:val="0"/>
                <w:sz w:val="24"/>
                <w:szCs w:val="20"/>
                <w:lang w:val="en-US" w:eastAsia="zh-CN" w:bidi="ar-SA"/>
              </w:rPr>
              <w:t>》</w:t>
            </w:r>
            <w:r>
              <w:rPr>
                <w:rFonts w:hint="eastAsia" w:cs="Times New Roman"/>
                <w:b w:val="0"/>
                <w:bCs w:val="0"/>
                <w:iCs w:val="0"/>
                <w:color w:val="000000"/>
                <w:kern w:val="0"/>
                <w:sz w:val="24"/>
                <w:szCs w:val="20"/>
                <w:lang w:val="en-US" w:eastAsia="zh-CN" w:bidi="ar-SA"/>
              </w:rPr>
              <w:t>（</w:t>
            </w:r>
            <w:r>
              <w:rPr>
                <w:rFonts w:hint="eastAsia" w:ascii="Times New Roman" w:hAnsi="Times New Roman" w:eastAsia="宋体" w:cs="Times New Roman"/>
                <w:b w:val="0"/>
                <w:bCs w:val="0"/>
                <w:iCs w:val="0"/>
                <w:color w:val="000000"/>
                <w:kern w:val="0"/>
                <w:sz w:val="24"/>
                <w:szCs w:val="20"/>
                <w:lang w:val="en-US" w:eastAsia="zh-CN" w:bidi="ar-SA"/>
              </w:rPr>
              <w:t>HJ819-2017</w:t>
            </w:r>
            <w:r>
              <w:rPr>
                <w:rFonts w:hint="eastAsia" w:cs="Times New Roman"/>
                <w:b w:val="0"/>
                <w:bCs w:val="0"/>
                <w:iCs w:val="0"/>
                <w:color w:val="000000"/>
                <w:kern w:val="0"/>
                <w:sz w:val="24"/>
                <w:szCs w:val="20"/>
                <w:lang w:val="en-US" w:eastAsia="zh-CN" w:bidi="ar-SA"/>
              </w:rPr>
              <w:t>）</w:t>
            </w:r>
            <w:r>
              <w:rPr>
                <w:rFonts w:hint="eastAsia" w:ascii="Times New Roman" w:hAnsi="Times New Roman" w:eastAsia="宋体" w:cs="Times New Roman"/>
                <w:b w:val="0"/>
                <w:bCs w:val="0"/>
                <w:iCs w:val="0"/>
                <w:color w:val="000000"/>
                <w:kern w:val="0"/>
                <w:sz w:val="24"/>
                <w:szCs w:val="20"/>
                <w:lang w:val="en-US" w:eastAsia="zh-CN" w:bidi="ar-SA"/>
              </w:rPr>
              <w:t>、《排污单位自行监测技术指南 橡胶和塑料制品》（HJ1207-2021）等相关要求</w:t>
            </w:r>
            <w:r>
              <w:rPr>
                <w:rFonts w:hint="eastAsia" w:ascii="Times New Roman" w:hAnsi="Times New Roman" w:eastAsia="宋体" w:cs="Times New Roman"/>
                <w:b w:val="0"/>
                <w:bCs w:val="0"/>
                <w:iCs w:val="0"/>
                <w:color w:val="000000"/>
                <w:sz w:val="24"/>
                <w:szCs w:val="24"/>
                <w:lang w:eastAsia="zh-CN"/>
              </w:rPr>
              <w:t>，提出项目</w:t>
            </w:r>
            <w:r>
              <w:rPr>
                <w:rFonts w:hint="eastAsia" w:ascii="Times New Roman" w:hAnsi="Times New Roman" w:eastAsia="宋体" w:cs="Times New Roman"/>
                <w:b w:val="0"/>
                <w:bCs w:val="0"/>
                <w:iCs w:val="0"/>
                <w:color w:val="000000"/>
                <w:sz w:val="24"/>
                <w:szCs w:val="24"/>
              </w:rPr>
              <w:t>运营期</w:t>
            </w:r>
            <w:r>
              <w:rPr>
                <w:rFonts w:hint="eastAsia" w:ascii="Times New Roman" w:hAnsi="Times New Roman" w:eastAsia="宋体" w:cs="Times New Roman"/>
                <w:b w:val="0"/>
                <w:bCs w:val="0"/>
                <w:iCs w:val="0"/>
                <w:color w:val="000000"/>
                <w:sz w:val="24"/>
                <w:szCs w:val="24"/>
                <w:lang w:eastAsia="zh-CN"/>
              </w:rPr>
              <w:t>自行监测计划，具体详见表</w:t>
            </w:r>
            <w:r>
              <w:rPr>
                <w:rFonts w:hint="eastAsia" w:ascii="Times New Roman" w:hAnsi="Times New Roman" w:eastAsia="宋体" w:cs="Times New Roman"/>
                <w:b w:val="0"/>
                <w:bCs w:val="0"/>
                <w:iCs w:val="0"/>
                <w:color w:val="000000"/>
                <w:sz w:val="24"/>
                <w:szCs w:val="24"/>
                <w:lang w:val="en-US" w:eastAsia="zh-CN"/>
              </w:rPr>
              <w:t>4.7-1。</w:t>
            </w:r>
          </w:p>
          <w:p w14:paraId="3F914797">
            <w:pPr>
              <w:pStyle w:val="39"/>
              <w:keepNext w:val="0"/>
              <w:keepLines w:val="0"/>
              <w:suppressLineNumbers w:val="0"/>
              <w:shd w:val="clear"/>
              <w:bidi w:val="0"/>
              <w:spacing w:before="0" w:beforeAutospacing="0" w:after="0" w:afterAutospacing="0"/>
              <w:ind w:left="0" w:right="0"/>
              <w:rPr>
                <w:rFonts w:hint="eastAsia"/>
                <w:highlight w:val="none"/>
                <w:lang w:val="en-US" w:eastAsia="zh-CN"/>
              </w:rPr>
            </w:pPr>
            <w:r>
              <w:rPr>
                <w:rFonts w:hint="eastAsia"/>
                <w:highlight w:val="none"/>
                <w:lang w:val="en-US" w:eastAsia="zh-CN"/>
              </w:rPr>
              <w:t>表4.7-1  环境监测要求</w:t>
            </w:r>
          </w:p>
          <w:tbl>
            <w:tblPr>
              <w:tblStyle w:val="29"/>
              <w:tblW w:w="817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7"/>
              <w:gridCol w:w="2587"/>
              <w:gridCol w:w="2649"/>
              <w:gridCol w:w="2190"/>
            </w:tblGrid>
            <w:tr w14:paraId="08ABF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tcBorders>
                    <w:tl2br w:val="nil"/>
                    <w:tr2bl w:val="nil"/>
                  </w:tcBorders>
                  <w:vAlign w:val="center"/>
                </w:tcPr>
                <w:p w14:paraId="56216A02">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序号</w:t>
                  </w:r>
                </w:p>
              </w:tc>
              <w:tc>
                <w:tcPr>
                  <w:tcW w:w="2587" w:type="dxa"/>
                  <w:tcBorders>
                    <w:tl2br w:val="nil"/>
                    <w:tr2bl w:val="nil"/>
                  </w:tcBorders>
                  <w:vAlign w:val="center"/>
                </w:tcPr>
                <w:p w14:paraId="7AD18BC3">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监测点位</w:t>
                  </w:r>
                </w:p>
              </w:tc>
              <w:tc>
                <w:tcPr>
                  <w:tcW w:w="2649" w:type="dxa"/>
                  <w:tcBorders>
                    <w:tl2br w:val="nil"/>
                    <w:tr2bl w:val="nil"/>
                  </w:tcBorders>
                  <w:vAlign w:val="center"/>
                </w:tcPr>
                <w:p w14:paraId="5B4161D9">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监测因子</w:t>
                  </w:r>
                </w:p>
              </w:tc>
              <w:tc>
                <w:tcPr>
                  <w:tcW w:w="2190" w:type="dxa"/>
                  <w:tcBorders>
                    <w:tl2br w:val="nil"/>
                    <w:tr2bl w:val="nil"/>
                  </w:tcBorders>
                  <w:vAlign w:val="center"/>
                </w:tcPr>
                <w:p w14:paraId="450F8369">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监测频次</w:t>
                  </w:r>
                </w:p>
              </w:tc>
            </w:tr>
            <w:tr w14:paraId="7B5482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tcBorders>
                    <w:tl2br w:val="nil"/>
                    <w:tr2bl w:val="nil"/>
                  </w:tcBorders>
                  <w:vAlign w:val="center"/>
                </w:tcPr>
                <w:p w14:paraId="549E46C4">
                  <w:pPr>
                    <w:pStyle w:val="38"/>
                    <w:keepNext w:val="0"/>
                    <w:keepLines w:val="0"/>
                    <w:widowControl/>
                    <w:suppressLineNumbers w:val="0"/>
                    <w:bidi w:val="0"/>
                    <w:spacing w:before="0" w:beforeAutospacing="0" w:after="0" w:afterAutospacing="0"/>
                    <w:ind w:left="0" w:right="0"/>
                    <w:rPr>
                      <w:rFonts w:hint="eastAsia"/>
                      <w:b w:val="0"/>
                      <w:bCs w:val="0"/>
                      <w:szCs w:val="22"/>
                      <w:lang w:val="en-US" w:eastAsia="zh-CN"/>
                    </w:rPr>
                  </w:pPr>
                  <w:r>
                    <w:rPr>
                      <w:rFonts w:hint="eastAsia"/>
                      <w:b w:val="0"/>
                      <w:bCs w:val="0"/>
                      <w:szCs w:val="22"/>
                      <w:lang w:val="en-US" w:eastAsia="zh-CN"/>
                    </w:rPr>
                    <w:t>1</w:t>
                  </w:r>
                </w:p>
              </w:tc>
              <w:tc>
                <w:tcPr>
                  <w:tcW w:w="2587" w:type="dxa"/>
                  <w:vMerge w:val="restart"/>
                  <w:tcBorders>
                    <w:tl2br w:val="nil"/>
                    <w:tr2bl w:val="nil"/>
                  </w:tcBorders>
                  <w:vAlign w:val="center"/>
                </w:tcPr>
                <w:p w14:paraId="2F8E4F89">
                  <w:pPr>
                    <w:pStyle w:val="38"/>
                    <w:keepNext w:val="0"/>
                    <w:keepLines w:val="0"/>
                    <w:widowControl/>
                    <w:suppressLineNumbers w:val="0"/>
                    <w:bidi w:val="0"/>
                    <w:spacing w:before="0" w:beforeAutospacing="0" w:after="0" w:afterAutospacing="0"/>
                    <w:ind w:left="0" w:right="0"/>
                    <w:jc w:val="center"/>
                    <w:rPr>
                      <w:rFonts w:hint="default"/>
                      <w:b w:val="0"/>
                      <w:bCs w:val="0"/>
                      <w:szCs w:val="22"/>
                      <w:lang w:val="en-US" w:eastAsia="zh-CN"/>
                    </w:rPr>
                  </w:pPr>
                  <w:r>
                    <w:rPr>
                      <w:rFonts w:hint="eastAsia"/>
                      <w:b w:val="0"/>
                      <w:bCs w:val="0"/>
                      <w:szCs w:val="22"/>
                      <w:lang w:val="en-US" w:eastAsia="zh-CN"/>
                    </w:rPr>
                    <w:t>DA001</w:t>
                  </w:r>
                  <w:r>
                    <w:rPr>
                      <w:rFonts w:hint="eastAsia"/>
                      <w:b w:val="0"/>
                      <w:bCs w:val="0"/>
                      <w:szCs w:val="22"/>
                    </w:rPr>
                    <w:t>有机废气排放口</w:t>
                  </w:r>
                </w:p>
              </w:tc>
              <w:tc>
                <w:tcPr>
                  <w:tcW w:w="2649" w:type="dxa"/>
                  <w:tcBorders>
                    <w:tl2br w:val="nil"/>
                    <w:tr2bl w:val="nil"/>
                  </w:tcBorders>
                  <w:vAlign w:val="center"/>
                </w:tcPr>
                <w:p w14:paraId="27F090F1">
                  <w:pPr>
                    <w:pStyle w:val="38"/>
                    <w:keepNext w:val="0"/>
                    <w:keepLines w:val="0"/>
                    <w:widowControl/>
                    <w:suppressLineNumbers w:val="0"/>
                    <w:bidi w:val="0"/>
                    <w:spacing w:before="0" w:beforeAutospacing="0" w:after="0" w:afterAutospacing="0"/>
                    <w:ind w:left="0" w:right="0"/>
                    <w:rPr>
                      <w:rFonts w:hint="default"/>
                      <w:b w:val="0"/>
                      <w:bCs w:val="0"/>
                      <w:szCs w:val="22"/>
                      <w:lang w:val="en-US"/>
                    </w:rPr>
                  </w:pPr>
                  <w:r>
                    <w:rPr>
                      <w:rFonts w:hint="eastAsia"/>
                      <w:b w:val="0"/>
                      <w:bCs w:val="0"/>
                      <w:szCs w:val="22"/>
                      <w:lang w:val="en-US" w:eastAsia="zh-CN"/>
                    </w:rPr>
                    <w:t>非甲烷总烃</w:t>
                  </w:r>
                </w:p>
              </w:tc>
              <w:tc>
                <w:tcPr>
                  <w:tcW w:w="2190" w:type="dxa"/>
                  <w:tcBorders>
                    <w:tl2br w:val="nil"/>
                    <w:tr2bl w:val="nil"/>
                  </w:tcBorders>
                  <w:vAlign w:val="center"/>
                </w:tcPr>
                <w:p w14:paraId="6823FFF3">
                  <w:pPr>
                    <w:pStyle w:val="38"/>
                    <w:keepNext w:val="0"/>
                    <w:keepLines w:val="0"/>
                    <w:widowControl/>
                    <w:suppressLineNumbers w:val="0"/>
                    <w:bidi w:val="0"/>
                    <w:spacing w:before="0" w:beforeAutospacing="0" w:after="0" w:afterAutospacing="0"/>
                    <w:ind w:left="0" w:right="0"/>
                    <w:rPr>
                      <w:rFonts w:hint="eastAsia" w:eastAsia="宋体"/>
                      <w:b w:val="0"/>
                      <w:bCs w:val="0"/>
                      <w:szCs w:val="22"/>
                      <w:lang w:val="en-US" w:eastAsia="zh-CN"/>
                    </w:rPr>
                  </w:pPr>
                  <w:r>
                    <w:rPr>
                      <w:rFonts w:hint="eastAsia"/>
                      <w:b w:val="0"/>
                      <w:bCs w:val="0"/>
                      <w:szCs w:val="22"/>
                    </w:rPr>
                    <w:t>1次/</w:t>
                  </w:r>
                  <w:r>
                    <w:rPr>
                      <w:rFonts w:hint="eastAsia"/>
                      <w:b w:val="0"/>
                      <w:bCs w:val="0"/>
                      <w:szCs w:val="22"/>
                      <w:lang w:val="en-US" w:eastAsia="zh-CN"/>
                    </w:rPr>
                    <w:t>半年</w:t>
                  </w:r>
                </w:p>
              </w:tc>
            </w:tr>
            <w:tr w14:paraId="1710E8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tcBorders>
                    <w:tl2br w:val="nil"/>
                    <w:tr2bl w:val="nil"/>
                  </w:tcBorders>
                  <w:vAlign w:val="center"/>
                </w:tcPr>
                <w:p w14:paraId="67F93381">
                  <w:pPr>
                    <w:pStyle w:val="38"/>
                    <w:keepNext w:val="0"/>
                    <w:keepLines w:val="0"/>
                    <w:widowControl/>
                    <w:suppressLineNumbers w:val="0"/>
                    <w:bidi w:val="0"/>
                    <w:spacing w:before="0" w:beforeAutospacing="0" w:after="0" w:afterAutospacing="0"/>
                    <w:ind w:left="0" w:right="0"/>
                    <w:rPr>
                      <w:rFonts w:hint="default"/>
                      <w:b w:val="0"/>
                      <w:bCs w:val="0"/>
                      <w:szCs w:val="22"/>
                      <w:lang w:val="en-US" w:eastAsia="zh-CN"/>
                    </w:rPr>
                  </w:pPr>
                  <w:r>
                    <w:rPr>
                      <w:rFonts w:hint="eastAsia"/>
                      <w:b w:val="0"/>
                      <w:bCs w:val="0"/>
                      <w:szCs w:val="22"/>
                      <w:lang w:val="en-US" w:eastAsia="zh-CN"/>
                    </w:rPr>
                    <w:t>2</w:t>
                  </w:r>
                </w:p>
              </w:tc>
              <w:tc>
                <w:tcPr>
                  <w:tcW w:w="2587" w:type="dxa"/>
                  <w:vMerge w:val="continue"/>
                  <w:tcBorders>
                    <w:tl2br w:val="nil"/>
                    <w:tr2bl w:val="nil"/>
                  </w:tcBorders>
                  <w:vAlign w:val="center"/>
                </w:tcPr>
                <w:p w14:paraId="5EC4DFBA">
                  <w:pPr>
                    <w:pStyle w:val="38"/>
                    <w:keepNext w:val="0"/>
                    <w:keepLines w:val="0"/>
                    <w:widowControl/>
                    <w:suppressLineNumbers w:val="0"/>
                    <w:bidi w:val="0"/>
                    <w:spacing w:before="0" w:beforeAutospacing="0" w:after="0" w:afterAutospacing="0"/>
                    <w:ind w:left="0" w:right="0"/>
                    <w:jc w:val="center"/>
                    <w:rPr>
                      <w:rFonts w:hint="eastAsia"/>
                      <w:b w:val="0"/>
                      <w:bCs w:val="0"/>
                      <w:szCs w:val="22"/>
                      <w:lang w:val="en-US" w:eastAsia="zh-CN"/>
                    </w:rPr>
                  </w:pPr>
                </w:p>
              </w:tc>
              <w:tc>
                <w:tcPr>
                  <w:tcW w:w="2649" w:type="dxa"/>
                  <w:tcBorders>
                    <w:tl2br w:val="nil"/>
                    <w:tr2bl w:val="nil"/>
                  </w:tcBorders>
                  <w:vAlign w:val="center"/>
                </w:tcPr>
                <w:p w14:paraId="50B45429">
                  <w:pPr>
                    <w:pStyle w:val="38"/>
                    <w:keepNext w:val="0"/>
                    <w:keepLines w:val="0"/>
                    <w:widowControl/>
                    <w:suppressLineNumbers w:val="0"/>
                    <w:bidi w:val="0"/>
                    <w:spacing w:before="0" w:beforeAutospacing="0" w:after="0" w:afterAutospacing="0"/>
                    <w:ind w:left="0" w:right="0"/>
                    <w:rPr>
                      <w:rFonts w:hint="default"/>
                      <w:b w:val="0"/>
                      <w:bCs w:val="0"/>
                      <w:szCs w:val="22"/>
                      <w:lang w:val="en-US" w:eastAsia="zh-CN"/>
                    </w:rPr>
                  </w:pPr>
                  <w:r>
                    <w:rPr>
                      <w:rFonts w:hint="eastAsia"/>
                      <w:b w:val="0"/>
                      <w:bCs w:val="0"/>
                      <w:szCs w:val="22"/>
                      <w:lang w:val="en-US" w:eastAsia="zh-CN"/>
                    </w:rPr>
                    <w:t>颗粒物、氯化烯</w:t>
                  </w:r>
                </w:p>
              </w:tc>
              <w:tc>
                <w:tcPr>
                  <w:tcW w:w="2190" w:type="dxa"/>
                  <w:tcBorders>
                    <w:tl2br w:val="nil"/>
                    <w:tr2bl w:val="nil"/>
                  </w:tcBorders>
                  <w:vAlign w:val="center"/>
                </w:tcPr>
                <w:p w14:paraId="059B892B">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1次/</w:t>
                  </w:r>
                  <w:r>
                    <w:rPr>
                      <w:rFonts w:hint="eastAsia"/>
                      <w:b w:val="0"/>
                      <w:bCs w:val="0"/>
                      <w:szCs w:val="22"/>
                      <w:lang w:val="en-US" w:eastAsia="zh-CN"/>
                    </w:rPr>
                    <w:t>年</w:t>
                  </w:r>
                </w:p>
              </w:tc>
            </w:tr>
            <w:tr w14:paraId="19AB79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tcBorders>
                    <w:tl2br w:val="nil"/>
                    <w:tr2bl w:val="nil"/>
                  </w:tcBorders>
                  <w:vAlign w:val="center"/>
                </w:tcPr>
                <w:p w14:paraId="562AB85B">
                  <w:pPr>
                    <w:pStyle w:val="38"/>
                    <w:keepNext w:val="0"/>
                    <w:keepLines w:val="0"/>
                    <w:widowControl/>
                    <w:suppressLineNumbers w:val="0"/>
                    <w:bidi w:val="0"/>
                    <w:spacing w:before="0" w:beforeAutospacing="0" w:after="0" w:afterAutospacing="0"/>
                    <w:ind w:left="0" w:right="0"/>
                    <w:rPr>
                      <w:rFonts w:hint="default"/>
                      <w:b w:val="0"/>
                      <w:bCs w:val="0"/>
                      <w:szCs w:val="22"/>
                      <w:lang w:val="en-US" w:eastAsia="zh-CN"/>
                    </w:rPr>
                  </w:pPr>
                  <w:r>
                    <w:rPr>
                      <w:rFonts w:hint="eastAsia"/>
                      <w:b w:val="0"/>
                      <w:bCs w:val="0"/>
                      <w:szCs w:val="22"/>
                      <w:lang w:val="en-US" w:eastAsia="zh-CN"/>
                    </w:rPr>
                    <w:t>3</w:t>
                  </w:r>
                </w:p>
              </w:tc>
              <w:tc>
                <w:tcPr>
                  <w:tcW w:w="2587" w:type="dxa"/>
                  <w:vMerge w:val="restart"/>
                  <w:tcBorders>
                    <w:tl2br w:val="nil"/>
                    <w:tr2bl w:val="nil"/>
                  </w:tcBorders>
                  <w:vAlign w:val="center"/>
                </w:tcPr>
                <w:p w14:paraId="0540A25F">
                  <w:pPr>
                    <w:pStyle w:val="38"/>
                    <w:keepNext w:val="0"/>
                    <w:keepLines w:val="0"/>
                    <w:widowControl/>
                    <w:suppressLineNumbers w:val="0"/>
                    <w:bidi w:val="0"/>
                    <w:spacing w:before="0" w:beforeAutospacing="0" w:after="0" w:afterAutospacing="0"/>
                    <w:ind w:left="0" w:right="0"/>
                    <w:jc w:val="center"/>
                    <w:rPr>
                      <w:rFonts w:hint="default"/>
                      <w:b w:val="0"/>
                      <w:bCs w:val="0"/>
                      <w:szCs w:val="22"/>
                      <w:lang w:val="en-US" w:eastAsia="zh-CN"/>
                    </w:rPr>
                  </w:pPr>
                  <w:r>
                    <w:rPr>
                      <w:rFonts w:hint="eastAsia"/>
                      <w:b w:val="0"/>
                      <w:bCs w:val="0"/>
                      <w:szCs w:val="22"/>
                      <w:lang w:val="en-US" w:eastAsia="zh-CN"/>
                    </w:rPr>
                    <w:t>DA002</w:t>
                  </w:r>
                  <w:r>
                    <w:rPr>
                      <w:rFonts w:hint="eastAsia"/>
                      <w:b w:val="0"/>
                      <w:bCs w:val="0"/>
                      <w:szCs w:val="22"/>
                    </w:rPr>
                    <w:t>有机废气排放口</w:t>
                  </w:r>
                </w:p>
              </w:tc>
              <w:tc>
                <w:tcPr>
                  <w:tcW w:w="2649" w:type="dxa"/>
                  <w:tcBorders>
                    <w:tl2br w:val="nil"/>
                    <w:tr2bl w:val="nil"/>
                  </w:tcBorders>
                  <w:vAlign w:val="center"/>
                </w:tcPr>
                <w:p w14:paraId="1D5D4999">
                  <w:pPr>
                    <w:pStyle w:val="38"/>
                    <w:keepNext w:val="0"/>
                    <w:keepLines w:val="0"/>
                    <w:widowControl/>
                    <w:suppressLineNumbers w:val="0"/>
                    <w:bidi w:val="0"/>
                    <w:spacing w:before="0" w:beforeAutospacing="0" w:after="0" w:afterAutospacing="0"/>
                    <w:ind w:left="0" w:right="0"/>
                    <w:rPr>
                      <w:rFonts w:hint="eastAsia"/>
                      <w:b w:val="0"/>
                      <w:bCs w:val="0"/>
                      <w:szCs w:val="22"/>
                      <w:lang w:val="en-US" w:eastAsia="zh-CN"/>
                    </w:rPr>
                  </w:pPr>
                  <w:r>
                    <w:rPr>
                      <w:rFonts w:hint="eastAsia"/>
                      <w:b w:val="0"/>
                      <w:bCs w:val="0"/>
                      <w:szCs w:val="22"/>
                      <w:lang w:val="en-US" w:eastAsia="zh-CN"/>
                    </w:rPr>
                    <w:t>非甲烷总烃</w:t>
                  </w:r>
                </w:p>
              </w:tc>
              <w:tc>
                <w:tcPr>
                  <w:tcW w:w="2190" w:type="dxa"/>
                  <w:tcBorders>
                    <w:tl2br w:val="nil"/>
                    <w:tr2bl w:val="nil"/>
                  </w:tcBorders>
                  <w:vAlign w:val="center"/>
                </w:tcPr>
                <w:p w14:paraId="150B3CF0">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eastAsia"/>
                      <w:b w:val="0"/>
                      <w:bCs w:val="0"/>
                      <w:szCs w:val="22"/>
                    </w:rPr>
                    <w:t>1次/</w:t>
                  </w:r>
                  <w:r>
                    <w:rPr>
                      <w:rFonts w:hint="eastAsia"/>
                      <w:b w:val="0"/>
                      <w:bCs w:val="0"/>
                      <w:szCs w:val="22"/>
                      <w:lang w:val="en-US" w:eastAsia="zh-CN"/>
                    </w:rPr>
                    <w:t>半年</w:t>
                  </w:r>
                </w:p>
              </w:tc>
            </w:tr>
            <w:tr w14:paraId="5C3983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tcBorders>
                    <w:tl2br w:val="nil"/>
                    <w:tr2bl w:val="nil"/>
                  </w:tcBorders>
                  <w:vAlign w:val="center"/>
                </w:tcPr>
                <w:p w14:paraId="2A5FEF17">
                  <w:pPr>
                    <w:pStyle w:val="38"/>
                    <w:keepNext w:val="0"/>
                    <w:keepLines w:val="0"/>
                    <w:widowControl/>
                    <w:suppressLineNumbers w:val="0"/>
                    <w:bidi w:val="0"/>
                    <w:spacing w:before="0" w:beforeAutospacing="0" w:after="0" w:afterAutospacing="0"/>
                    <w:ind w:left="0" w:right="0"/>
                    <w:rPr>
                      <w:rFonts w:hint="default"/>
                      <w:b w:val="0"/>
                      <w:bCs w:val="0"/>
                      <w:szCs w:val="22"/>
                      <w:lang w:val="en-US" w:eastAsia="zh-CN"/>
                    </w:rPr>
                  </w:pPr>
                  <w:r>
                    <w:rPr>
                      <w:rFonts w:hint="eastAsia"/>
                      <w:b w:val="0"/>
                      <w:bCs w:val="0"/>
                      <w:szCs w:val="22"/>
                      <w:lang w:val="en-US" w:eastAsia="zh-CN"/>
                    </w:rPr>
                    <w:t>4</w:t>
                  </w:r>
                </w:p>
              </w:tc>
              <w:tc>
                <w:tcPr>
                  <w:tcW w:w="2587" w:type="dxa"/>
                  <w:vMerge w:val="continue"/>
                  <w:tcBorders>
                    <w:tl2br w:val="nil"/>
                    <w:tr2bl w:val="nil"/>
                  </w:tcBorders>
                  <w:vAlign w:val="top"/>
                </w:tcPr>
                <w:p w14:paraId="53E9C8C1">
                  <w:pPr>
                    <w:pStyle w:val="38"/>
                    <w:keepNext w:val="0"/>
                    <w:keepLines w:val="0"/>
                    <w:widowControl/>
                    <w:suppressLineNumbers w:val="0"/>
                    <w:bidi w:val="0"/>
                    <w:spacing w:before="0" w:beforeAutospacing="0" w:after="0" w:afterAutospacing="0"/>
                    <w:ind w:left="0" w:right="0"/>
                    <w:rPr>
                      <w:rFonts w:hint="eastAsia"/>
                      <w:b w:val="0"/>
                      <w:bCs w:val="0"/>
                      <w:szCs w:val="22"/>
                      <w:lang w:val="en-US" w:eastAsia="zh-CN"/>
                    </w:rPr>
                  </w:pPr>
                </w:p>
              </w:tc>
              <w:tc>
                <w:tcPr>
                  <w:tcW w:w="2649" w:type="dxa"/>
                  <w:tcBorders>
                    <w:tl2br w:val="nil"/>
                    <w:tr2bl w:val="nil"/>
                  </w:tcBorders>
                  <w:vAlign w:val="center"/>
                </w:tcPr>
                <w:p w14:paraId="1D27C0BB">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颗粒物、氯化烯</w:t>
                  </w:r>
                </w:p>
              </w:tc>
              <w:tc>
                <w:tcPr>
                  <w:tcW w:w="2190" w:type="dxa"/>
                  <w:tcBorders>
                    <w:tl2br w:val="nil"/>
                    <w:tr2bl w:val="nil"/>
                  </w:tcBorders>
                  <w:vAlign w:val="center"/>
                </w:tcPr>
                <w:p w14:paraId="6BBC91FA">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rPr>
                    <w:t>1次/</w:t>
                  </w:r>
                  <w:r>
                    <w:rPr>
                      <w:rFonts w:hint="eastAsia"/>
                      <w:szCs w:val="22"/>
                      <w:lang w:val="en-US" w:eastAsia="zh-CN"/>
                    </w:rPr>
                    <w:t>年</w:t>
                  </w:r>
                </w:p>
              </w:tc>
            </w:tr>
            <w:tr w14:paraId="1A4332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tcBorders>
                    <w:tl2br w:val="nil"/>
                    <w:tr2bl w:val="nil"/>
                  </w:tcBorders>
                  <w:vAlign w:val="center"/>
                </w:tcPr>
                <w:p w14:paraId="01708EDB">
                  <w:pPr>
                    <w:pStyle w:val="38"/>
                    <w:keepNext w:val="0"/>
                    <w:keepLines w:val="0"/>
                    <w:widowControl/>
                    <w:suppressLineNumbers w:val="0"/>
                    <w:bidi w:val="0"/>
                    <w:spacing w:before="0" w:beforeAutospacing="0" w:after="0" w:afterAutospacing="0"/>
                    <w:ind w:left="0" w:right="0"/>
                    <w:rPr>
                      <w:rFonts w:hint="default"/>
                      <w:b w:val="0"/>
                      <w:bCs w:val="0"/>
                      <w:szCs w:val="22"/>
                      <w:lang w:val="en-US" w:eastAsia="zh-CN"/>
                    </w:rPr>
                  </w:pPr>
                  <w:r>
                    <w:rPr>
                      <w:rFonts w:hint="eastAsia"/>
                      <w:b w:val="0"/>
                      <w:bCs w:val="0"/>
                      <w:szCs w:val="22"/>
                      <w:lang w:val="en-US" w:eastAsia="zh-CN"/>
                    </w:rPr>
                    <w:t>5</w:t>
                  </w:r>
                </w:p>
              </w:tc>
              <w:tc>
                <w:tcPr>
                  <w:tcW w:w="2587" w:type="dxa"/>
                  <w:tcBorders>
                    <w:tl2br w:val="nil"/>
                    <w:tr2bl w:val="nil"/>
                  </w:tcBorders>
                  <w:vAlign w:val="top"/>
                </w:tcPr>
                <w:p w14:paraId="6A696362">
                  <w:pPr>
                    <w:pStyle w:val="38"/>
                    <w:keepNext w:val="0"/>
                    <w:keepLines w:val="0"/>
                    <w:widowControl/>
                    <w:suppressLineNumbers w:val="0"/>
                    <w:bidi w:val="0"/>
                    <w:spacing w:before="0" w:beforeAutospacing="0" w:after="0" w:afterAutospacing="0"/>
                    <w:ind w:left="0" w:right="0"/>
                    <w:rPr>
                      <w:rFonts w:hint="default"/>
                      <w:b w:val="0"/>
                      <w:bCs w:val="0"/>
                      <w:szCs w:val="22"/>
                      <w:lang w:val="en-US" w:eastAsia="zh-CN"/>
                    </w:rPr>
                  </w:pPr>
                  <w:r>
                    <w:rPr>
                      <w:rFonts w:hint="default"/>
                      <w:b w:val="0"/>
                      <w:bCs w:val="0"/>
                      <w:szCs w:val="22"/>
                    </w:rPr>
                    <w:t>厂界</w:t>
                  </w:r>
                </w:p>
              </w:tc>
              <w:tc>
                <w:tcPr>
                  <w:tcW w:w="2649" w:type="dxa"/>
                  <w:tcBorders>
                    <w:tl2br w:val="nil"/>
                    <w:tr2bl w:val="nil"/>
                  </w:tcBorders>
                  <w:vAlign w:val="top"/>
                </w:tcPr>
                <w:p w14:paraId="488F017C">
                  <w:pPr>
                    <w:pStyle w:val="38"/>
                    <w:keepNext w:val="0"/>
                    <w:keepLines w:val="0"/>
                    <w:widowControl/>
                    <w:suppressLineNumbers w:val="0"/>
                    <w:bidi w:val="0"/>
                    <w:spacing w:before="0" w:beforeAutospacing="0" w:after="0" w:afterAutospacing="0"/>
                    <w:ind w:left="0" w:right="0"/>
                    <w:rPr>
                      <w:rFonts w:hint="default" w:eastAsia="宋体"/>
                      <w:b w:val="0"/>
                      <w:bCs w:val="0"/>
                      <w:szCs w:val="22"/>
                      <w:lang w:val="en-US" w:eastAsia="zh-CN"/>
                    </w:rPr>
                  </w:pPr>
                  <w:r>
                    <w:rPr>
                      <w:rFonts w:hint="eastAsia"/>
                      <w:b w:val="0"/>
                      <w:bCs w:val="0"/>
                      <w:szCs w:val="22"/>
                    </w:rPr>
                    <w:t>非甲烷总烃</w:t>
                  </w:r>
                </w:p>
              </w:tc>
              <w:tc>
                <w:tcPr>
                  <w:tcW w:w="2190" w:type="dxa"/>
                  <w:tcBorders>
                    <w:tl2br w:val="nil"/>
                    <w:tr2bl w:val="nil"/>
                  </w:tcBorders>
                  <w:vAlign w:val="top"/>
                </w:tcPr>
                <w:p w14:paraId="12EE88DD">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default"/>
                      <w:b w:val="0"/>
                      <w:bCs w:val="0"/>
                      <w:szCs w:val="22"/>
                    </w:rPr>
                    <w:t>1次/</w:t>
                  </w:r>
                  <w:r>
                    <w:rPr>
                      <w:rFonts w:hint="eastAsia"/>
                      <w:b w:val="0"/>
                      <w:bCs w:val="0"/>
                      <w:szCs w:val="22"/>
                    </w:rPr>
                    <w:t>年</w:t>
                  </w:r>
                </w:p>
              </w:tc>
            </w:tr>
            <w:tr w14:paraId="5C5A52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tcBorders>
                    <w:tl2br w:val="nil"/>
                    <w:tr2bl w:val="nil"/>
                  </w:tcBorders>
                  <w:vAlign w:val="center"/>
                </w:tcPr>
                <w:p w14:paraId="2FF136D3">
                  <w:pPr>
                    <w:pStyle w:val="38"/>
                    <w:keepNext w:val="0"/>
                    <w:keepLines w:val="0"/>
                    <w:widowControl/>
                    <w:suppressLineNumbers w:val="0"/>
                    <w:bidi w:val="0"/>
                    <w:spacing w:before="0" w:beforeAutospacing="0" w:after="0" w:afterAutospacing="0"/>
                    <w:ind w:left="0" w:right="0"/>
                    <w:rPr>
                      <w:rFonts w:hint="default"/>
                      <w:b w:val="0"/>
                      <w:bCs w:val="0"/>
                      <w:szCs w:val="22"/>
                      <w:lang w:val="en-US" w:eastAsia="zh-CN"/>
                    </w:rPr>
                  </w:pPr>
                  <w:r>
                    <w:rPr>
                      <w:rFonts w:hint="eastAsia"/>
                      <w:b w:val="0"/>
                      <w:bCs w:val="0"/>
                      <w:szCs w:val="22"/>
                      <w:lang w:val="en-US" w:eastAsia="zh-CN"/>
                    </w:rPr>
                    <w:t>6</w:t>
                  </w:r>
                </w:p>
              </w:tc>
              <w:tc>
                <w:tcPr>
                  <w:tcW w:w="2587" w:type="dxa"/>
                  <w:tcBorders>
                    <w:tl2br w:val="nil"/>
                    <w:tr2bl w:val="nil"/>
                  </w:tcBorders>
                  <w:vAlign w:val="top"/>
                </w:tcPr>
                <w:p w14:paraId="5DFA0B4C">
                  <w:pPr>
                    <w:pStyle w:val="38"/>
                    <w:keepNext w:val="0"/>
                    <w:keepLines w:val="0"/>
                    <w:widowControl/>
                    <w:suppressLineNumbers w:val="0"/>
                    <w:bidi w:val="0"/>
                    <w:spacing w:before="0" w:beforeAutospacing="0" w:after="0" w:afterAutospacing="0"/>
                    <w:ind w:left="0" w:right="0"/>
                    <w:rPr>
                      <w:rFonts w:hint="eastAsia" w:eastAsia="宋体"/>
                      <w:b w:val="0"/>
                      <w:bCs w:val="0"/>
                      <w:szCs w:val="22"/>
                      <w:lang w:val="en-US" w:eastAsia="zh-CN"/>
                    </w:rPr>
                  </w:pPr>
                  <w:r>
                    <w:rPr>
                      <w:rFonts w:hint="eastAsia"/>
                      <w:b w:val="0"/>
                      <w:bCs w:val="0"/>
                      <w:szCs w:val="22"/>
                    </w:rPr>
                    <w:t>厂区内监控点</w:t>
                  </w:r>
                  <w:r>
                    <w:rPr>
                      <w:rFonts w:hint="eastAsia"/>
                      <w:b w:val="0"/>
                      <w:bCs w:val="0"/>
                      <w:szCs w:val="22"/>
                      <w:lang w:eastAsia="zh-CN"/>
                    </w:rPr>
                    <w:t>（</w:t>
                  </w:r>
                  <w:r>
                    <w:rPr>
                      <w:rFonts w:hint="eastAsia"/>
                      <w:b w:val="0"/>
                      <w:bCs w:val="0"/>
                      <w:szCs w:val="22"/>
                      <w:lang w:val="en-US" w:eastAsia="zh-CN"/>
                    </w:rPr>
                    <w:t>1h平均浓度和任意一次浓度</w:t>
                  </w:r>
                  <w:r>
                    <w:rPr>
                      <w:rFonts w:hint="eastAsia"/>
                      <w:b w:val="0"/>
                      <w:bCs w:val="0"/>
                      <w:szCs w:val="22"/>
                      <w:lang w:eastAsia="zh-CN"/>
                    </w:rPr>
                    <w:t>）</w:t>
                  </w:r>
                </w:p>
              </w:tc>
              <w:tc>
                <w:tcPr>
                  <w:tcW w:w="2649" w:type="dxa"/>
                  <w:tcBorders>
                    <w:tl2br w:val="nil"/>
                    <w:tr2bl w:val="nil"/>
                  </w:tcBorders>
                  <w:vAlign w:val="top"/>
                </w:tcPr>
                <w:p w14:paraId="56DD0898">
                  <w:pPr>
                    <w:pStyle w:val="38"/>
                    <w:keepNext w:val="0"/>
                    <w:keepLines w:val="0"/>
                    <w:widowControl/>
                    <w:suppressLineNumbers w:val="0"/>
                    <w:bidi w:val="0"/>
                    <w:spacing w:before="0" w:beforeAutospacing="0" w:after="0" w:afterAutospacing="0"/>
                    <w:ind w:left="0" w:right="0"/>
                    <w:rPr>
                      <w:rFonts w:hint="default"/>
                      <w:b w:val="0"/>
                      <w:bCs w:val="0"/>
                      <w:szCs w:val="22"/>
                      <w:lang w:val="en-US" w:eastAsia="zh-CN"/>
                    </w:rPr>
                  </w:pPr>
                  <w:r>
                    <w:rPr>
                      <w:rFonts w:hint="eastAsia"/>
                      <w:b w:val="0"/>
                      <w:bCs w:val="0"/>
                      <w:szCs w:val="22"/>
                    </w:rPr>
                    <w:t>非甲烷总烃</w:t>
                  </w:r>
                </w:p>
              </w:tc>
              <w:tc>
                <w:tcPr>
                  <w:tcW w:w="2190" w:type="dxa"/>
                  <w:tcBorders>
                    <w:tl2br w:val="nil"/>
                    <w:tr2bl w:val="nil"/>
                  </w:tcBorders>
                  <w:vAlign w:val="top"/>
                </w:tcPr>
                <w:p w14:paraId="2BB5E19F">
                  <w:pPr>
                    <w:pStyle w:val="38"/>
                    <w:keepNext w:val="0"/>
                    <w:keepLines w:val="0"/>
                    <w:widowControl/>
                    <w:suppressLineNumbers w:val="0"/>
                    <w:bidi w:val="0"/>
                    <w:spacing w:before="0" w:beforeAutospacing="0" w:after="0" w:afterAutospacing="0"/>
                    <w:ind w:left="0" w:right="0"/>
                    <w:rPr>
                      <w:rFonts w:hint="eastAsia"/>
                      <w:b w:val="0"/>
                      <w:bCs w:val="0"/>
                      <w:szCs w:val="22"/>
                    </w:rPr>
                  </w:pPr>
                  <w:r>
                    <w:rPr>
                      <w:rFonts w:hint="default"/>
                      <w:b w:val="0"/>
                      <w:bCs w:val="0"/>
                      <w:szCs w:val="22"/>
                    </w:rPr>
                    <w:t>1次/</w:t>
                  </w:r>
                  <w:r>
                    <w:rPr>
                      <w:rFonts w:hint="eastAsia"/>
                      <w:b w:val="0"/>
                      <w:bCs w:val="0"/>
                      <w:szCs w:val="22"/>
                    </w:rPr>
                    <w:t>年</w:t>
                  </w:r>
                </w:p>
              </w:tc>
            </w:tr>
            <w:tr w14:paraId="6B6713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dxa"/>
                  <w:tcBorders>
                    <w:tl2br w:val="nil"/>
                    <w:tr2bl w:val="nil"/>
                  </w:tcBorders>
                  <w:vAlign w:val="center"/>
                </w:tcPr>
                <w:p w14:paraId="06EEB324">
                  <w:pPr>
                    <w:pStyle w:val="38"/>
                    <w:keepNext w:val="0"/>
                    <w:keepLines w:val="0"/>
                    <w:widowControl/>
                    <w:suppressLineNumbers w:val="0"/>
                    <w:bidi w:val="0"/>
                    <w:spacing w:before="0" w:beforeAutospacing="0" w:after="0" w:afterAutospacing="0"/>
                    <w:ind w:left="0" w:right="0"/>
                    <w:rPr>
                      <w:rFonts w:hint="default"/>
                      <w:b w:val="0"/>
                      <w:bCs w:val="0"/>
                      <w:szCs w:val="22"/>
                      <w:lang w:val="en-US" w:eastAsia="zh-CN"/>
                    </w:rPr>
                  </w:pPr>
                  <w:r>
                    <w:rPr>
                      <w:rFonts w:hint="eastAsia"/>
                      <w:b w:val="0"/>
                      <w:bCs w:val="0"/>
                      <w:szCs w:val="22"/>
                      <w:lang w:val="en-US" w:eastAsia="zh-CN"/>
                    </w:rPr>
                    <w:t>7</w:t>
                  </w:r>
                </w:p>
              </w:tc>
              <w:tc>
                <w:tcPr>
                  <w:tcW w:w="2587" w:type="dxa"/>
                  <w:tcBorders>
                    <w:tl2br w:val="nil"/>
                    <w:tr2bl w:val="nil"/>
                  </w:tcBorders>
                  <w:vAlign w:val="center"/>
                </w:tcPr>
                <w:p w14:paraId="3ECB49C6">
                  <w:pPr>
                    <w:pStyle w:val="38"/>
                    <w:keepNext w:val="0"/>
                    <w:keepLines w:val="0"/>
                    <w:widowControl/>
                    <w:suppressLineNumbers w:val="0"/>
                    <w:bidi w:val="0"/>
                    <w:spacing w:before="0" w:beforeAutospacing="0" w:after="0" w:afterAutospacing="0"/>
                    <w:ind w:left="0" w:right="0"/>
                    <w:rPr>
                      <w:rFonts w:hint="eastAsia"/>
                      <w:b w:val="0"/>
                      <w:bCs w:val="0"/>
                      <w:szCs w:val="22"/>
                      <w:lang w:val="en-US" w:eastAsia="zh-CN"/>
                    </w:rPr>
                  </w:pPr>
                  <w:r>
                    <w:rPr>
                      <w:rFonts w:hint="eastAsia"/>
                      <w:b w:val="0"/>
                      <w:bCs w:val="0"/>
                      <w:szCs w:val="22"/>
                      <w:lang w:val="en-US" w:eastAsia="zh-CN"/>
                    </w:rPr>
                    <w:t>厂界四周外1m</w:t>
                  </w:r>
                </w:p>
              </w:tc>
              <w:tc>
                <w:tcPr>
                  <w:tcW w:w="2649" w:type="dxa"/>
                  <w:tcBorders>
                    <w:tl2br w:val="nil"/>
                    <w:tr2bl w:val="nil"/>
                  </w:tcBorders>
                  <w:vAlign w:val="center"/>
                </w:tcPr>
                <w:p w14:paraId="012C5805">
                  <w:pPr>
                    <w:pStyle w:val="38"/>
                    <w:keepNext w:val="0"/>
                    <w:keepLines w:val="0"/>
                    <w:widowControl/>
                    <w:suppressLineNumbers w:val="0"/>
                    <w:bidi w:val="0"/>
                    <w:spacing w:before="0" w:beforeAutospacing="0" w:after="0" w:afterAutospacing="0"/>
                    <w:ind w:left="0" w:right="0"/>
                    <w:rPr>
                      <w:rFonts w:hint="eastAsia"/>
                      <w:b w:val="0"/>
                      <w:bCs w:val="0"/>
                      <w:szCs w:val="22"/>
                      <w:lang w:val="en-US" w:eastAsia="zh-CN"/>
                    </w:rPr>
                  </w:pPr>
                  <w:r>
                    <w:rPr>
                      <w:rFonts w:hint="eastAsia"/>
                      <w:b w:val="0"/>
                      <w:bCs w:val="0"/>
                      <w:szCs w:val="22"/>
                      <w:lang w:eastAsia="zh-CN"/>
                    </w:rPr>
                    <w:t>等效</w:t>
                  </w:r>
                  <w:r>
                    <w:rPr>
                      <w:rFonts w:hint="eastAsia"/>
                      <w:b w:val="0"/>
                      <w:bCs w:val="0"/>
                      <w:szCs w:val="22"/>
                      <w:lang w:val="en-US" w:eastAsia="zh-CN"/>
                    </w:rPr>
                    <w:t>A声级</w:t>
                  </w:r>
                </w:p>
              </w:tc>
              <w:tc>
                <w:tcPr>
                  <w:tcW w:w="2190" w:type="dxa"/>
                  <w:tcBorders>
                    <w:tl2br w:val="nil"/>
                    <w:tr2bl w:val="nil"/>
                  </w:tcBorders>
                  <w:vAlign w:val="center"/>
                </w:tcPr>
                <w:p w14:paraId="16280BAF">
                  <w:pPr>
                    <w:pStyle w:val="38"/>
                    <w:keepNext w:val="0"/>
                    <w:keepLines w:val="0"/>
                    <w:widowControl/>
                    <w:suppressLineNumbers w:val="0"/>
                    <w:bidi w:val="0"/>
                    <w:spacing w:before="0" w:beforeAutospacing="0" w:after="0" w:afterAutospacing="0"/>
                    <w:ind w:left="0" w:right="0"/>
                    <w:rPr>
                      <w:rFonts w:hint="default"/>
                      <w:b w:val="0"/>
                      <w:bCs w:val="0"/>
                      <w:szCs w:val="22"/>
                      <w:lang w:val="en-US" w:eastAsia="zh-CN"/>
                    </w:rPr>
                  </w:pPr>
                  <w:r>
                    <w:rPr>
                      <w:rFonts w:hint="default"/>
                      <w:b w:val="0"/>
                      <w:bCs w:val="0"/>
                      <w:szCs w:val="22"/>
                      <w:lang w:val="en-US" w:eastAsia="zh-CN"/>
                    </w:rPr>
                    <w:t>1</w:t>
                  </w:r>
                  <w:r>
                    <w:rPr>
                      <w:rFonts w:hint="eastAsia"/>
                      <w:b w:val="0"/>
                      <w:bCs w:val="0"/>
                      <w:szCs w:val="22"/>
                      <w:lang w:val="en-US" w:eastAsia="zh-CN"/>
                    </w:rPr>
                    <w:t>天</w:t>
                  </w:r>
                  <w:r>
                    <w:rPr>
                      <w:rFonts w:hint="default"/>
                      <w:b w:val="0"/>
                      <w:bCs w:val="0"/>
                      <w:szCs w:val="22"/>
                      <w:lang w:val="en-US" w:eastAsia="zh-CN"/>
                    </w:rPr>
                    <w:t>/季度</w:t>
                  </w:r>
                </w:p>
              </w:tc>
            </w:tr>
          </w:tbl>
          <w:p w14:paraId="7D351084">
            <w:pPr>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ascii="Times New Roman" w:hAnsi="Times New Roman" w:cs="Times New Roman"/>
                <w:b w:val="0"/>
                <w:bCs w:val="0"/>
                <w:iCs w:val="0"/>
                <w:color w:val="000000"/>
                <w:sz w:val="22"/>
                <w:szCs w:val="22"/>
                <w:highlight w:val="none"/>
                <w:lang w:val="en-US" w:eastAsia="zh-CN"/>
              </w:rPr>
              <w:t>注：</w:t>
            </w:r>
            <w:r>
              <w:rPr>
                <w:rFonts w:hint="eastAsia" w:ascii="Times New Roman" w:hAnsi="Times New Roman" w:eastAsia="宋体" w:cs="Times New Roman"/>
                <w:b w:val="0"/>
                <w:bCs w:val="0"/>
                <w:iCs w:val="0"/>
                <w:color w:val="000000"/>
                <w:sz w:val="21"/>
                <w:szCs w:val="21"/>
                <w:lang w:val="en-US" w:eastAsia="zh-CN"/>
              </w:rPr>
              <w:t>项目</w:t>
            </w:r>
            <w:r>
              <w:rPr>
                <w:rFonts w:hint="eastAsia"/>
                <w:b w:val="0"/>
                <w:bCs w:val="0"/>
                <w:iCs w:val="0"/>
                <w:color w:val="000000"/>
                <w:sz w:val="21"/>
                <w:szCs w:val="21"/>
              </w:rPr>
              <w:t>生活污水</w:t>
            </w:r>
            <w:r>
              <w:rPr>
                <w:rFonts w:hint="eastAsia"/>
                <w:b w:val="0"/>
                <w:bCs w:val="0"/>
                <w:iCs w:val="0"/>
                <w:color w:val="000000"/>
                <w:sz w:val="21"/>
                <w:szCs w:val="21"/>
                <w:lang w:val="en-US" w:eastAsia="zh-CN"/>
              </w:rPr>
              <w:t>依托厂区化粪池</w:t>
            </w:r>
            <w:r>
              <w:rPr>
                <w:rFonts w:hint="default"/>
                <w:b w:val="0"/>
                <w:bCs w:val="0"/>
                <w:iCs w:val="0"/>
                <w:color w:val="000000"/>
                <w:sz w:val="21"/>
                <w:szCs w:val="21"/>
              </w:rPr>
              <w:t>预处理后排入</w:t>
            </w:r>
            <w:r>
              <w:rPr>
                <w:rFonts w:hint="eastAsia"/>
                <w:b w:val="0"/>
                <w:bCs w:val="0"/>
                <w:iCs w:val="0"/>
                <w:color w:val="000000"/>
                <w:sz w:val="21"/>
                <w:szCs w:val="21"/>
                <w:lang w:eastAsia="zh-CN"/>
              </w:rPr>
              <w:t>市政污水管网</w:t>
            </w:r>
            <w:r>
              <w:rPr>
                <w:rFonts w:hint="default"/>
                <w:b w:val="0"/>
                <w:bCs w:val="0"/>
                <w:iCs w:val="0"/>
                <w:color w:val="000000"/>
                <w:sz w:val="21"/>
                <w:szCs w:val="21"/>
              </w:rPr>
              <w:t>，送往福清市融元污水处理厂集中处理属于间接排放</w:t>
            </w:r>
            <w:r>
              <w:rPr>
                <w:rFonts w:hint="eastAsia"/>
                <w:b w:val="0"/>
                <w:bCs w:val="0"/>
                <w:iCs w:val="0"/>
                <w:color w:val="000000"/>
                <w:sz w:val="21"/>
                <w:szCs w:val="21"/>
                <w:lang w:eastAsia="zh-CN"/>
              </w:rPr>
              <w:t>，在</w:t>
            </w:r>
            <w:r>
              <w:rPr>
                <w:rFonts w:hint="default"/>
                <w:b w:val="0"/>
                <w:bCs w:val="0"/>
                <w:iCs w:val="0"/>
                <w:color w:val="000000"/>
                <w:sz w:val="21"/>
                <w:szCs w:val="21"/>
              </w:rPr>
              <w:t>本</w:t>
            </w:r>
            <w:r>
              <w:rPr>
                <w:rFonts w:hint="eastAsia"/>
                <w:b w:val="0"/>
                <w:bCs w:val="0"/>
                <w:iCs w:val="0"/>
                <w:color w:val="000000"/>
                <w:sz w:val="21"/>
                <w:szCs w:val="21"/>
              </w:rPr>
              <w:t>项目</w:t>
            </w:r>
            <w:r>
              <w:rPr>
                <w:rFonts w:hint="eastAsia"/>
                <w:b w:val="0"/>
                <w:bCs w:val="0"/>
                <w:iCs w:val="0"/>
                <w:color w:val="000000"/>
                <w:sz w:val="21"/>
                <w:szCs w:val="21"/>
                <w:lang w:bidi="he-IL"/>
              </w:rPr>
              <w:t>生活污水单独排放口间接排放的情况下，</w:t>
            </w:r>
            <w:r>
              <w:rPr>
                <w:rFonts w:hint="eastAsia"/>
                <w:b w:val="0"/>
                <w:bCs w:val="0"/>
                <w:iCs w:val="0"/>
                <w:color w:val="000000"/>
                <w:sz w:val="21"/>
                <w:szCs w:val="21"/>
                <w:lang w:eastAsia="zh-CN" w:bidi="he-IL"/>
              </w:rPr>
              <w:t>无须设置</w:t>
            </w:r>
            <w:r>
              <w:rPr>
                <w:rFonts w:hint="eastAsia"/>
                <w:b w:val="0"/>
                <w:bCs w:val="0"/>
                <w:iCs w:val="0"/>
                <w:color w:val="000000"/>
                <w:sz w:val="21"/>
                <w:szCs w:val="21"/>
              </w:rPr>
              <w:t>自行监测计划</w:t>
            </w:r>
            <w:r>
              <w:rPr>
                <w:rFonts w:hint="eastAsia"/>
                <w:b w:val="0"/>
                <w:bCs w:val="0"/>
                <w:iCs w:val="0"/>
                <w:color w:val="000000"/>
                <w:sz w:val="21"/>
                <w:szCs w:val="21"/>
                <w:lang w:eastAsia="zh-CN"/>
              </w:rPr>
              <w:t>。</w:t>
            </w:r>
          </w:p>
        </w:tc>
      </w:tr>
      <w:tr w14:paraId="7716AA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92" w:hRule="atLeast"/>
          <w:jc w:val="center"/>
        </w:trPr>
        <w:tc>
          <w:tcPr>
            <w:tcW w:w="449" w:type="dxa"/>
            <w:noWrap w:val="0"/>
            <w:tcMar>
              <w:left w:w="28" w:type="dxa"/>
              <w:right w:w="28" w:type="dxa"/>
            </w:tcMar>
            <w:vAlign w:val="center"/>
          </w:tcPr>
          <w:p w14:paraId="1C615B6B">
            <w:pPr>
              <w:pStyle w:val="40"/>
              <w:keepNext w:val="0"/>
              <w:keepLines w:val="0"/>
              <w:suppressLineNumbers w:val="0"/>
              <w:bidi w:val="0"/>
              <w:spacing w:before="0" w:beforeAutospacing="0" w:after="0" w:afterAutospacing="0"/>
              <w:ind w:left="0" w:right="0"/>
              <w:rPr>
                <w:rFonts w:hint="eastAsia"/>
              </w:rPr>
            </w:pPr>
            <w:r>
              <w:rPr>
                <w:rFonts w:hint="eastAsia"/>
              </w:rPr>
              <w:t>运营期环境影响和保护措施</w:t>
            </w:r>
          </w:p>
        </w:tc>
        <w:tc>
          <w:tcPr>
            <w:tcW w:w="8531" w:type="dxa"/>
            <w:vMerge w:val="continue"/>
            <w:noWrap w:val="0"/>
            <w:vAlign w:val="top"/>
          </w:tcPr>
          <w:p w14:paraId="70BF2B1B">
            <w:pPr>
              <w:keepNext w:val="0"/>
              <w:keepLines w:val="0"/>
              <w:suppressLineNumbers w:val="0"/>
              <w:spacing w:before="0" w:beforeAutospacing="0" w:after="0" w:afterAutospacing="0" w:line="360" w:lineRule="auto"/>
              <w:ind w:left="0" w:right="0" w:firstLine="480" w:firstLineChars="200"/>
              <w:rPr>
                <w:rFonts w:hint="default" w:eastAsia="宋体"/>
                <w:color w:val="auto"/>
                <w:sz w:val="24"/>
                <w:lang w:val="en-US" w:eastAsia="zh-CN"/>
              </w:rPr>
            </w:pPr>
          </w:p>
        </w:tc>
      </w:tr>
    </w:tbl>
    <w:p w14:paraId="69766AF2">
      <w:pPr>
        <w:rPr>
          <w:color w:val="auto"/>
        </w:rPr>
      </w:pPr>
      <w:bookmarkStart w:id="44" w:name="_Toc1654"/>
      <w:bookmarkStart w:id="45" w:name="_Toc12951"/>
      <w:r>
        <w:rPr>
          <w:color w:val="auto"/>
        </w:rPr>
        <w:br w:type="page"/>
      </w:r>
    </w:p>
    <w:p w14:paraId="30E59B68">
      <w:pPr>
        <w:pStyle w:val="2"/>
        <w:tabs>
          <w:tab w:val="left" w:pos="420"/>
          <w:tab w:val="clear" w:pos="715"/>
        </w:tabs>
        <w:bidi w:val="0"/>
      </w:pPr>
      <w:bookmarkStart w:id="46" w:name="_Hlk54167917"/>
      <w:r>
        <w:t>环境保护措施监督检查清单</w:t>
      </w:r>
      <w:bookmarkEnd w:id="44"/>
      <w:bookmarkEnd w:id="45"/>
      <w:bookmarkEnd w:id="46"/>
    </w:p>
    <w:tbl>
      <w:tblPr>
        <w:tblStyle w:val="29"/>
        <w:tblW w:w="902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1477"/>
        <w:gridCol w:w="1459"/>
        <w:gridCol w:w="2141"/>
        <w:gridCol w:w="2746"/>
      </w:tblGrid>
      <w:tr w14:paraId="54F988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tcBorders>
              <w:tl2br w:val="single" w:color="auto" w:sz="4" w:space="0"/>
            </w:tcBorders>
            <w:noWrap w:val="0"/>
            <w:vAlign w:val="top"/>
          </w:tcPr>
          <w:p w14:paraId="2B1427C0">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内容</w:t>
            </w:r>
          </w:p>
          <w:p w14:paraId="6633A5F9">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要素</w:t>
            </w:r>
          </w:p>
        </w:tc>
        <w:tc>
          <w:tcPr>
            <w:tcW w:w="1477" w:type="dxa"/>
            <w:noWrap w:val="0"/>
            <w:vAlign w:val="center"/>
          </w:tcPr>
          <w:p w14:paraId="107E8374">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排放口</w:t>
            </w:r>
            <w:r>
              <w:rPr>
                <w:rFonts w:hint="eastAsia"/>
                <w:szCs w:val="22"/>
                <w:lang w:val="en-GB" w:eastAsia="zh-CN"/>
              </w:rPr>
              <w:t>（</w:t>
            </w:r>
            <w:r>
              <w:rPr>
                <w:rFonts w:hint="default"/>
                <w:szCs w:val="22"/>
                <w:lang w:val="en-GB" w:eastAsia="zh-CN"/>
              </w:rPr>
              <w:t>编号、名称</w:t>
            </w:r>
            <w:r>
              <w:rPr>
                <w:rFonts w:hint="eastAsia"/>
                <w:szCs w:val="22"/>
                <w:lang w:val="en-GB" w:eastAsia="zh-CN"/>
              </w:rPr>
              <w:t>）</w:t>
            </w:r>
            <w:r>
              <w:rPr>
                <w:rFonts w:hint="default"/>
                <w:szCs w:val="22"/>
                <w:lang w:val="en-GB" w:eastAsia="zh-CN"/>
              </w:rPr>
              <w:t>/污染源</w:t>
            </w:r>
          </w:p>
        </w:tc>
        <w:tc>
          <w:tcPr>
            <w:tcW w:w="1459" w:type="dxa"/>
            <w:noWrap w:val="0"/>
            <w:vAlign w:val="center"/>
          </w:tcPr>
          <w:p w14:paraId="7A92BAD9">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污染物项目</w:t>
            </w:r>
          </w:p>
        </w:tc>
        <w:tc>
          <w:tcPr>
            <w:tcW w:w="2141" w:type="dxa"/>
            <w:noWrap w:val="0"/>
            <w:vAlign w:val="center"/>
          </w:tcPr>
          <w:p w14:paraId="05FCE5DB">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环境保护措施</w:t>
            </w:r>
          </w:p>
        </w:tc>
        <w:tc>
          <w:tcPr>
            <w:tcW w:w="2746" w:type="dxa"/>
            <w:noWrap w:val="0"/>
            <w:vAlign w:val="center"/>
          </w:tcPr>
          <w:p w14:paraId="08868FF2">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执行标准</w:t>
            </w:r>
          </w:p>
        </w:tc>
      </w:tr>
      <w:tr w14:paraId="0DA2D5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202" w:type="dxa"/>
            <w:vMerge w:val="restart"/>
            <w:noWrap w:val="0"/>
            <w:vAlign w:val="center"/>
          </w:tcPr>
          <w:p w14:paraId="552CF5B1">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大气环境</w:t>
            </w:r>
          </w:p>
        </w:tc>
        <w:tc>
          <w:tcPr>
            <w:tcW w:w="1477" w:type="dxa"/>
            <w:vMerge w:val="restart"/>
            <w:noWrap w:val="0"/>
            <w:vAlign w:val="center"/>
          </w:tcPr>
          <w:p w14:paraId="36140093">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生产线1#喷漆、烘干、加烤工序（DA001）</w:t>
            </w:r>
          </w:p>
        </w:tc>
        <w:tc>
          <w:tcPr>
            <w:tcW w:w="1459" w:type="dxa"/>
            <w:noWrap w:val="0"/>
            <w:vAlign w:val="center"/>
          </w:tcPr>
          <w:p w14:paraId="70751A30">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eastAsia="zh-CN"/>
              </w:rPr>
              <w:t>颗粒物</w:t>
            </w:r>
          </w:p>
        </w:tc>
        <w:tc>
          <w:tcPr>
            <w:tcW w:w="2141" w:type="dxa"/>
            <w:vMerge w:val="restart"/>
            <w:noWrap w:val="0"/>
            <w:vAlign w:val="center"/>
          </w:tcPr>
          <w:p w14:paraId="3F8DC527">
            <w:pPr>
              <w:pStyle w:val="38"/>
              <w:keepNext w:val="0"/>
              <w:keepLines w:val="0"/>
              <w:widowControl/>
              <w:suppressLineNumbers w:val="0"/>
              <w:bidi w:val="0"/>
              <w:spacing w:before="0" w:beforeAutospacing="0" w:after="0" w:afterAutospacing="0"/>
              <w:ind w:left="0" w:right="0"/>
              <w:jc w:val="both"/>
              <w:rPr>
                <w:rFonts w:hint="default"/>
                <w:szCs w:val="22"/>
                <w:lang w:val="en-US" w:eastAsia="zh-CN"/>
              </w:rPr>
            </w:pPr>
            <w:r>
              <w:rPr>
                <w:rFonts w:hint="eastAsia"/>
                <w:szCs w:val="22"/>
                <w:lang w:val="en-US" w:eastAsia="zh-CN"/>
              </w:rPr>
              <w:t>生产线1#：</w:t>
            </w:r>
            <w:r>
              <w:rPr>
                <w:rFonts w:hint="eastAsia"/>
                <w:szCs w:val="22"/>
              </w:rPr>
              <w:t>烘干</w:t>
            </w:r>
            <w:r>
              <w:rPr>
                <w:rFonts w:hint="eastAsia"/>
                <w:szCs w:val="22"/>
                <w:lang w:val="en-US" w:eastAsia="zh-CN"/>
              </w:rPr>
              <w:t>废气及加烤废气各自经密闭管道集气收集，然后与经水帘柜净化后的喷漆废气一起并入</w:t>
            </w:r>
            <w:r>
              <w:rPr>
                <w:rFonts w:hint="eastAsia"/>
                <w:szCs w:val="22"/>
                <w:lang w:eastAsia="zh-CN"/>
              </w:rPr>
              <w:t>“</w:t>
            </w:r>
            <w:r>
              <w:rPr>
                <w:rFonts w:hint="eastAsia"/>
                <w:szCs w:val="22"/>
              </w:rPr>
              <w:t>过滤棉+</w:t>
            </w:r>
            <w:r>
              <w:rPr>
                <w:rFonts w:hint="eastAsia"/>
                <w:szCs w:val="22"/>
                <w:lang w:eastAsia="zh-CN"/>
              </w:rPr>
              <w:t>二级活性炭</w:t>
            </w:r>
            <w:r>
              <w:rPr>
                <w:rFonts w:hint="eastAsia"/>
                <w:szCs w:val="22"/>
              </w:rPr>
              <w:t>吸附装置</w:t>
            </w:r>
            <w:r>
              <w:rPr>
                <w:rFonts w:hint="eastAsia"/>
                <w:szCs w:val="22"/>
                <w:lang w:val="en-US" w:eastAsia="zh-CN"/>
              </w:rPr>
              <w:t>”1#处理达标后通过一根</w:t>
            </w:r>
            <w:r>
              <w:rPr>
                <w:rFonts w:hint="default"/>
                <w:szCs w:val="22"/>
                <w:lang w:val="en-US" w:eastAsia="zh-CN"/>
              </w:rPr>
              <w:t>15m高排气筒</w:t>
            </w:r>
            <w:r>
              <w:rPr>
                <w:rFonts w:hint="eastAsia"/>
                <w:szCs w:val="22"/>
                <w:lang w:val="en-US" w:eastAsia="zh-CN"/>
              </w:rPr>
              <w:t>（DA001）排放；</w:t>
            </w:r>
          </w:p>
        </w:tc>
        <w:tc>
          <w:tcPr>
            <w:tcW w:w="2746" w:type="dxa"/>
            <w:tcBorders>
              <w:bottom w:val="single" w:color="000000" w:sz="4" w:space="0"/>
            </w:tcBorders>
            <w:noWrap w:val="0"/>
            <w:vAlign w:val="center"/>
          </w:tcPr>
          <w:p w14:paraId="01DBCC68">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GB" w:eastAsia="zh-CN"/>
              </w:rPr>
              <w:t>执行</w:t>
            </w:r>
            <w:r>
              <w:rPr>
                <w:rFonts w:hint="default"/>
                <w:szCs w:val="22"/>
                <w:lang w:val="en-US" w:eastAsia="zh-CN"/>
              </w:rPr>
              <w:t>GB16297-1996《大气污染物综合排放标准》表2中二级标准</w:t>
            </w:r>
            <w:r>
              <w:rPr>
                <w:rFonts w:hint="eastAsia"/>
                <w:szCs w:val="22"/>
                <w:lang w:val="en-US" w:eastAsia="zh-CN"/>
              </w:rPr>
              <w:t>（颗粒物</w:t>
            </w:r>
            <w:r>
              <w:rPr>
                <w:rFonts w:hint="default"/>
                <w:szCs w:val="22"/>
                <w:lang w:val="en-US" w:eastAsia="zh-CN"/>
              </w:rPr>
              <w:t>≤</w:t>
            </w:r>
            <w:r>
              <w:rPr>
                <w:rFonts w:hint="eastAsia"/>
                <w:szCs w:val="22"/>
                <w:lang w:val="en-US" w:eastAsia="zh-CN"/>
              </w:rPr>
              <w:t>120</w:t>
            </w:r>
            <w:r>
              <w:rPr>
                <w:rFonts w:hint="default"/>
                <w:szCs w:val="22"/>
                <w:lang w:val="en-US" w:eastAsia="zh-CN"/>
              </w:rPr>
              <w:t>mg/m</w:t>
            </w:r>
            <w:r>
              <w:rPr>
                <w:rFonts w:hint="default"/>
                <w:szCs w:val="22"/>
                <w:vertAlign w:val="superscript"/>
                <w:lang w:val="en-US" w:eastAsia="zh-CN"/>
              </w:rPr>
              <w:t>3</w:t>
            </w:r>
            <w:r>
              <w:rPr>
                <w:rFonts w:hint="eastAsia"/>
                <w:szCs w:val="22"/>
                <w:lang w:val="en-US" w:eastAsia="zh-CN"/>
              </w:rPr>
              <w:t>）</w:t>
            </w:r>
          </w:p>
        </w:tc>
      </w:tr>
      <w:tr w14:paraId="31DF96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202" w:type="dxa"/>
            <w:vMerge w:val="continue"/>
            <w:noWrap w:val="0"/>
            <w:vAlign w:val="center"/>
          </w:tcPr>
          <w:p w14:paraId="1B8CE687">
            <w:pPr>
              <w:pStyle w:val="38"/>
              <w:keepNext w:val="0"/>
              <w:keepLines w:val="0"/>
              <w:widowControl/>
              <w:suppressLineNumbers w:val="0"/>
              <w:bidi w:val="0"/>
              <w:spacing w:before="0" w:beforeAutospacing="0" w:after="0" w:afterAutospacing="0"/>
              <w:ind w:left="0" w:right="0"/>
              <w:rPr>
                <w:rFonts w:hint="default"/>
                <w:szCs w:val="22"/>
                <w:lang w:val="en-GB" w:eastAsia="zh-CN"/>
              </w:rPr>
            </w:pPr>
          </w:p>
        </w:tc>
        <w:tc>
          <w:tcPr>
            <w:tcW w:w="1477" w:type="dxa"/>
            <w:vMerge w:val="continue"/>
            <w:noWrap w:val="0"/>
            <w:vAlign w:val="center"/>
          </w:tcPr>
          <w:p w14:paraId="5ABA2868">
            <w:pPr>
              <w:pStyle w:val="38"/>
              <w:keepNext w:val="0"/>
              <w:keepLines w:val="0"/>
              <w:widowControl/>
              <w:suppressLineNumbers w:val="0"/>
              <w:bidi w:val="0"/>
              <w:spacing w:before="0" w:beforeAutospacing="0" w:after="0" w:afterAutospacing="0"/>
              <w:ind w:left="0" w:right="0"/>
              <w:rPr>
                <w:rFonts w:hint="eastAsia"/>
                <w:szCs w:val="22"/>
                <w:lang w:val="en-US" w:eastAsia="zh-CN"/>
              </w:rPr>
            </w:pPr>
          </w:p>
        </w:tc>
        <w:tc>
          <w:tcPr>
            <w:tcW w:w="1459" w:type="dxa"/>
            <w:noWrap w:val="0"/>
            <w:vAlign w:val="center"/>
          </w:tcPr>
          <w:p w14:paraId="774BB1C4">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非甲烷总烃</w:t>
            </w:r>
          </w:p>
        </w:tc>
        <w:tc>
          <w:tcPr>
            <w:tcW w:w="2141" w:type="dxa"/>
            <w:vMerge w:val="continue"/>
            <w:noWrap w:val="0"/>
            <w:vAlign w:val="center"/>
          </w:tcPr>
          <w:p w14:paraId="3FEF8169">
            <w:pPr>
              <w:pStyle w:val="38"/>
              <w:keepNext w:val="0"/>
              <w:keepLines w:val="0"/>
              <w:widowControl/>
              <w:suppressLineNumbers w:val="0"/>
              <w:bidi w:val="0"/>
              <w:spacing w:before="0" w:beforeAutospacing="0" w:after="0" w:afterAutospacing="0"/>
              <w:ind w:left="0" w:right="0"/>
              <w:rPr>
                <w:rFonts w:hint="default"/>
                <w:szCs w:val="22"/>
                <w:lang w:val="en-US" w:eastAsia="zh-CN"/>
              </w:rPr>
            </w:pPr>
          </w:p>
        </w:tc>
        <w:tc>
          <w:tcPr>
            <w:tcW w:w="2746" w:type="dxa"/>
            <w:noWrap w:val="0"/>
            <w:vAlign w:val="center"/>
          </w:tcPr>
          <w:p w14:paraId="2805DD1B">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执行《工业涂装工序挥发性有机物排放标准》（DB35/1783-2018）表1标准中的涉涂装工序的其它行业的标准限值</w:t>
            </w:r>
            <w:r>
              <w:rPr>
                <w:rFonts w:hint="eastAsia"/>
                <w:szCs w:val="22"/>
                <w:lang w:val="en-GB" w:eastAsia="zh-CN"/>
              </w:rPr>
              <w:t>（</w:t>
            </w:r>
            <w:r>
              <w:rPr>
                <w:rFonts w:hint="default"/>
                <w:szCs w:val="22"/>
                <w:lang w:val="en-US" w:eastAsia="zh-CN"/>
              </w:rPr>
              <w:t>非甲烷总烃≤</w:t>
            </w:r>
            <w:r>
              <w:rPr>
                <w:rFonts w:hint="eastAsia"/>
                <w:szCs w:val="22"/>
                <w:lang w:val="en-US" w:eastAsia="zh-CN"/>
              </w:rPr>
              <w:t>60</w:t>
            </w:r>
            <w:r>
              <w:rPr>
                <w:rFonts w:hint="default"/>
                <w:szCs w:val="22"/>
                <w:lang w:val="en-US" w:eastAsia="zh-CN"/>
              </w:rPr>
              <w:t>mg/m</w:t>
            </w:r>
            <w:r>
              <w:rPr>
                <w:rFonts w:hint="default"/>
                <w:szCs w:val="22"/>
                <w:vertAlign w:val="superscript"/>
                <w:lang w:val="en-US" w:eastAsia="zh-CN"/>
              </w:rPr>
              <w:t>3</w:t>
            </w:r>
            <w:r>
              <w:rPr>
                <w:rFonts w:hint="eastAsia"/>
                <w:szCs w:val="22"/>
                <w:lang w:val="en-GB" w:eastAsia="zh-CN"/>
              </w:rPr>
              <w:t>）</w:t>
            </w:r>
          </w:p>
        </w:tc>
      </w:tr>
      <w:tr w14:paraId="0171E7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202" w:type="dxa"/>
            <w:vMerge w:val="continue"/>
            <w:noWrap w:val="0"/>
            <w:vAlign w:val="center"/>
          </w:tcPr>
          <w:p w14:paraId="698178F0">
            <w:pPr>
              <w:pStyle w:val="38"/>
              <w:keepNext w:val="0"/>
              <w:keepLines w:val="0"/>
              <w:widowControl/>
              <w:suppressLineNumbers w:val="0"/>
              <w:bidi w:val="0"/>
              <w:spacing w:before="0" w:beforeAutospacing="0" w:after="0" w:afterAutospacing="0"/>
              <w:ind w:left="0" w:right="0"/>
              <w:rPr>
                <w:rFonts w:hint="default"/>
                <w:szCs w:val="22"/>
                <w:lang w:val="en-GB" w:eastAsia="zh-CN"/>
              </w:rPr>
            </w:pPr>
          </w:p>
        </w:tc>
        <w:tc>
          <w:tcPr>
            <w:tcW w:w="1477" w:type="dxa"/>
            <w:vMerge w:val="restart"/>
            <w:noWrap w:val="0"/>
            <w:vAlign w:val="center"/>
          </w:tcPr>
          <w:p w14:paraId="327A8ADA">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生产线2#喷漆、烘干、加烤工序（DA002）</w:t>
            </w:r>
          </w:p>
        </w:tc>
        <w:tc>
          <w:tcPr>
            <w:tcW w:w="1459" w:type="dxa"/>
            <w:noWrap w:val="0"/>
            <w:vAlign w:val="center"/>
          </w:tcPr>
          <w:p w14:paraId="6D30DAD8">
            <w:pPr>
              <w:pStyle w:val="38"/>
              <w:keepNext w:val="0"/>
              <w:keepLines w:val="0"/>
              <w:widowControl/>
              <w:suppressLineNumbers w:val="0"/>
              <w:bidi w:val="0"/>
              <w:spacing w:before="0" w:beforeAutospacing="0" w:after="0" w:afterAutospacing="0"/>
              <w:ind w:left="0" w:leftChars="0" w:right="0" w:rightChars="0"/>
              <w:rPr>
                <w:rFonts w:hint="default"/>
                <w:szCs w:val="22"/>
                <w:lang w:val="en-US" w:eastAsia="zh-CN"/>
              </w:rPr>
            </w:pPr>
            <w:r>
              <w:rPr>
                <w:rFonts w:hint="default"/>
                <w:szCs w:val="22"/>
                <w:lang w:eastAsia="zh-CN"/>
              </w:rPr>
              <w:t>颗粒物</w:t>
            </w:r>
          </w:p>
        </w:tc>
        <w:tc>
          <w:tcPr>
            <w:tcW w:w="2141" w:type="dxa"/>
            <w:vMerge w:val="restart"/>
            <w:noWrap w:val="0"/>
            <w:vAlign w:val="center"/>
          </w:tcPr>
          <w:p w14:paraId="5A0F6FFD">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生产线2#、生产线3#：</w:t>
            </w:r>
            <w:r>
              <w:rPr>
                <w:rFonts w:hint="eastAsia"/>
                <w:szCs w:val="22"/>
              </w:rPr>
              <w:t>烘干</w:t>
            </w:r>
            <w:r>
              <w:rPr>
                <w:rFonts w:hint="eastAsia"/>
                <w:szCs w:val="22"/>
                <w:lang w:val="en-US" w:eastAsia="zh-CN"/>
              </w:rPr>
              <w:t>废气、加烤废气各自经密闭管道集气收集，然后与经水帘柜净化后的喷漆废气一起并入</w:t>
            </w:r>
            <w:r>
              <w:rPr>
                <w:rFonts w:hint="eastAsia"/>
                <w:szCs w:val="22"/>
                <w:lang w:eastAsia="zh-CN"/>
              </w:rPr>
              <w:t>“</w:t>
            </w:r>
            <w:r>
              <w:rPr>
                <w:rFonts w:hint="eastAsia"/>
                <w:szCs w:val="22"/>
              </w:rPr>
              <w:t>过滤棉+</w:t>
            </w:r>
            <w:r>
              <w:rPr>
                <w:rFonts w:hint="eastAsia"/>
                <w:szCs w:val="22"/>
                <w:lang w:eastAsia="zh-CN"/>
              </w:rPr>
              <w:t>二级活性炭</w:t>
            </w:r>
            <w:r>
              <w:rPr>
                <w:rFonts w:hint="eastAsia"/>
                <w:szCs w:val="22"/>
              </w:rPr>
              <w:t>吸附装置</w:t>
            </w:r>
            <w:r>
              <w:rPr>
                <w:rFonts w:hint="eastAsia"/>
                <w:szCs w:val="22"/>
                <w:lang w:val="en-US" w:eastAsia="zh-CN"/>
              </w:rPr>
              <w:t>”2#处理达标后通过一根</w:t>
            </w:r>
            <w:r>
              <w:rPr>
                <w:rFonts w:hint="default"/>
                <w:szCs w:val="22"/>
                <w:lang w:val="en-US" w:eastAsia="zh-CN"/>
              </w:rPr>
              <w:t>15m高排气筒</w:t>
            </w:r>
            <w:r>
              <w:rPr>
                <w:rFonts w:hint="eastAsia"/>
                <w:szCs w:val="22"/>
                <w:lang w:val="en-US" w:eastAsia="zh-CN"/>
              </w:rPr>
              <w:t>（DA002）排放；</w:t>
            </w:r>
          </w:p>
        </w:tc>
        <w:tc>
          <w:tcPr>
            <w:tcW w:w="2746" w:type="dxa"/>
            <w:noWrap w:val="0"/>
            <w:vAlign w:val="center"/>
          </w:tcPr>
          <w:p w14:paraId="19278C00">
            <w:pPr>
              <w:pStyle w:val="38"/>
              <w:keepNext w:val="0"/>
              <w:keepLines w:val="0"/>
              <w:widowControl/>
              <w:suppressLineNumbers w:val="0"/>
              <w:bidi w:val="0"/>
              <w:spacing w:before="0" w:beforeAutospacing="0" w:after="0" w:afterAutospacing="0"/>
              <w:ind w:left="0" w:leftChars="0" w:right="0" w:rightChars="0"/>
              <w:rPr>
                <w:rFonts w:hint="default"/>
                <w:szCs w:val="22"/>
                <w:lang w:val="en-GB" w:eastAsia="zh-CN"/>
              </w:rPr>
            </w:pPr>
            <w:r>
              <w:rPr>
                <w:rFonts w:hint="default"/>
                <w:szCs w:val="22"/>
                <w:lang w:val="en-GB" w:eastAsia="zh-CN"/>
              </w:rPr>
              <w:t>执行</w:t>
            </w:r>
            <w:r>
              <w:rPr>
                <w:rFonts w:hint="default"/>
                <w:szCs w:val="22"/>
                <w:lang w:val="en-US" w:eastAsia="zh-CN"/>
              </w:rPr>
              <w:t>GB16297-1996《大气污染物综合排放标准》表2中二级标准</w:t>
            </w:r>
            <w:r>
              <w:rPr>
                <w:rFonts w:hint="eastAsia"/>
                <w:szCs w:val="22"/>
                <w:lang w:val="en-US" w:eastAsia="zh-CN"/>
              </w:rPr>
              <w:t>（颗粒物</w:t>
            </w:r>
            <w:r>
              <w:rPr>
                <w:rFonts w:hint="default"/>
                <w:szCs w:val="22"/>
                <w:lang w:val="en-US" w:eastAsia="zh-CN"/>
              </w:rPr>
              <w:t>≤</w:t>
            </w:r>
            <w:r>
              <w:rPr>
                <w:rFonts w:hint="eastAsia"/>
                <w:szCs w:val="22"/>
                <w:lang w:val="en-US" w:eastAsia="zh-CN"/>
              </w:rPr>
              <w:t>120</w:t>
            </w:r>
            <w:r>
              <w:rPr>
                <w:rFonts w:hint="default"/>
                <w:szCs w:val="22"/>
                <w:lang w:val="en-US" w:eastAsia="zh-CN"/>
              </w:rPr>
              <w:t>mg/m</w:t>
            </w:r>
            <w:r>
              <w:rPr>
                <w:rFonts w:hint="default"/>
                <w:szCs w:val="22"/>
                <w:vertAlign w:val="superscript"/>
                <w:lang w:val="en-US" w:eastAsia="zh-CN"/>
              </w:rPr>
              <w:t>3</w:t>
            </w:r>
            <w:r>
              <w:rPr>
                <w:rFonts w:hint="eastAsia"/>
                <w:szCs w:val="22"/>
                <w:lang w:val="en-US" w:eastAsia="zh-CN"/>
              </w:rPr>
              <w:t>）</w:t>
            </w:r>
          </w:p>
        </w:tc>
      </w:tr>
      <w:tr w14:paraId="0CF59B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202" w:type="dxa"/>
            <w:vMerge w:val="continue"/>
            <w:noWrap w:val="0"/>
            <w:vAlign w:val="center"/>
          </w:tcPr>
          <w:p w14:paraId="1F894EF5">
            <w:pPr>
              <w:pStyle w:val="38"/>
              <w:keepNext w:val="0"/>
              <w:keepLines w:val="0"/>
              <w:widowControl/>
              <w:suppressLineNumbers w:val="0"/>
              <w:bidi w:val="0"/>
              <w:spacing w:before="0" w:beforeAutospacing="0" w:after="0" w:afterAutospacing="0"/>
              <w:ind w:left="0" w:right="0"/>
              <w:rPr>
                <w:rFonts w:hint="default"/>
                <w:szCs w:val="22"/>
                <w:lang w:val="en-GB" w:eastAsia="zh-CN"/>
              </w:rPr>
            </w:pPr>
          </w:p>
        </w:tc>
        <w:tc>
          <w:tcPr>
            <w:tcW w:w="1477" w:type="dxa"/>
            <w:vMerge w:val="continue"/>
            <w:noWrap w:val="0"/>
            <w:vAlign w:val="center"/>
          </w:tcPr>
          <w:p w14:paraId="1FF32BEA">
            <w:pPr>
              <w:pStyle w:val="38"/>
              <w:keepNext w:val="0"/>
              <w:keepLines w:val="0"/>
              <w:widowControl/>
              <w:suppressLineNumbers w:val="0"/>
              <w:bidi w:val="0"/>
              <w:spacing w:before="0" w:beforeAutospacing="0" w:after="0" w:afterAutospacing="0"/>
              <w:ind w:left="0" w:right="0"/>
              <w:rPr>
                <w:rFonts w:hint="default"/>
                <w:szCs w:val="22"/>
                <w:lang w:val="en-US" w:eastAsia="zh-CN"/>
              </w:rPr>
            </w:pPr>
          </w:p>
        </w:tc>
        <w:tc>
          <w:tcPr>
            <w:tcW w:w="1459" w:type="dxa"/>
            <w:noWrap w:val="0"/>
            <w:vAlign w:val="center"/>
          </w:tcPr>
          <w:p w14:paraId="66464213">
            <w:pPr>
              <w:pStyle w:val="38"/>
              <w:keepNext w:val="0"/>
              <w:keepLines w:val="0"/>
              <w:widowControl/>
              <w:suppressLineNumbers w:val="0"/>
              <w:bidi w:val="0"/>
              <w:spacing w:before="0" w:beforeAutospacing="0" w:after="0" w:afterAutospacing="0"/>
              <w:ind w:left="0" w:leftChars="0" w:right="0" w:rightChars="0"/>
              <w:rPr>
                <w:rFonts w:hint="eastAsia"/>
                <w:szCs w:val="22"/>
                <w:lang w:val="en-US" w:eastAsia="zh-CN"/>
              </w:rPr>
            </w:pPr>
            <w:r>
              <w:rPr>
                <w:rFonts w:hint="default"/>
                <w:szCs w:val="22"/>
                <w:lang w:val="en-US" w:eastAsia="zh-CN"/>
              </w:rPr>
              <w:t>非甲烷总烃</w:t>
            </w:r>
          </w:p>
        </w:tc>
        <w:tc>
          <w:tcPr>
            <w:tcW w:w="2141" w:type="dxa"/>
            <w:vMerge w:val="continue"/>
            <w:noWrap w:val="0"/>
            <w:vAlign w:val="center"/>
          </w:tcPr>
          <w:p w14:paraId="4F3DBF9A">
            <w:pPr>
              <w:pStyle w:val="38"/>
              <w:keepNext w:val="0"/>
              <w:keepLines w:val="0"/>
              <w:widowControl/>
              <w:suppressLineNumbers w:val="0"/>
              <w:bidi w:val="0"/>
              <w:spacing w:before="0" w:beforeAutospacing="0" w:after="0" w:afterAutospacing="0"/>
              <w:ind w:left="0" w:right="0"/>
              <w:rPr>
                <w:rFonts w:hint="default"/>
                <w:szCs w:val="22"/>
                <w:lang w:val="en-US" w:eastAsia="zh-CN"/>
              </w:rPr>
            </w:pPr>
          </w:p>
        </w:tc>
        <w:tc>
          <w:tcPr>
            <w:tcW w:w="2746" w:type="dxa"/>
            <w:noWrap w:val="0"/>
            <w:vAlign w:val="center"/>
          </w:tcPr>
          <w:p w14:paraId="2136AA18">
            <w:pPr>
              <w:pStyle w:val="38"/>
              <w:keepNext w:val="0"/>
              <w:keepLines w:val="0"/>
              <w:widowControl/>
              <w:suppressLineNumbers w:val="0"/>
              <w:bidi w:val="0"/>
              <w:spacing w:before="0" w:beforeAutospacing="0" w:after="0" w:afterAutospacing="0"/>
              <w:ind w:left="0" w:leftChars="0" w:right="0" w:rightChars="0"/>
              <w:rPr>
                <w:rFonts w:hint="default"/>
                <w:szCs w:val="22"/>
                <w:lang w:val="en-GB" w:eastAsia="zh-CN"/>
              </w:rPr>
            </w:pPr>
            <w:r>
              <w:rPr>
                <w:rFonts w:hint="default"/>
                <w:szCs w:val="22"/>
                <w:lang w:val="en-GB" w:eastAsia="zh-CN"/>
              </w:rPr>
              <w:t>执行《工业涂装工序挥发性有机物排放标准》（DB35/1783-2018）表1标准中的涉涂装工序的其它行业的标准限值</w:t>
            </w:r>
            <w:r>
              <w:rPr>
                <w:rFonts w:hint="eastAsia"/>
                <w:szCs w:val="22"/>
                <w:lang w:val="en-GB" w:eastAsia="zh-CN"/>
              </w:rPr>
              <w:t>（</w:t>
            </w:r>
            <w:r>
              <w:rPr>
                <w:rFonts w:hint="default"/>
                <w:szCs w:val="22"/>
                <w:lang w:val="en-US" w:eastAsia="zh-CN"/>
              </w:rPr>
              <w:t>非甲烷总烃≤</w:t>
            </w:r>
            <w:r>
              <w:rPr>
                <w:rFonts w:hint="eastAsia"/>
                <w:szCs w:val="22"/>
                <w:lang w:val="en-US" w:eastAsia="zh-CN"/>
              </w:rPr>
              <w:t>60</w:t>
            </w:r>
            <w:r>
              <w:rPr>
                <w:rFonts w:hint="default"/>
                <w:szCs w:val="22"/>
                <w:lang w:val="en-US" w:eastAsia="zh-CN"/>
              </w:rPr>
              <w:t>mg/m</w:t>
            </w:r>
            <w:r>
              <w:rPr>
                <w:rFonts w:hint="default"/>
                <w:szCs w:val="22"/>
                <w:vertAlign w:val="superscript"/>
                <w:lang w:val="en-US" w:eastAsia="zh-CN"/>
              </w:rPr>
              <w:t>3</w:t>
            </w:r>
            <w:r>
              <w:rPr>
                <w:rFonts w:hint="eastAsia"/>
                <w:szCs w:val="22"/>
                <w:lang w:val="en-GB" w:eastAsia="zh-CN"/>
              </w:rPr>
              <w:t>）</w:t>
            </w:r>
          </w:p>
        </w:tc>
      </w:tr>
      <w:tr w14:paraId="1776CC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202" w:type="dxa"/>
            <w:vMerge w:val="continue"/>
            <w:noWrap w:val="0"/>
            <w:vAlign w:val="center"/>
          </w:tcPr>
          <w:p w14:paraId="32883BB1">
            <w:pPr>
              <w:pStyle w:val="38"/>
              <w:keepNext w:val="0"/>
              <w:keepLines w:val="0"/>
              <w:widowControl/>
              <w:suppressLineNumbers w:val="0"/>
              <w:bidi w:val="0"/>
              <w:spacing w:before="0" w:beforeAutospacing="0" w:after="0" w:afterAutospacing="0"/>
              <w:ind w:left="0" w:right="0"/>
              <w:rPr>
                <w:rFonts w:hint="default"/>
                <w:szCs w:val="22"/>
                <w:lang w:val="en-GB" w:eastAsia="zh-CN"/>
              </w:rPr>
            </w:pPr>
          </w:p>
        </w:tc>
        <w:tc>
          <w:tcPr>
            <w:tcW w:w="1477" w:type="dxa"/>
            <w:vMerge w:val="restart"/>
            <w:noWrap w:val="0"/>
            <w:vAlign w:val="center"/>
          </w:tcPr>
          <w:p w14:paraId="2D525CFF">
            <w:pPr>
              <w:pStyle w:val="38"/>
              <w:keepNext w:val="0"/>
              <w:keepLines w:val="0"/>
              <w:widowControl/>
              <w:suppressLineNumbers w:val="0"/>
              <w:bidi w:val="0"/>
              <w:spacing w:before="0" w:beforeAutospacing="0" w:after="0" w:afterAutospacing="0"/>
              <w:ind w:left="0" w:leftChars="0" w:right="0" w:rightChars="0"/>
              <w:rPr>
                <w:rFonts w:hint="default"/>
                <w:szCs w:val="22"/>
                <w:lang w:val="en-US" w:eastAsia="zh-CN"/>
              </w:rPr>
            </w:pPr>
            <w:r>
              <w:rPr>
                <w:rFonts w:hint="eastAsia" w:cs="Times New Roman"/>
                <w:color w:val="auto"/>
                <w:kern w:val="0"/>
                <w:sz w:val="24"/>
                <w:szCs w:val="24"/>
                <w:lang w:val="en-US" w:eastAsia="zh-CN" w:bidi="ar-SA"/>
              </w:rPr>
              <w:t>生产线3#</w:t>
            </w:r>
            <w:r>
              <w:rPr>
                <w:rFonts w:hint="eastAsia"/>
                <w:szCs w:val="22"/>
                <w:lang w:val="en-US" w:eastAsia="zh-CN"/>
              </w:rPr>
              <w:t>喷漆、烘干、加烤工序（DA003）</w:t>
            </w:r>
          </w:p>
        </w:tc>
        <w:tc>
          <w:tcPr>
            <w:tcW w:w="1459" w:type="dxa"/>
            <w:noWrap w:val="0"/>
            <w:vAlign w:val="center"/>
          </w:tcPr>
          <w:p w14:paraId="45B0CF60">
            <w:pPr>
              <w:pStyle w:val="38"/>
              <w:keepNext w:val="0"/>
              <w:keepLines w:val="0"/>
              <w:widowControl/>
              <w:suppressLineNumbers w:val="0"/>
              <w:bidi w:val="0"/>
              <w:spacing w:before="0" w:beforeAutospacing="0" w:after="0" w:afterAutospacing="0"/>
              <w:ind w:left="0" w:leftChars="0" w:right="0" w:rightChars="0"/>
              <w:rPr>
                <w:rFonts w:hint="default"/>
                <w:szCs w:val="22"/>
                <w:lang w:val="en-US" w:eastAsia="zh-CN"/>
              </w:rPr>
            </w:pPr>
            <w:r>
              <w:rPr>
                <w:rFonts w:hint="default"/>
                <w:szCs w:val="22"/>
                <w:lang w:eastAsia="zh-CN"/>
              </w:rPr>
              <w:t>颗粒物</w:t>
            </w:r>
          </w:p>
        </w:tc>
        <w:tc>
          <w:tcPr>
            <w:tcW w:w="2141" w:type="dxa"/>
            <w:vMerge w:val="restart"/>
            <w:noWrap w:val="0"/>
            <w:vAlign w:val="center"/>
          </w:tcPr>
          <w:p w14:paraId="20D8613D">
            <w:pPr>
              <w:pStyle w:val="38"/>
              <w:keepNext w:val="0"/>
              <w:keepLines w:val="0"/>
              <w:widowControl/>
              <w:suppressLineNumbers w:val="0"/>
              <w:bidi w:val="0"/>
              <w:spacing w:before="0" w:beforeAutospacing="0" w:after="0" w:afterAutospacing="0"/>
              <w:ind w:left="0" w:leftChars="0" w:right="0" w:rightChars="0"/>
              <w:rPr>
                <w:rFonts w:hint="default"/>
                <w:szCs w:val="22"/>
                <w:lang w:val="en-US" w:eastAsia="zh-CN"/>
              </w:rPr>
            </w:pPr>
            <w:r>
              <w:rPr>
                <w:rFonts w:hint="eastAsia"/>
                <w:szCs w:val="22"/>
                <w:lang w:val="en-US" w:eastAsia="zh-CN"/>
              </w:rPr>
              <w:t>生产线3#：</w:t>
            </w:r>
            <w:r>
              <w:rPr>
                <w:rFonts w:hint="eastAsia"/>
                <w:szCs w:val="22"/>
              </w:rPr>
              <w:t>烘干</w:t>
            </w:r>
            <w:r>
              <w:rPr>
                <w:rFonts w:hint="eastAsia"/>
                <w:szCs w:val="22"/>
                <w:lang w:val="en-US" w:eastAsia="zh-CN"/>
              </w:rPr>
              <w:t>废气、加烤废气各自经密闭管道集气收集，然后与经水帘柜净化后的喷漆废气一起并入</w:t>
            </w:r>
            <w:r>
              <w:rPr>
                <w:rFonts w:hint="eastAsia"/>
                <w:szCs w:val="22"/>
                <w:lang w:eastAsia="zh-CN"/>
              </w:rPr>
              <w:t>“</w:t>
            </w:r>
            <w:r>
              <w:rPr>
                <w:rFonts w:hint="eastAsia"/>
                <w:szCs w:val="22"/>
              </w:rPr>
              <w:t>过滤棉+</w:t>
            </w:r>
            <w:r>
              <w:rPr>
                <w:rFonts w:hint="eastAsia"/>
                <w:szCs w:val="22"/>
                <w:lang w:eastAsia="zh-CN"/>
              </w:rPr>
              <w:t>二级活性炭</w:t>
            </w:r>
            <w:r>
              <w:rPr>
                <w:rFonts w:hint="eastAsia"/>
                <w:szCs w:val="22"/>
              </w:rPr>
              <w:t>吸附装</w:t>
            </w:r>
            <w:r>
              <w:rPr>
                <w:rFonts w:hint="eastAsia"/>
                <w:szCs w:val="22"/>
                <w:lang w:eastAsia="zh-CN"/>
              </w:rPr>
              <w:t>”</w:t>
            </w:r>
            <w:r>
              <w:rPr>
                <w:rFonts w:hint="eastAsia"/>
                <w:szCs w:val="22"/>
                <w:lang w:val="en-US" w:eastAsia="zh-CN"/>
              </w:rPr>
              <w:t>3#处理达标后通过一根</w:t>
            </w:r>
            <w:r>
              <w:rPr>
                <w:rFonts w:hint="default"/>
                <w:szCs w:val="22"/>
                <w:lang w:val="en-US" w:eastAsia="zh-CN"/>
              </w:rPr>
              <w:t>15m高排气筒</w:t>
            </w:r>
            <w:r>
              <w:rPr>
                <w:rFonts w:hint="eastAsia"/>
                <w:szCs w:val="22"/>
                <w:lang w:val="en-US" w:eastAsia="zh-CN"/>
              </w:rPr>
              <w:t>（DA003）排放；</w:t>
            </w:r>
          </w:p>
        </w:tc>
        <w:tc>
          <w:tcPr>
            <w:tcW w:w="2746" w:type="dxa"/>
            <w:noWrap w:val="0"/>
            <w:vAlign w:val="center"/>
          </w:tcPr>
          <w:p w14:paraId="54F0A8EC">
            <w:pPr>
              <w:pStyle w:val="38"/>
              <w:keepNext w:val="0"/>
              <w:keepLines w:val="0"/>
              <w:widowControl/>
              <w:suppressLineNumbers w:val="0"/>
              <w:bidi w:val="0"/>
              <w:spacing w:before="0" w:beforeAutospacing="0" w:after="0" w:afterAutospacing="0"/>
              <w:ind w:left="0" w:leftChars="0" w:right="0" w:rightChars="0"/>
              <w:rPr>
                <w:rFonts w:hint="default"/>
                <w:szCs w:val="22"/>
                <w:lang w:val="en-GB" w:eastAsia="zh-CN"/>
              </w:rPr>
            </w:pPr>
            <w:r>
              <w:rPr>
                <w:rFonts w:hint="default"/>
                <w:szCs w:val="22"/>
                <w:lang w:val="en-GB" w:eastAsia="zh-CN"/>
              </w:rPr>
              <w:t>执行</w:t>
            </w:r>
            <w:r>
              <w:rPr>
                <w:rFonts w:hint="default"/>
                <w:szCs w:val="22"/>
                <w:lang w:val="en-US" w:eastAsia="zh-CN"/>
              </w:rPr>
              <w:t>GB16297-1996《大气污染物综合排放标准》表2中二级标准</w:t>
            </w:r>
            <w:r>
              <w:rPr>
                <w:rFonts w:hint="eastAsia"/>
                <w:szCs w:val="22"/>
                <w:lang w:val="en-US" w:eastAsia="zh-CN"/>
              </w:rPr>
              <w:t>（颗粒物</w:t>
            </w:r>
            <w:r>
              <w:rPr>
                <w:rFonts w:hint="default"/>
                <w:szCs w:val="22"/>
                <w:lang w:val="en-US" w:eastAsia="zh-CN"/>
              </w:rPr>
              <w:t>≤</w:t>
            </w:r>
            <w:r>
              <w:rPr>
                <w:rFonts w:hint="eastAsia"/>
                <w:szCs w:val="22"/>
                <w:lang w:val="en-US" w:eastAsia="zh-CN"/>
              </w:rPr>
              <w:t>120</w:t>
            </w:r>
            <w:r>
              <w:rPr>
                <w:rFonts w:hint="default"/>
                <w:szCs w:val="22"/>
                <w:lang w:val="en-US" w:eastAsia="zh-CN"/>
              </w:rPr>
              <w:t>mg/m</w:t>
            </w:r>
            <w:r>
              <w:rPr>
                <w:rFonts w:hint="default"/>
                <w:szCs w:val="22"/>
                <w:vertAlign w:val="superscript"/>
                <w:lang w:val="en-US" w:eastAsia="zh-CN"/>
              </w:rPr>
              <w:t>3</w:t>
            </w:r>
            <w:r>
              <w:rPr>
                <w:rFonts w:hint="eastAsia"/>
                <w:szCs w:val="22"/>
                <w:lang w:val="en-US" w:eastAsia="zh-CN"/>
              </w:rPr>
              <w:t>）</w:t>
            </w:r>
          </w:p>
        </w:tc>
      </w:tr>
      <w:tr w14:paraId="6709F2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202" w:type="dxa"/>
            <w:vMerge w:val="continue"/>
            <w:noWrap w:val="0"/>
            <w:vAlign w:val="center"/>
          </w:tcPr>
          <w:p w14:paraId="6ADEC067">
            <w:pPr>
              <w:pStyle w:val="38"/>
              <w:keepNext w:val="0"/>
              <w:keepLines w:val="0"/>
              <w:widowControl/>
              <w:suppressLineNumbers w:val="0"/>
              <w:bidi w:val="0"/>
              <w:spacing w:before="0" w:beforeAutospacing="0" w:after="0" w:afterAutospacing="0"/>
              <w:ind w:left="0" w:right="0"/>
              <w:rPr>
                <w:rFonts w:hint="default"/>
                <w:szCs w:val="22"/>
                <w:lang w:val="en-GB" w:eastAsia="zh-CN"/>
              </w:rPr>
            </w:pPr>
          </w:p>
        </w:tc>
        <w:tc>
          <w:tcPr>
            <w:tcW w:w="1477" w:type="dxa"/>
            <w:vMerge w:val="continue"/>
            <w:noWrap w:val="0"/>
            <w:vAlign w:val="center"/>
          </w:tcPr>
          <w:p w14:paraId="4BD87EDD">
            <w:pPr>
              <w:pStyle w:val="38"/>
              <w:keepNext w:val="0"/>
              <w:keepLines w:val="0"/>
              <w:widowControl/>
              <w:suppressLineNumbers w:val="0"/>
              <w:bidi w:val="0"/>
              <w:spacing w:before="0" w:beforeAutospacing="0" w:after="0" w:afterAutospacing="0"/>
              <w:ind w:left="0" w:leftChars="0" w:right="0" w:rightChars="0"/>
              <w:rPr>
                <w:rFonts w:hint="default"/>
                <w:szCs w:val="22"/>
                <w:lang w:val="en-US" w:eastAsia="zh-CN"/>
              </w:rPr>
            </w:pPr>
          </w:p>
        </w:tc>
        <w:tc>
          <w:tcPr>
            <w:tcW w:w="1459" w:type="dxa"/>
            <w:noWrap w:val="0"/>
            <w:vAlign w:val="center"/>
          </w:tcPr>
          <w:p w14:paraId="57DDD853">
            <w:pPr>
              <w:pStyle w:val="38"/>
              <w:keepNext w:val="0"/>
              <w:keepLines w:val="0"/>
              <w:widowControl/>
              <w:suppressLineNumbers w:val="0"/>
              <w:bidi w:val="0"/>
              <w:spacing w:before="0" w:beforeAutospacing="0" w:after="0" w:afterAutospacing="0"/>
              <w:ind w:left="0" w:leftChars="0" w:right="0" w:rightChars="0"/>
              <w:rPr>
                <w:rFonts w:hint="default"/>
                <w:szCs w:val="22"/>
                <w:lang w:val="en-US" w:eastAsia="zh-CN"/>
              </w:rPr>
            </w:pPr>
            <w:r>
              <w:rPr>
                <w:rFonts w:hint="default"/>
                <w:szCs w:val="22"/>
                <w:lang w:val="en-US" w:eastAsia="zh-CN"/>
              </w:rPr>
              <w:t>非甲烷总烃</w:t>
            </w:r>
          </w:p>
        </w:tc>
        <w:tc>
          <w:tcPr>
            <w:tcW w:w="2141" w:type="dxa"/>
            <w:vMerge w:val="continue"/>
            <w:noWrap w:val="0"/>
            <w:vAlign w:val="center"/>
          </w:tcPr>
          <w:p w14:paraId="76AF5ED7">
            <w:pPr>
              <w:pStyle w:val="38"/>
              <w:keepNext w:val="0"/>
              <w:keepLines w:val="0"/>
              <w:widowControl/>
              <w:suppressLineNumbers w:val="0"/>
              <w:bidi w:val="0"/>
              <w:spacing w:before="0" w:beforeAutospacing="0" w:after="0" w:afterAutospacing="0"/>
              <w:ind w:left="0" w:leftChars="0" w:right="0" w:rightChars="0"/>
              <w:rPr>
                <w:rFonts w:hint="default"/>
                <w:szCs w:val="22"/>
                <w:lang w:val="en-US" w:eastAsia="zh-CN"/>
              </w:rPr>
            </w:pPr>
          </w:p>
        </w:tc>
        <w:tc>
          <w:tcPr>
            <w:tcW w:w="2746" w:type="dxa"/>
            <w:noWrap w:val="0"/>
            <w:vAlign w:val="center"/>
          </w:tcPr>
          <w:p w14:paraId="5832D6D4">
            <w:pPr>
              <w:pStyle w:val="38"/>
              <w:keepNext w:val="0"/>
              <w:keepLines w:val="0"/>
              <w:widowControl/>
              <w:suppressLineNumbers w:val="0"/>
              <w:bidi w:val="0"/>
              <w:spacing w:before="0" w:beforeAutospacing="0" w:after="0" w:afterAutospacing="0"/>
              <w:ind w:left="0" w:leftChars="0" w:right="0" w:rightChars="0"/>
              <w:rPr>
                <w:rFonts w:hint="default"/>
                <w:szCs w:val="22"/>
                <w:lang w:val="en-GB" w:eastAsia="zh-CN"/>
              </w:rPr>
            </w:pPr>
            <w:r>
              <w:rPr>
                <w:rFonts w:hint="default"/>
                <w:szCs w:val="22"/>
                <w:lang w:val="en-GB" w:eastAsia="zh-CN"/>
              </w:rPr>
              <w:t>执行《工业涂装工序挥发性有机物排放标准》（DB35/1783-2018）表1标准中的涉涂装工序的其它行业的标准限值</w:t>
            </w:r>
            <w:r>
              <w:rPr>
                <w:rFonts w:hint="eastAsia"/>
                <w:szCs w:val="22"/>
                <w:lang w:val="en-GB" w:eastAsia="zh-CN"/>
              </w:rPr>
              <w:t>（</w:t>
            </w:r>
            <w:r>
              <w:rPr>
                <w:rFonts w:hint="default"/>
                <w:szCs w:val="22"/>
                <w:lang w:val="en-US" w:eastAsia="zh-CN"/>
              </w:rPr>
              <w:t>非甲烷总烃≤</w:t>
            </w:r>
            <w:r>
              <w:rPr>
                <w:rFonts w:hint="eastAsia"/>
                <w:szCs w:val="22"/>
                <w:lang w:val="en-US" w:eastAsia="zh-CN"/>
              </w:rPr>
              <w:t>60</w:t>
            </w:r>
            <w:r>
              <w:rPr>
                <w:rFonts w:hint="default"/>
                <w:szCs w:val="22"/>
                <w:lang w:val="en-US" w:eastAsia="zh-CN"/>
              </w:rPr>
              <w:t>mg/m</w:t>
            </w:r>
            <w:r>
              <w:rPr>
                <w:rFonts w:hint="default"/>
                <w:szCs w:val="22"/>
                <w:vertAlign w:val="superscript"/>
                <w:lang w:val="en-US" w:eastAsia="zh-CN"/>
              </w:rPr>
              <w:t>3</w:t>
            </w:r>
            <w:r>
              <w:rPr>
                <w:rFonts w:hint="eastAsia"/>
                <w:szCs w:val="22"/>
                <w:lang w:val="en-GB" w:eastAsia="zh-CN"/>
              </w:rPr>
              <w:t>）</w:t>
            </w:r>
          </w:p>
        </w:tc>
      </w:tr>
      <w:tr w14:paraId="003BA0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continue"/>
            <w:noWrap w:val="0"/>
            <w:vAlign w:val="center"/>
          </w:tcPr>
          <w:p w14:paraId="3885016C">
            <w:pPr>
              <w:pStyle w:val="38"/>
              <w:keepNext w:val="0"/>
              <w:keepLines w:val="0"/>
              <w:widowControl/>
              <w:suppressLineNumbers w:val="0"/>
              <w:bidi w:val="0"/>
              <w:spacing w:before="0" w:beforeAutospacing="0" w:after="0" w:afterAutospacing="0"/>
              <w:ind w:left="0" w:right="0"/>
              <w:rPr>
                <w:rFonts w:hint="default"/>
                <w:szCs w:val="22"/>
                <w:lang w:val="en-GB" w:eastAsia="zh-CN"/>
              </w:rPr>
            </w:pPr>
          </w:p>
        </w:tc>
        <w:tc>
          <w:tcPr>
            <w:tcW w:w="1477" w:type="dxa"/>
            <w:noWrap w:val="0"/>
            <w:vAlign w:val="center"/>
          </w:tcPr>
          <w:p w14:paraId="6649983D">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厂区内</w:t>
            </w:r>
          </w:p>
        </w:tc>
        <w:tc>
          <w:tcPr>
            <w:tcW w:w="1459" w:type="dxa"/>
            <w:noWrap w:val="0"/>
            <w:vAlign w:val="center"/>
          </w:tcPr>
          <w:p w14:paraId="61EF9235">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非甲烷总烃</w:t>
            </w:r>
          </w:p>
        </w:tc>
        <w:tc>
          <w:tcPr>
            <w:tcW w:w="2141" w:type="dxa"/>
            <w:noWrap w:val="0"/>
            <w:vAlign w:val="center"/>
          </w:tcPr>
          <w:p w14:paraId="3DD04DFB">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加强废气的收集及</w:t>
            </w:r>
            <w:r>
              <w:rPr>
                <w:rFonts w:hint="eastAsia"/>
                <w:szCs w:val="22"/>
                <w:lang w:val="en-US" w:eastAsia="zh-CN"/>
              </w:rPr>
              <w:t>二级活性炭</w:t>
            </w:r>
            <w:r>
              <w:rPr>
                <w:rFonts w:hint="default"/>
                <w:szCs w:val="22"/>
                <w:lang w:val="en-US" w:eastAsia="zh-CN"/>
              </w:rPr>
              <w:t>吸附净化装置维护保养，防止废气事故无组织排放；生产过程中门窗关闭，保持一个相对密闭的空间，合理设计送排风系统</w:t>
            </w:r>
          </w:p>
        </w:tc>
        <w:tc>
          <w:tcPr>
            <w:tcW w:w="2746" w:type="dxa"/>
            <w:tcBorders>
              <w:bottom w:val="single" w:color="000000" w:sz="4" w:space="0"/>
            </w:tcBorders>
            <w:noWrap w:val="0"/>
            <w:vAlign w:val="center"/>
          </w:tcPr>
          <w:p w14:paraId="1B79B0A4">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GB" w:eastAsia="zh-CN"/>
              </w:rPr>
              <w:t>执行</w:t>
            </w:r>
            <w:r>
              <w:rPr>
                <w:rFonts w:hint="eastAsia"/>
                <w:szCs w:val="22"/>
              </w:rPr>
              <w:t>《工业涂装工序挥发性有机物排放标准》（DB35/1783-2018）表</w:t>
            </w:r>
            <w:r>
              <w:rPr>
                <w:rFonts w:hint="eastAsia"/>
                <w:szCs w:val="22"/>
                <w:lang w:val="en-US" w:eastAsia="zh-CN"/>
              </w:rPr>
              <w:t>3标准（</w:t>
            </w:r>
            <w:r>
              <w:rPr>
                <w:rFonts w:hint="default"/>
                <w:szCs w:val="22"/>
                <w:lang w:val="en-US" w:eastAsia="zh-CN"/>
              </w:rPr>
              <w:t>非甲烷总烃≤</w:t>
            </w:r>
            <w:r>
              <w:rPr>
                <w:rFonts w:hint="eastAsia"/>
                <w:szCs w:val="22"/>
                <w:lang w:val="en-US" w:eastAsia="zh-CN"/>
              </w:rPr>
              <w:t>8.0</w:t>
            </w:r>
            <w:r>
              <w:rPr>
                <w:rFonts w:hint="default"/>
                <w:szCs w:val="22"/>
                <w:lang w:val="en-US" w:eastAsia="zh-CN"/>
              </w:rPr>
              <w:t>mg/m</w:t>
            </w:r>
            <w:r>
              <w:rPr>
                <w:rFonts w:hint="default"/>
                <w:szCs w:val="22"/>
                <w:vertAlign w:val="superscript"/>
                <w:lang w:val="en-US" w:eastAsia="zh-CN"/>
              </w:rPr>
              <w:t>3</w:t>
            </w:r>
            <w:r>
              <w:rPr>
                <w:rFonts w:hint="eastAsia"/>
                <w:szCs w:val="22"/>
                <w:lang w:val="en-US" w:eastAsia="zh-CN"/>
              </w:rPr>
              <w:t>）及</w:t>
            </w:r>
            <w:r>
              <w:rPr>
                <w:rFonts w:hint="eastAsia"/>
                <w:szCs w:val="22"/>
              </w:rPr>
              <w:t>《挥发性有机物无组织排放控制标准》（GB37822-2019）附录A表A.1</w:t>
            </w:r>
            <w:r>
              <w:rPr>
                <w:rFonts w:hint="eastAsia"/>
                <w:szCs w:val="22"/>
                <w:lang w:val="en-US" w:eastAsia="zh-CN"/>
              </w:rPr>
              <w:t>特别排放限值要求（</w:t>
            </w:r>
            <w:r>
              <w:rPr>
                <w:rFonts w:hint="default"/>
                <w:szCs w:val="22"/>
                <w:lang w:val="en-US" w:eastAsia="zh-CN"/>
              </w:rPr>
              <w:t>非甲烷总烃监控点处任意一次浓度值≤</w:t>
            </w:r>
            <w:r>
              <w:rPr>
                <w:rFonts w:hint="eastAsia"/>
                <w:szCs w:val="22"/>
                <w:lang w:val="en-US" w:eastAsia="zh-CN"/>
              </w:rPr>
              <w:t>20</w:t>
            </w:r>
            <w:r>
              <w:rPr>
                <w:rFonts w:hint="default"/>
                <w:szCs w:val="22"/>
                <w:lang w:val="en-US" w:eastAsia="zh-CN"/>
              </w:rPr>
              <w:t>mg/m</w:t>
            </w:r>
            <w:r>
              <w:rPr>
                <w:rFonts w:hint="default"/>
                <w:szCs w:val="22"/>
                <w:vertAlign w:val="superscript"/>
                <w:lang w:val="en-US" w:eastAsia="zh-CN"/>
              </w:rPr>
              <w:t>3</w:t>
            </w:r>
            <w:r>
              <w:rPr>
                <w:rFonts w:hint="eastAsia"/>
                <w:szCs w:val="22"/>
                <w:vertAlign w:val="baseline"/>
                <w:lang w:val="en-US" w:eastAsia="zh-CN"/>
              </w:rPr>
              <w:t>，</w:t>
            </w:r>
            <w:r>
              <w:rPr>
                <w:rFonts w:hint="default"/>
                <w:szCs w:val="22"/>
                <w:lang w:val="en-US" w:eastAsia="zh-CN"/>
              </w:rPr>
              <w:t>监控点处</w:t>
            </w:r>
            <w:r>
              <w:rPr>
                <w:rFonts w:hint="eastAsia"/>
                <w:szCs w:val="22"/>
                <w:lang w:val="en-US" w:eastAsia="zh-CN"/>
              </w:rPr>
              <w:t>1</w:t>
            </w:r>
            <w:r>
              <w:rPr>
                <w:rFonts w:hint="default"/>
                <w:szCs w:val="22"/>
                <w:lang w:val="en-US" w:eastAsia="zh-CN"/>
              </w:rPr>
              <w:t>h平均浓度值≤</w:t>
            </w:r>
            <w:r>
              <w:rPr>
                <w:rFonts w:hint="eastAsia"/>
                <w:szCs w:val="22"/>
                <w:lang w:val="en-US" w:eastAsia="zh-CN"/>
              </w:rPr>
              <w:t>6</w:t>
            </w:r>
            <w:r>
              <w:rPr>
                <w:rFonts w:hint="default"/>
                <w:szCs w:val="22"/>
                <w:lang w:val="en-US" w:eastAsia="zh-CN"/>
              </w:rPr>
              <w:t>mg/m</w:t>
            </w:r>
            <w:r>
              <w:rPr>
                <w:rFonts w:hint="default"/>
                <w:szCs w:val="22"/>
                <w:vertAlign w:val="superscript"/>
                <w:lang w:val="en-US" w:eastAsia="zh-CN"/>
              </w:rPr>
              <w:t>3</w:t>
            </w:r>
            <w:r>
              <w:rPr>
                <w:rFonts w:hint="eastAsia"/>
                <w:szCs w:val="22"/>
                <w:lang w:val="en-US" w:eastAsia="zh-CN"/>
              </w:rPr>
              <w:t>）</w:t>
            </w:r>
          </w:p>
        </w:tc>
      </w:tr>
      <w:tr w14:paraId="0A71FC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202" w:type="dxa"/>
            <w:vMerge w:val="continue"/>
            <w:noWrap w:val="0"/>
            <w:vAlign w:val="center"/>
          </w:tcPr>
          <w:p w14:paraId="1E9AFC27">
            <w:pPr>
              <w:pStyle w:val="38"/>
              <w:keepNext w:val="0"/>
              <w:keepLines w:val="0"/>
              <w:widowControl/>
              <w:suppressLineNumbers w:val="0"/>
              <w:bidi w:val="0"/>
              <w:spacing w:before="0" w:beforeAutospacing="0" w:after="0" w:afterAutospacing="0"/>
              <w:ind w:left="0" w:right="0"/>
              <w:rPr>
                <w:rFonts w:hint="default"/>
                <w:szCs w:val="22"/>
                <w:lang w:val="en-GB" w:eastAsia="zh-CN"/>
              </w:rPr>
            </w:pPr>
          </w:p>
        </w:tc>
        <w:tc>
          <w:tcPr>
            <w:tcW w:w="1477" w:type="dxa"/>
            <w:vMerge w:val="restart"/>
            <w:noWrap w:val="0"/>
            <w:vAlign w:val="center"/>
          </w:tcPr>
          <w:p w14:paraId="76BFCF53">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厂界</w:t>
            </w:r>
          </w:p>
        </w:tc>
        <w:tc>
          <w:tcPr>
            <w:tcW w:w="1459" w:type="dxa"/>
            <w:noWrap w:val="0"/>
            <w:vAlign w:val="center"/>
          </w:tcPr>
          <w:p w14:paraId="578E133A">
            <w:pPr>
              <w:pStyle w:val="38"/>
              <w:keepNext w:val="0"/>
              <w:keepLines w:val="0"/>
              <w:widowControl/>
              <w:suppressLineNumbers w:val="0"/>
              <w:bidi w:val="0"/>
              <w:spacing w:before="0" w:beforeAutospacing="0" w:after="0" w:afterAutospacing="0"/>
              <w:ind w:left="0" w:right="0"/>
              <w:rPr>
                <w:rFonts w:hint="default"/>
                <w:szCs w:val="22"/>
                <w:lang w:eastAsia="zh-CN"/>
              </w:rPr>
            </w:pPr>
            <w:r>
              <w:rPr>
                <w:rFonts w:hint="default"/>
                <w:szCs w:val="22"/>
                <w:lang w:eastAsia="zh-CN"/>
              </w:rPr>
              <w:t>颗粒物</w:t>
            </w:r>
          </w:p>
        </w:tc>
        <w:tc>
          <w:tcPr>
            <w:tcW w:w="2141" w:type="dxa"/>
            <w:vMerge w:val="restart"/>
            <w:noWrap w:val="0"/>
            <w:vAlign w:val="center"/>
          </w:tcPr>
          <w:p w14:paraId="54A94A36">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加强废气的收集及二级活性炭吸附净化装置维护保养，防止废气事故无组织排放；生产过程中门窗关闭，保持一个相对密闭的空间，合理设计送排风系统</w:t>
            </w:r>
          </w:p>
        </w:tc>
        <w:tc>
          <w:tcPr>
            <w:tcW w:w="2746" w:type="dxa"/>
            <w:noWrap w:val="0"/>
            <w:vAlign w:val="center"/>
          </w:tcPr>
          <w:p w14:paraId="78B37000">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执行</w:t>
            </w:r>
            <w:r>
              <w:rPr>
                <w:rFonts w:hint="default"/>
                <w:szCs w:val="22"/>
              </w:rPr>
              <w:t>GB16297-1996《大气污染物综合排放标准》表2无组织排放监控浓度限值</w:t>
            </w:r>
            <w:r>
              <w:rPr>
                <w:rFonts w:hint="eastAsia"/>
                <w:szCs w:val="22"/>
                <w:lang w:eastAsia="zh-CN"/>
              </w:rPr>
              <w:t>（</w:t>
            </w:r>
            <w:r>
              <w:rPr>
                <w:rFonts w:hint="eastAsia"/>
                <w:szCs w:val="22"/>
                <w:lang w:val="en-US" w:eastAsia="zh-CN"/>
              </w:rPr>
              <w:t>周界外浓度最高点颗粒物</w:t>
            </w:r>
            <w:r>
              <w:rPr>
                <w:rFonts w:hint="default"/>
                <w:szCs w:val="22"/>
                <w:lang w:val="en-US" w:eastAsia="zh-CN"/>
              </w:rPr>
              <w:t>≤</w:t>
            </w:r>
            <w:r>
              <w:rPr>
                <w:rFonts w:hint="eastAsia"/>
                <w:szCs w:val="22"/>
                <w:lang w:val="en-US" w:eastAsia="zh-CN"/>
              </w:rPr>
              <w:t>1.0</w:t>
            </w:r>
            <w:r>
              <w:rPr>
                <w:rFonts w:hint="default"/>
                <w:szCs w:val="22"/>
                <w:lang w:val="en-US" w:eastAsia="zh-CN"/>
              </w:rPr>
              <w:t>mg/m</w:t>
            </w:r>
            <w:r>
              <w:rPr>
                <w:rFonts w:hint="default"/>
                <w:szCs w:val="22"/>
                <w:vertAlign w:val="superscript"/>
                <w:lang w:val="en-US" w:eastAsia="zh-CN"/>
              </w:rPr>
              <w:t>3</w:t>
            </w:r>
            <w:r>
              <w:rPr>
                <w:rFonts w:hint="eastAsia"/>
                <w:szCs w:val="22"/>
                <w:lang w:eastAsia="zh-CN"/>
              </w:rPr>
              <w:t>）</w:t>
            </w:r>
          </w:p>
        </w:tc>
      </w:tr>
      <w:tr w14:paraId="62ADA2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202" w:type="dxa"/>
            <w:vMerge w:val="continue"/>
            <w:noWrap w:val="0"/>
            <w:vAlign w:val="center"/>
          </w:tcPr>
          <w:p w14:paraId="19B00585">
            <w:pPr>
              <w:pStyle w:val="38"/>
              <w:keepNext w:val="0"/>
              <w:keepLines w:val="0"/>
              <w:widowControl/>
              <w:suppressLineNumbers w:val="0"/>
              <w:bidi w:val="0"/>
              <w:spacing w:before="0" w:beforeAutospacing="0" w:after="0" w:afterAutospacing="0"/>
              <w:ind w:left="0" w:right="0"/>
              <w:rPr>
                <w:rFonts w:hint="default"/>
                <w:szCs w:val="22"/>
                <w:lang w:val="en-GB" w:eastAsia="zh-CN"/>
              </w:rPr>
            </w:pPr>
          </w:p>
        </w:tc>
        <w:tc>
          <w:tcPr>
            <w:tcW w:w="1477" w:type="dxa"/>
            <w:vMerge w:val="continue"/>
            <w:noWrap w:val="0"/>
            <w:vAlign w:val="center"/>
          </w:tcPr>
          <w:p w14:paraId="23E45663">
            <w:pPr>
              <w:pStyle w:val="38"/>
              <w:keepNext w:val="0"/>
              <w:keepLines w:val="0"/>
              <w:widowControl/>
              <w:suppressLineNumbers w:val="0"/>
              <w:bidi w:val="0"/>
              <w:spacing w:before="0" w:beforeAutospacing="0" w:after="0" w:afterAutospacing="0"/>
              <w:ind w:left="0" w:right="0"/>
              <w:rPr>
                <w:rFonts w:hint="default"/>
                <w:szCs w:val="22"/>
                <w:lang w:val="en-US" w:eastAsia="zh-CN"/>
              </w:rPr>
            </w:pPr>
          </w:p>
        </w:tc>
        <w:tc>
          <w:tcPr>
            <w:tcW w:w="1459" w:type="dxa"/>
            <w:noWrap w:val="0"/>
            <w:vAlign w:val="center"/>
          </w:tcPr>
          <w:p w14:paraId="6C124E8D">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非甲烷总烃</w:t>
            </w:r>
          </w:p>
        </w:tc>
        <w:tc>
          <w:tcPr>
            <w:tcW w:w="2141" w:type="dxa"/>
            <w:vMerge w:val="continue"/>
            <w:noWrap w:val="0"/>
            <w:vAlign w:val="center"/>
          </w:tcPr>
          <w:p w14:paraId="2F7EE4C6">
            <w:pPr>
              <w:pStyle w:val="38"/>
              <w:keepNext w:val="0"/>
              <w:keepLines w:val="0"/>
              <w:widowControl/>
              <w:suppressLineNumbers w:val="0"/>
              <w:bidi w:val="0"/>
              <w:spacing w:before="0" w:beforeAutospacing="0" w:after="0" w:afterAutospacing="0"/>
              <w:ind w:left="0" w:right="0"/>
              <w:rPr>
                <w:rFonts w:hint="default"/>
                <w:szCs w:val="22"/>
                <w:lang w:eastAsia="zh-CN"/>
              </w:rPr>
            </w:pPr>
          </w:p>
        </w:tc>
        <w:tc>
          <w:tcPr>
            <w:tcW w:w="2746" w:type="dxa"/>
            <w:noWrap w:val="0"/>
            <w:vAlign w:val="center"/>
          </w:tcPr>
          <w:p w14:paraId="74CFC7F0">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执行</w:t>
            </w:r>
            <w:r>
              <w:rPr>
                <w:rFonts w:hint="eastAsia"/>
                <w:szCs w:val="22"/>
              </w:rPr>
              <w:t>《工业涂装工序挥发性有机物排放标准》（DB35/1783-2018）表4</w:t>
            </w:r>
            <w:r>
              <w:rPr>
                <w:rFonts w:hint="eastAsia"/>
                <w:szCs w:val="22"/>
                <w:lang w:val="en-US" w:eastAsia="zh-CN"/>
              </w:rPr>
              <w:t>标准限值要求（</w:t>
            </w:r>
            <w:r>
              <w:rPr>
                <w:rFonts w:hint="default"/>
                <w:szCs w:val="22"/>
                <w:lang w:val="en-US" w:eastAsia="zh-CN"/>
              </w:rPr>
              <w:t>非甲烷总烃≤</w:t>
            </w:r>
            <w:r>
              <w:rPr>
                <w:rFonts w:hint="eastAsia"/>
                <w:szCs w:val="22"/>
                <w:lang w:val="en-US" w:eastAsia="zh-CN"/>
              </w:rPr>
              <w:t>2.0</w:t>
            </w:r>
            <w:r>
              <w:rPr>
                <w:rFonts w:hint="default"/>
                <w:szCs w:val="22"/>
                <w:lang w:val="en-US" w:eastAsia="zh-CN"/>
              </w:rPr>
              <w:t>mg/m</w:t>
            </w:r>
            <w:r>
              <w:rPr>
                <w:rFonts w:hint="default"/>
                <w:szCs w:val="22"/>
                <w:vertAlign w:val="superscript"/>
                <w:lang w:val="en-US" w:eastAsia="zh-CN"/>
              </w:rPr>
              <w:t>3</w:t>
            </w:r>
            <w:r>
              <w:rPr>
                <w:rFonts w:hint="eastAsia"/>
                <w:szCs w:val="22"/>
                <w:lang w:val="en-US" w:eastAsia="zh-CN"/>
              </w:rPr>
              <w:t>）</w:t>
            </w:r>
          </w:p>
        </w:tc>
      </w:tr>
      <w:tr w14:paraId="5D04A7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restart"/>
            <w:noWrap w:val="0"/>
            <w:vAlign w:val="center"/>
          </w:tcPr>
          <w:p w14:paraId="294645B2">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地表水</w:t>
            </w:r>
          </w:p>
          <w:p w14:paraId="2B5909A9">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环境</w:t>
            </w:r>
          </w:p>
        </w:tc>
        <w:tc>
          <w:tcPr>
            <w:tcW w:w="1477" w:type="dxa"/>
            <w:noWrap w:val="0"/>
            <w:vAlign w:val="center"/>
          </w:tcPr>
          <w:p w14:paraId="1B8CB9B7">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生活</w:t>
            </w:r>
            <w:r>
              <w:rPr>
                <w:rFonts w:hint="eastAsia"/>
                <w:szCs w:val="22"/>
                <w:lang w:val="en-US" w:eastAsia="zh-CN"/>
              </w:rPr>
              <w:t>污水排放口（DW001）</w:t>
            </w:r>
          </w:p>
        </w:tc>
        <w:tc>
          <w:tcPr>
            <w:tcW w:w="1459" w:type="dxa"/>
            <w:noWrap w:val="0"/>
            <w:vAlign w:val="center"/>
          </w:tcPr>
          <w:p w14:paraId="0674B02D">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eastAsia"/>
                <w:szCs w:val="22"/>
                <w:lang w:val="en-US" w:eastAsia="zh-CN"/>
              </w:rPr>
              <w:t>pH、</w:t>
            </w:r>
            <w:r>
              <w:rPr>
                <w:rFonts w:hint="default"/>
                <w:szCs w:val="22"/>
              </w:rPr>
              <w:t>COD、BOD</w:t>
            </w:r>
            <w:r>
              <w:rPr>
                <w:rFonts w:hint="default"/>
                <w:szCs w:val="22"/>
                <w:vertAlign w:val="subscript"/>
              </w:rPr>
              <w:t>5</w:t>
            </w:r>
            <w:r>
              <w:rPr>
                <w:rFonts w:hint="default"/>
                <w:szCs w:val="22"/>
              </w:rPr>
              <w:t>、SS、NH</w:t>
            </w:r>
            <w:r>
              <w:rPr>
                <w:rFonts w:hint="default"/>
                <w:szCs w:val="22"/>
                <w:vertAlign w:val="subscript"/>
              </w:rPr>
              <w:t>3</w:t>
            </w:r>
            <w:r>
              <w:rPr>
                <w:rFonts w:hint="default"/>
                <w:szCs w:val="22"/>
              </w:rPr>
              <w:t>-N</w:t>
            </w:r>
          </w:p>
        </w:tc>
        <w:tc>
          <w:tcPr>
            <w:tcW w:w="2141" w:type="dxa"/>
            <w:noWrap w:val="0"/>
            <w:vAlign w:val="center"/>
          </w:tcPr>
          <w:p w14:paraId="366B7AC4">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生活污水</w:t>
            </w:r>
            <w:r>
              <w:rPr>
                <w:rFonts w:hint="eastAsia"/>
                <w:szCs w:val="22"/>
              </w:rPr>
              <w:t>依托</w:t>
            </w:r>
            <w:r>
              <w:rPr>
                <w:rFonts w:hint="eastAsia"/>
                <w:szCs w:val="22"/>
                <w:lang w:val="en-US" w:eastAsia="zh-CN"/>
              </w:rPr>
              <w:t>出租方</w:t>
            </w:r>
            <w:r>
              <w:rPr>
                <w:rFonts w:hint="eastAsia"/>
                <w:szCs w:val="22"/>
              </w:rPr>
              <w:t>已建的化粪池预处理达标后接入</w:t>
            </w:r>
            <w:r>
              <w:rPr>
                <w:rFonts w:hint="eastAsia"/>
                <w:szCs w:val="22"/>
                <w:lang w:eastAsia="zh-CN"/>
              </w:rPr>
              <w:t>市政污水管网</w:t>
            </w:r>
            <w:r>
              <w:rPr>
                <w:rFonts w:hint="eastAsia"/>
                <w:szCs w:val="22"/>
              </w:rPr>
              <w:t>，最终排入福清市融元污水处理厂处理</w:t>
            </w:r>
          </w:p>
        </w:tc>
        <w:tc>
          <w:tcPr>
            <w:tcW w:w="2746" w:type="dxa"/>
            <w:noWrap w:val="0"/>
            <w:vAlign w:val="center"/>
          </w:tcPr>
          <w:p w14:paraId="1EA246A5">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eastAsia="zh-CN"/>
              </w:rPr>
              <w:t>生活污水执行</w:t>
            </w:r>
            <w:r>
              <w:rPr>
                <w:rFonts w:hint="default"/>
                <w:szCs w:val="22"/>
                <w:lang w:val="en-US" w:eastAsia="zh-CN"/>
              </w:rPr>
              <w:t>《污水综合排放标准》（GB8978-1996）表4中三级标准（其中氨氮执行</w:t>
            </w:r>
            <w:r>
              <w:rPr>
                <w:rFonts w:hint="default"/>
                <w:szCs w:val="22"/>
              </w:rPr>
              <w:t>《污水排入城镇下水道水质标准》（GB/T31962-2015）表1中B级标准</w:t>
            </w:r>
            <w:r>
              <w:rPr>
                <w:rFonts w:hint="default"/>
                <w:szCs w:val="22"/>
                <w:lang w:eastAsia="zh-CN"/>
              </w:rPr>
              <w:t>限值</w:t>
            </w:r>
            <w:r>
              <w:rPr>
                <w:rFonts w:hint="default"/>
                <w:szCs w:val="22"/>
                <w:lang w:val="en-US" w:eastAsia="zh-CN"/>
              </w:rPr>
              <w:t>）</w:t>
            </w:r>
            <w:r>
              <w:rPr>
                <w:rFonts w:hint="eastAsia"/>
                <w:szCs w:val="22"/>
                <w:lang w:val="en-US" w:eastAsia="zh-CN"/>
              </w:rPr>
              <w:t>（</w:t>
            </w:r>
            <w:r>
              <w:rPr>
                <w:rFonts w:hint="eastAsia"/>
                <w:szCs w:val="22"/>
              </w:rPr>
              <w:t>pH6～9</w:t>
            </w:r>
            <w:r>
              <w:rPr>
                <w:rFonts w:hint="eastAsia"/>
                <w:szCs w:val="22"/>
                <w:lang w:eastAsia="zh-CN"/>
              </w:rPr>
              <w:t>（</w:t>
            </w:r>
            <w:r>
              <w:rPr>
                <w:rFonts w:hint="eastAsia"/>
                <w:szCs w:val="22"/>
              </w:rPr>
              <w:t>无量纲</w:t>
            </w:r>
            <w:r>
              <w:rPr>
                <w:rFonts w:hint="eastAsia"/>
                <w:szCs w:val="22"/>
                <w:lang w:eastAsia="zh-CN"/>
              </w:rPr>
              <w:t>）</w:t>
            </w:r>
            <w:r>
              <w:rPr>
                <w:rFonts w:hint="eastAsia"/>
                <w:szCs w:val="22"/>
              </w:rPr>
              <w:t xml:space="preserve"> </w:t>
            </w:r>
            <w:r>
              <w:rPr>
                <w:rFonts w:hint="eastAsia"/>
                <w:szCs w:val="22"/>
                <w:lang w:eastAsia="zh-CN"/>
              </w:rPr>
              <w:t>，</w:t>
            </w:r>
            <w:r>
              <w:rPr>
                <w:rFonts w:hint="default"/>
                <w:szCs w:val="22"/>
              </w:rPr>
              <w:t>COD≤</w:t>
            </w:r>
            <w:r>
              <w:rPr>
                <w:rFonts w:hint="eastAsia"/>
                <w:szCs w:val="22"/>
                <w:lang w:val="en-US" w:eastAsia="zh-CN"/>
              </w:rPr>
              <w:t>500mg/L，</w:t>
            </w:r>
            <w:r>
              <w:rPr>
                <w:rFonts w:hint="default"/>
                <w:szCs w:val="22"/>
              </w:rPr>
              <w:t>BOD</w:t>
            </w:r>
            <w:r>
              <w:rPr>
                <w:rFonts w:hint="default"/>
                <w:szCs w:val="22"/>
                <w:vertAlign w:val="subscript"/>
              </w:rPr>
              <w:t>5</w:t>
            </w:r>
            <w:r>
              <w:rPr>
                <w:rFonts w:hint="default"/>
                <w:szCs w:val="22"/>
              </w:rPr>
              <w:t>≤</w:t>
            </w:r>
            <w:r>
              <w:rPr>
                <w:rFonts w:hint="eastAsia"/>
                <w:szCs w:val="22"/>
                <w:lang w:val="en-US" w:eastAsia="zh-CN"/>
              </w:rPr>
              <w:t>300mg/L，</w:t>
            </w:r>
            <w:r>
              <w:rPr>
                <w:rFonts w:hint="default"/>
                <w:szCs w:val="22"/>
              </w:rPr>
              <w:t>SS≤</w:t>
            </w:r>
            <w:r>
              <w:rPr>
                <w:rFonts w:hint="eastAsia"/>
                <w:szCs w:val="22"/>
                <w:lang w:val="en-US" w:eastAsia="zh-CN"/>
              </w:rPr>
              <w:t>400mg/L，</w:t>
            </w:r>
            <w:r>
              <w:rPr>
                <w:rFonts w:hint="default"/>
                <w:szCs w:val="22"/>
              </w:rPr>
              <w:t>NH</w:t>
            </w:r>
            <w:r>
              <w:rPr>
                <w:rFonts w:hint="default"/>
                <w:szCs w:val="22"/>
                <w:vertAlign w:val="subscript"/>
              </w:rPr>
              <w:t>3</w:t>
            </w:r>
            <w:r>
              <w:rPr>
                <w:rFonts w:hint="default"/>
                <w:szCs w:val="22"/>
              </w:rPr>
              <w:t>-N≤</w:t>
            </w:r>
            <w:r>
              <w:rPr>
                <w:rFonts w:hint="eastAsia"/>
                <w:szCs w:val="22"/>
                <w:lang w:val="en-US" w:eastAsia="zh-CN"/>
              </w:rPr>
              <w:t>45mg/L）</w:t>
            </w:r>
          </w:p>
        </w:tc>
      </w:tr>
      <w:tr w14:paraId="7E8895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continue"/>
            <w:noWrap w:val="0"/>
            <w:vAlign w:val="center"/>
          </w:tcPr>
          <w:p w14:paraId="533F324A">
            <w:pPr>
              <w:pStyle w:val="38"/>
              <w:keepNext w:val="0"/>
              <w:keepLines w:val="0"/>
              <w:widowControl/>
              <w:suppressLineNumbers w:val="0"/>
              <w:bidi w:val="0"/>
              <w:spacing w:before="0" w:beforeAutospacing="0" w:after="0" w:afterAutospacing="0"/>
              <w:ind w:left="0" w:right="0"/>
              <w:rPr>
                <w:rFonts w:hint="default"/>
                <w:szCs w:val="22"/>
                <w:lang w:val="en-GB" w:eastAsia="zh-CN"/>
              </w:rPr>
            </w:pPr>
          </w:p>
        </w:tc>
        <w:tc>
          <w:tcPr>
            <w:tcW w:w="1477" w:type="dxa"/>
            <w:noWrap w:val="0"/>
            <w:vAlign w:val="center"/>
          </w:tcPr>
          <w:p w14:paraId="59C1C24B">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生产废水</w:t>
            </w:r>
          </w:p>
        </w:tc>
        <w:tc>
          <w:tcPr>
            <w:tcW w:w="1459" w:type="dxa"/>
            <w:noWrap w:val="0"/>
            <w:vAlign w:val="center"/>
          </w:tcPr>
          <w:p w14:paraId="364C5A03">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val="en-US" w:eastAsia="zh-CN"/>
              </w:rPr>
              <w:t>/</w:t>
            </w:r>
          </w:p>
        </w:tc>
        <w:tc>
          <w:tcPr>
            <w:tcW w:w="2141" w:type="dxa"/>
            <w:noWrap w:val="0"/>
            <w:vAlign w:val="center"/>
          </w:tcPr>
          <w:p w14:paraId="2A6B9F91">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rPr>
              <w:t>水帘喷漆</w:t>
            </w:r>
            <w:r>
              <w:rPr>
                <w:rFonts w:hint="eastAsia"/>
                <w:szCs w:val="22"/>
                <w:lang w:eastAsia="zh-CN"/>
              </w:rPr>
              <w:t>用水</w:t>
            </w:r>
            <w:r>
              <w:rPr>
                <w:rFonts w:hint="default"/>
                <w:szCs w:val="22"/>
              </w:rPr>
              <w:t>循环使用</w:t>
            </w:r>
            <w:r>
              <w:rPr>
                <w:rFonts w:hint="default"/>
                <w:szCs w:val="22"/>
                <w:lang w:eastAsia="zh-CN"/>
              </w:rPr>
              <w:t>，</w:t>
            </w:r>
            <w:r>
              <w:rPr>
                <w:rFonts w:hint="eastAsia"/>
                <w:szCs w:val="22"/>
                <w:lang w:eastAsia="zh-CN"/>
              </w:rPr>
              <w:t>定期捞漆渣，喷漆废水不属于危险废物，但为了控制生产过程中可能发生的环境风险，</w:t>
            </w:r>
            <w:r>
              <w:rPr>
                <w:rFonts w:hint="default"/>
                <w:szCs w:val="22"/>
                <w:lang w:eastAsia="zh-CN"/>
              </w:rPr>
              <w:t>待浓度过高时按危废委托有资质的</w:t>
            </w:r>
            <w:r>
              <w:rPr>
                <w:rFonts w:hint="eastAsia"/>
                <w:szCs w:val="22"/>
                <w:lang w:eastAsia="zh-CN"/>
              </w:rPr>
              <w:t>危废处置</w:t>
            </w:r>
            <w:r>
              <w:rPr>
                <w:rFonts w:hint="default"/>
                <w:szCs w:val="22"/>
                <w:lang w:eastAsia="zh-CN"/>
              </w:rPr>
              <w:t>单位处置</w:t>
            </w:r>
          </w:p>
        </w:tc>
        <w:tc>
          <w:tcPr>
            <w:tcW w:w="2746" w:type="dxa"/>
            <w:noWrap w:val="0"/>
            <w:vAlign w:val="center"/>
          </w:tcPr>
          <w:p w14:paraId="0CC3034E">
            <w:pPr>
              <w:pStyle w:val="38"/>
              <w:keepNext w:val="0"/>
              <w:keepLines w:val="0"/>
              <w:widowControl/>
              <w:suppressLineNumbers w:val="0"/>
              <w:bidi w:val="0"/>
              <w:spacing w:before="0" w:beforeAutospacing="0" w:after="0" w:afterAutospacing="0"/>
              <w:ind w:left="0" w:right="0"/>
              <w:rPr>
                <w:rFonts w:hint="default"/>
                <w:szCs w:val="22"/>
                <w:lang w:eastAsia="zh-CN"/>
              </w:rPr>
            </w:pPr>
            <w:r>
              <w:rPr>
                <w:rFonts w:hint="eastAsia"/>
                <w:szCs w:val="22"/>
                <w:lang w:val="en-US" w:eastAsia="zh-CN"/>
              </w:rPr>
              <w:t>验收落实</w:t>
            </w:r>
          </w:p>
        </w:tc>
      </w:tr>
      <w:tr w14:paraId="28CF50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noWrap w:val="0"/>
            <w:vAlign w:val="center"/>
          </w:tcPr>
          <w:p w14:paraId="04386240">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声环境</w:t>
            </w:r>
          </w:p>
        </w:tc>
        <w:tc>
          <w:tcPr>
            <w:tcW w:w="1477" w:type="dxa"/>
            <w:noWrap w:val="0"/>
            <w:vAlign w:val="center"/>
          </w:tcPr>
          <w:p w14:paraId="20B2385E">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厂界四周</w:t>
            </w:r>
          </w:p>
        </w:tc>
        <w:tc>
          <w:tcPr>
            <w:tcW w:w="1459" w:type="dxa"/>
            <w:noWrap w:val="0"/>
            <w:vAlign w:val="center"/>
          </w:tcPr>
          <w:p w14:paraId="74DA9079">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等效A声级</w:t>
            </w:r>
          </w:p>
        </w:tc>
        <w:tc>
          <w:tcPr>
            <w:tcW w:w="2141" w:type="dxa"/>
            <w:noWrap w:val="0"/>
            <w:vAlign w:val="center"/>
          </w:tcPr>
          <w:p w14:paraId="101D3690">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选用低噪声设备，加强设备维护，高噪声设备设置基础减振、隔声等措施</w:t>
            </w:r>
          </w:p>
        </w:tc>
        <w:tc>
          <w:tcPr>
            <w:tcW w:w="2746" w:type="dxa"/>
            <w:noWrap w:val="0"/>
            <w:vAlign w:val="center"/>
          </w:tcPr>
          <w:p w14:paraId="08E48BD1">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满足《工业企业厂界环境噪声排放标准》</w:t>
            </w:r>
            <w:r>
              <w:rPr>
                <w:rFonts w:hint="eastAsia"/>
                <w:szCs w:val="22"/>
                <w:lang w:val="en-GB" w:eastAsia="zh-CN"/>
              </w:rPr>
              <w:t>（</w:t>
            </w:r>
            <w:r>
              <w:rPr>
                <w:rFonts w:hint="default"/>
                <w:szCs w:val="22"/>
                <w:lang w:val="en-GB" w:eastAsia="zh-CN"/>
              </w:rPr>
              <w:t>GB12348-2008</w:t>
            </w:r>
            <w:r>
              <w:rPr>
                <w:rFonts w:hint="eastAsia"/>
                <w:szCs w:val="22"/>
                <w:lang w:val="en-GB" w:eastAsia="zh-CN"/>
              </w:rPr>
              <w:t>）</w:t>
            </w:r>
            <w:r>
              <w:rPr>
                <w:rFonts w:hint="default"/>
                <w:szCs w:val="22"/>
                <w:lang w:val="en-GB" w:eastAsia="zh-CN"/>
              </w:rPr>
              <w:t>中</w:t>
            </w:r>
            <w:r>
              <w:rPr>
                <w:rFonts w:hint="eastAsia"/>
                <w:szCs w:val="22"/>
                <w:lang w:val="en-US" w:eastAsia="zh-CN"/>
              </w:rPr>
              <w:t>3</w:t>
            </w:r>
            <w:r>
              <w:rPr>
                <w:rFonts w:hint="default"/>
                <w:szCs w:val="22"/>
                <w:lang w:val="en-US" w:eastAsia="zh-CN"/>
              </w:rPr>
              <w:t>类标准</w:t>
            </w:r>
            <w:r>
              <w:rPr>
                <w:rFonts w:hint="eastAsia"/>
                <w:szCs w:val="22"/>
                <w:lang w:val="en-GB" w:eastAsia="zh-CN"/>
              </w:rPr>
              <w:t>（</w:t>
            </w:r>
            <w:r>
              <w:rPr>
                <w:rFonts w:hint="default"/>
                <w:szCs w:val="22"/>
                <w:lang w:val="en-GB" w:eastAsia="zh-CN"/>
              </w:rPr>
              <w:t>昼间</w:t>
            </w:r>
            <w:r>
              <w:rPr>
                <w:rFonts w:hint="eastAsia"/>
                <w:szCs w:val="22"/>
                <w:lang w:val="en-US" w:eastAsia="zh-CN"/>
              </w:rPr>
              <w:t>噪声</w:t>
            </w:r>
            <w:r>
              <w:rPr>
                <w:rFonts w:hint="default"/>
                <w:szCs w:val="22"/>
                <w:lang w:val="en-GB" w:eastAsia="zh-CN"/>
              </w:rPr>
              <w:t>≤</w:t>
            </w:r>
            <w:r>
              <w:rPr>
                <w:rFonts w:hint="default"/>
                <w:szCs w:val="22"/>
                <w:lang w:val="en-US" w:eastAsia="zh-CN"/>
              </w:rPr>
              <w:t>6</w:t>
            </w:r>
            <w:r>
              <w:rPr>
                <w:rFonts w:hint="eastAsia"/>
                <w:szCs w:val="22"/>
                <w:lang w:val="en-US" w:eastAsia="zh-CN"/>
              </w:rPr>
              <w:t>5</w:t>
            </w:r>
            <w:r>
              <w:rPr>
                <w:rFonts w:hint="default"/>
                <w:szCs w:val="22"/>
                <w:lang w:val="en-GB" w:eastAsia="zh-CN"/>
              </w:rPr>
              <w:t>dB</w:t>
            </w:r>
            <w:r>
              <w:rPr>
                <w:rFonts w:hint="eastAsia"/>
                <w:szCs w:val="22"/>
                <w:lang w:val="en-GB" w:eastAsia="zh-CN"/>
              </w:rPr>
              <w:t>（</w:t>
            </w:r>
            <w:r>
              <w:rPr>
                <w:rFonts w:hint="default"/>
                <w:szCs w:val="22"/>
                <w:lang w:val="en-GB" w:eastAsia="zh-CN"/>
              </w:rPr>
              <w:t>A</w:t>
            </w:r>
            <w:r>
              <w:rPr>
                <w:rFonts w:hint="eastAsia"/>
                <w:szCs w:val="22"/>
                <w:lang w:val="en-GB" w:eastAsia="zh-CN"/>
              </w:rPr>
              <w:t>），</w:t>
            </w:r>
            <w:r>
              <w:rPr>
                <w:rFonts w:hint="eastAsia"/>
                <w:szCs w:val="22"/>
                <w:lang w:val="en-US" w:eastAsia="zh-CN"/>
              </w:rPr>
              <w:t>夜间噪声</w:t>
            </w:r>
            <w:r>
              <w:rPr>
                <w:rFonts w:hint="default"/>
                <w:szCs w:val="22"/>
                <w:lang w:val="en-GB" w:eastAsia="zh-CN"/>
              </w:rPr>
              <w:t>≤</w:t>
            </w:r>
            <w:r>
              <w:rPr>
                <w:rFonts w:hint="eastAsia"/>
                <w:szCs w:val="22"/>
                <w:lang w:val="en-US" w:eastAsia="zh-CN"/>
              </w:rPr>
              <w:t>55</w:t>
            </w:r>
            <w:r>
              <w:rPr>
                <w:rFonts w:hint="default"/>
                <w:szCs w:val="22"/>
                <w:lang w:val="en-GB" w:eastAsia="zh-CN"/>
              </w:rPr>
              <w:t>dB</w:t>
            </w:r>
            <w:r>
              <w:rPr>
                <w:rFonts w:hint="eastAsia"/>
                <w:szCs w:val="22"/>
                <w:lang w:val="en-GB" w:eastAsia="zh-CN"/>
              </w:rPr>
              <w:t>（</w:t>
            </w:r>
            <w:r>
              <w:rPr>
                <w:rFonts w:hint="default"/>
                <w:szCs w:val="22"/>
                <w:lang w:val="en-GB" w:eastAsia="zh-CN"/>
              </w:rPr>
              <w:t>A</w:t>
            </w:r>
            <w:r>
              <w:rPr>
                <w:rFonts w:hint="eastAsia"/>
                <w:szCs w:val="22"/>
                <w:lang w:val="en-GB" w:eastAsia="zh-CN"/>
              </w:rPr>
              <w:t>））</w:t>
            </w:r>
          </w:p>
        </w:tc>
      </w:tr>
      <w:tr w14:paraId="34CBAD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noWrap w:val="0"/>
            <w:vAlign w:val="center"/>
          </w:tcPr>
          <w:p w14:paraId="59D436E1">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电磁</w:t>
            </w:r>
          </w:p>
          <w:p w14:paraId="5452BBB9">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辐射</w:t>
            </w:r>
          </w:p>
        </w:tc>
        <w:tc>
          <w:tcPr>
            <w:tcW w:w="1477" w:type="dxa"/>
            <w:noWrap w:val="0"/>
            <w:vAlign w:val="center"/>
          </w:tcPr>
          <w:p w14:paraId="35C99C4E">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GB" w:eastAsia="zh-CN"/>
              </w:rPr>
              <w:t>/</w:t>
            </w:r>
          </w:p>
        </w:tc>
        <w:tc>
          <w:tcPr>
            <w:tcW w:w="1459" w:type="dxa"/>
            <w:noWrap w:val="0"/>
            <w:vAlign w:val="center"/>
          </w:tcPr>
          <w:p w14:paraId="0D3D20F6">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GB" w:eastAsia="zh-CN"/>
              </w:rPr>
              <w:t>/</w:t>
            </w:r>
          </w:p>
        </w:tc>
        <w:tc>
          <w:tcPr>
            <w:tcW w:w="2141" w:type="dxa"/>
            <w:noWrap w:val="0"/>
            <w:vAlign w:val="center"/>
          </w:tcPr>
          <w:p w14:paraId="1BF1D9B3">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GB" w:eastAsia="zh-CN"/>
              </w:rPr>
              <w:t>/</w:t>
            </w:r>
          </w:p>
        </w:tc>
        <w:tc>
          <w:tcPr>
            <w:tcW w:w="2746" w:type="dxa"/>
            <w:noWrap w:val="0"/>
            <w:vAlign w:val="center"/>
          </w:tcPr>
          <w:p w14:paraId="3E23120E">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GB" w:eastAsia="zh-CN"/>
              </w:rPr>
              <w:t>/</w:t>
            </w:r>
          </w:p>
        </w:tc>
      </w:tr>
      <w:tr w14:paraId="060BFE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restart"/>
            <w:noWrap w:val="0"/>
            <w:vAlign w:val="center"/>
          </w:tcPr>
          <w:p w14:paraId="66CAB060">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固体</w:t>
            </w:r>
          </w:p>
          <w:p w14:paraId="68AFE063">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废物</w:t>
            </w:r>
          </w:p>
        </w:tc>
        <w:tc>
          <w:tcPr>
            <w:tcW w:w="1477" w:type="dxa"/>
            <w:noWrap w:val="0"/>
            <w:vAlign w:val="center"/>
          </w:tcPr>
          <w:p w14:paraId="3363198F">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US" w:eastAsia="zh-CN"/>
              </w:rPr>
              <w:t>一般工业固废</w:t>
            </w:r>
          </w:p>
        </w:tc>
        <w:tc>
          <w:tcPr>
            <w:tcW w:w="1459" w:type="dxa"/>
            <w:noWrap w:val="0"/>
            <w:vAlign w:val="center"/>
          </w:tcPr>
          <w:p w14:paraId="68D02C79">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US" w:eastAsia="zh-CN"/>
              </w:rPr>
              <w:t>不合格</w:t>
            </w:r>
            <w:r>
              <w:rPr>
                <w:rFonts w:hint="eastAsia"/>
                <w:szCs w:val="22"/>
                <w:lang w:val="en-US" w:eastAsia="zh-CN"/>
              </w:rPr>
              <w:t>产</w:t>
            </w:r>
            <w:r>
              <w:rPr>
                <w:rFonts w:hint="default"/>
                <w:szCs w:val="22"/>
                <w:lang w:val="en-US" w:eastAsia="zh-CN"/>
              </w:rPr>
              <w:t>品</w:t>
            </w:r>
          </w:p>
        </w:tc>
        <w:tc>
          <w:tcPr>
            <w:tcW w:w="2141" w:type="dxa"/>
            <w:noWrap w:val="0"/>
            <w:vAlign w:val="center"/>
          </w:tcPr>
          <w:p w14:paraId="3B4A36EF">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GB" w:eastAsia="zh-CN"/>
              </w:rPr>
              <w:t>设置一般工业固废暂存</w:t>
            </w:r>
            <w:r>
              <w:rPr>
                <w:rFonts w:hint="eastAsia"/>
                <w:szCs w:val="22"/>
                <w:lang w:val="en-US" w:eastAsia="zh-CN"/>
              </w:rPr>
              <w:t>区</w:t>
            </w:r>
            <w:r>
              <w:rPr>
                <w:rFonts w:hint="default"/>
                <w:szCs w:val="22"/>
                <w:lang w:val="en-GB" w:eastAsia="zh-CN"/>
              </w:rPr>
              <w:t>，</w:t>
            </w:r>
            <w:r>
              <w:rPr>
                <w:rFonts w:hint="eastAsia"/>
                <w:szCs w:val="22"/>
                <w:lang w:val="en-US" w:eastAsia="zh-CN"/>
              </w:rPr>
              <w:t>不合格产品暂存后退回待加工厂综合利用</w:t>
            </w:r>
          </w:p>
        </w:tc>
        <w:tc>
          <w:tcPr>
            <w:tcW w:w="2746" w:type="dxa"/>
            <w:noWrap w:val="0"/>
            <w:vAlign w:val="center"/>
          </w:tcPr>
          <w:p w14:paraId="7263717E">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一般工业固体废物的临时贮存和管理执行《一般工业固体废物贮存和填埋污染控制标准》（GB18599-2020）中的相关规定</w:t>
            </w:r>
          </w:p>
        </w:tc>
      </w:tr>
      <w:tr w14:paraId="44852E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continue"/>
            <w:noWrap w:val="0"/>
            <w:vAlign w:val="center"/>
          </w:tcPr>
          <w:p w14:paraId="4B528805">
            <w:pPr>
              <w:pStyle w:val="38"/>
              <w:keepNext w:val="0"/>
              <w:keepLines w:val="0"/>
              <w:widowControl/>
              <w:suppressLineNumbers w:val="0"/>
              <w:bidi w:val="0"/>
              <w:spacing w:before="0" w:beforeAutospacing="0" w:after="0" w:afterAutospacing="0"/>
              <w:ind w:left="0" w:right="0"/>
              <w:rPr>
                <w:rFonts w:hint="default"/>
                <w:szCs w:val="22"/>
                <w:lang w:val="en-GB" w:eastAsia="zh-CN"/>
              </w:rPr>
            </w:pPr>
          </w:p>
        </w:tc>
        <w:tc>
          <w:tcPr>
            <w:tcW w:w="1477" w:type="dxa"/>
            <w:vMerge w:val="restart"/>
            <w:noWrap w:val="0"/>
            <w:vAlign w:val="center"/>
          </w:tcPr>
          <w:p w14:paraId="6BA1CB11">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US" w:eastAsia="zh-CN"/>
              </w:rPr>
              <w:t>危险废物</w:t>
            </w:r>
          </w:p>
        </w:tc>
        <w:tc>
          <w:tcPr>
            <w:tcW w:w="1459" w:type="dxa"/>
            <w:noWrap w:val="0"/>
            <w:vAlign w:val="center"/>
          </w:tcPr>
          <w:p w14:paraId="750C4471">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US" w:eastAsia="zh-CN"/>
              </w:rPr>
              <w:t>废活性炭</w:t>
            </w:r>
          </w:p>
        </w:tc>
        <w:tc>
          <w:tcPr>
            <w:tcW w:w="2141" w:type="dxa"/>
            <w:vMerge w:val="restart"/>
            <w:noWrap w:val="0"/>
            <w:vAlign w:val="center"/>
          </w:tcPr>
          <w:p w14:paraId="5BAD6C9D">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设置</w:t>
            </w:r>
            <w:r>
              <w:rPr>
                <w:rFonts w:hint="eastAsia"/>
                <w:szCs w:val="22"/>
                <w:lang w:val="en-GB" w:eastAsia="zh-CN"/>
              </w:rPr>
              <w:t>危废贮存库</w:t>
            </w:r>
            <w:r>
              <w:rPr>
                <w:rFonts w:hint="default"/>
                <w:szCs w:val="22"/>
                <w:lang w:val="en-GB" w:eastAsia="zh-CN"/>
              </w:rPr>
              <w:t>，妥善分类收集</w:t>
            </w:r>
            <w:r>
              <w:rPr>
                <w:rFonts w:hint="eastAsia"/>
                <w:szCs w:val="22"/>
                <w:lang w:val="en-US" w:eastAsia="zh-CN"/>
              </w:rPr>
              <w:t>暂存后</w:t>
            </w:r>
            <w:r>
              <w:rPr>
                <w:rFonts w:hint="default"/>
                <w:szCs w:val="22"/>
                <w:lang w:val="en-GB" w:eastAsia="zh-CN"/>
              </w:rPr>
              <w:t>定期委托有资质的单位进行处置</w:t>
            </w:r>
          </w:p>
        </w:tc>
        <w:tc>
          <w:tcPr>
            <w:tcW w:w="2746" w:type="dxa"/>
            <w:vMerge w:val="restart"/>
            <w:noWrap w:val="0"/>
            <w:vAlign w:val="center"/>
          </w:tcPr>
          <w:p w14:paraId="301759DD">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危险废物</w:t>
            </w:r>
            <w:r>
              <w:rPr>
                <w:rFonts w:hint="default"/>
                <w:szCs w:val="22"/>
                <w:lang w:val="en-GB" w:eastAsia="zh-CN"/>
              </w:rPr>
              <w:t>的临时贮存和管理执行</w:t>
            </w:r>
            <w:r>
              <w:rPr>
                <w:rFonts w:hint="eastAsia"/>
                <w:szCs w:val="22"/>
                <w:lang w:val="en-GB"/>
              </w:rPr>
              <w:t>《危险废物贮存污染控制标准》</w:t>
            </w:r>
            <w:r>
              <w:rPr>
                <w:rFonts w:hint="eastAsia"/>
                <w:szCs w:val="22"/>
                <w:lang w:val="en-GB" w:eastAsia="zh-CN"/>
              </w:rPr>
              <w:t>（</w:t>
            </w:r>
            <w:r>
              <w:rPr>
                <w:rFonts w:hint="eastAsia"/>
                <w:szCs w:val="22"/>
                <w:lang w:val="en-GB"/>
              </w:rPr>
              <w:t>GB 18597</w:t>
            </w:r>
            <w:r>
              <w:rPr>
                <w:rFonts w:hint="eastAsia"/>
                <w:szCs w:val="22"/>
                <w:lang w:val="en-US" w:eastAsia="zh-CN"/>
              </w:rPr>
              <w:t>-2023</w:t>
            </w:r>
            <w:r>
              <w:rPr>
                <w:rFonts w:hint="eastAsia"/>
                <w:szCs w:val="22"/>
                <w:lang w:val="en-GB" w:eastAsia="zh-CN"/>
              </w:rPr>
              <w:t>）</w:t>
            </w:r>
            <w:r>
              <w:rPr>
                <w:rFonts w:hint="eastAsia"/>
                <w:szCs w:val="22"/>
              </w:rPr>
              <w:t>要求。危废转移应严格按《危险废物转移联单管理办法》要求</w:t>
            </w:r>
          </w:p>
          <w:p w14:paraId="654788B6">
            <w:pPr>
              <w:pStyle w:val="38"/>
              <w:keepNext w:val="0"/>
              <w:keepLines w:val="0"/>
              <w:widowControl/>
              <w:suppressLineNumbers w:val="0"/>
              <w:bidi w:val="0"/>
              <w:spacing w:before="0" w:beforeAutospacing="0" w:after="0" w:afterAutospacing="0"/>
              <w:ind w:left="0" w:right="0"/>
              <w:rPr>
                <w:rFonts w:hint="default"/>
                <w:szCs w:val="22"/>
                <w:lang w:val="en-GB" w:eastAsia="zh-CN"/>
              </w:rPr>
            </w:pPr>
          </w:p>
        </w:tc>
      </w:tr>
      <w:tr w14:paraId="22CDA4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continue"/>
            <w:noWrap w:val="0"/>
            <w:vAlign w:val="center"/>
          </w:tcPr>
          <w:p w14:paraId="4C252DF3">
            <w:pPr>
              <w:pStyle w:val="38"/>
              <w:keepNext w:val="0"/>
              <w:keepLines w:val="0"/>
              <w:widowControl/>
              <w:suppressLineNumbers w:val="0"/>
              <w:bidi w:val="0"/>
              <w:spacing w:before="0" w:beforeAutospacing="0" w:after="0" w:afterAutospacing="0"/>
              <w:ind w:left="0" w:right="0"/>
              <w:rPr>
                <w:rFonts w:hint="default"/>
                <w:szCs w:val="22"/>
                <w:lang w:val="en-GB" w:eastAsia="zh-CN"/>
              </w:rPr>
            </w:pPr>
          </w:p>
        </w:tc>
        <w:tc>
          <w:tcPr>
            <w:tcW w:w="1477" w:type="dxa"/>
            <w:vMerge w:val="continue"/>
            <w:noWrap w:val="0"/>
            <w:vAlign w:val="center"/>
          </w:tcPr>
          <w:p w14:paraId="796C42C9">
            <w:pPr>
              <w:pStyle w:val="38"/>
              <w:keepNext w:val="0"/>
              <w:keepLines w:val="0"/>
              <w:widowControl/>
              <w:suppressLineNumbers w:val="0"/>
              <w:bidi w:val="0"/>
              <w:spacing w:before="0" w:beforeAutospacing="0" w:after="0" w:afterAutospacing="0"/>
              <w:ind w:left="0" w:right="0"/>
              <w:rPr>
                <w:rFonts w:hint="default"/>
                <w:szCs w:val="22"/>
                <w:lang w:val="en-GB" w:eastAsia="zh-CN"/>
              </w:rPr>
            </w:pPr>
          </w:p>
        </w:tc>
        <w:tc>
          <w:tcPr>
            <w:tcW w:w="1459" w:type="dxa"/>
            <w:noWrap w:val="0"/>
            <w:vAlign w:val="center"/>
          </w:tcPr>
          <w:p w14:paraId="2D537BA1">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rPr>
              <w:t>废机油</w:t>
            </w:r>
          </w:p>
        </w:tc>
        <w:tc>
          <w:tcPr>
            <w:tcW w:w="2141" w:type="dxa"/>
            <w:vMerge w:val="continue"/>
            <w:noWrap w:val="0"/>
            <w:vAlign w:val="center"/>
          </w:tcPr>
          <w:p w14:paraId="39964336">
            <w:pPr>
              <w:pStyle w:val="38"/>
              <w:keepNext w:val="0"/>
              <w:keepLines w:val="0"/>
              <w:widowControl/>
              <w:suppressLineNumbers w:val="0"/>
              <w:bidi w:val="0"/>
              <w:spacing w:before="0" w:beforeAutospacing="0" w:after="0" w:afterAutospacing="0"/>
              <w:ind w:left="0" w:right="0"/>
              <w:rPr>
                <w:rFonts w:hint="default"/>
                <w:szCs w:val="22"/>
                <w:lang w:val="en-GB" w:eastAsia="zh-CN"/>
              </w:rPr>
            </w:pPr>
          </w:p>
        </w:tc>
        <w:tc>
          <w:tcPr>
            <w:tcW w:w="2746" w:type="dxa"/>
            <w:vMerge w:val="continue"/>
            <w:noWrap w:val="0"/>
            <w:vAlign w:val="center"/>
          </w:tcPr>
          <w:p w14:paraId="5A0F98BA">
            <w:pPr>
              <w:pStyle w:val="38"/>
              <w:keepNext w:val="0"/>
              <w:keepLines w:val="0"/>
              <w:widowControl/>
              <w:suppressLineNumbers w:val="0"/>
              <w:bidi w:val="0"/>
              <w:spacing w:before="0" w:beforeAutospacing="0" w:after="0" w:afterAutospacing="0"/>
              <w:ind w:left="0" w:right="0"/>
              <w:rPr>
                <w:rFonts w:hint="default"/>
                <w:szCs w:val="22"/>
                <w:lang w:val="en-GB" w:eastAsia="zh-CN"/>
              </w:rPr>
            </w:pPr>
          </w:p>
        </w:tc>
      </w:tr>
      <w:tr w14:paraId="6161FC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continue"/>
            <w:noWrap w:val="0"/>
            <w:vAlign w:val="center"/>
          </w:tcPr>
          <w:p w14:paraId="10EF69E4">
            <w:pPr>
              <w:pStyle w:val="38"/>
              <w:keepNext w:val="0"/>
              <w:keepLines w:val="0"/>
              <w:widowControl/>
              <w:suppressLineNumbers w:val="0"/>
              <w:bidi w:val="0"/>
              <w:spacing w:before="0" w:beforeAutospacing="0" w:after="0" w:afterAutospacing="0"/>
              <w:ind w:left="0" w:right="0"/>
              <w:rPr>
                <w:rFonts w:hint="default"/>
                <w:szCs w:val="22"/>
                <w:lang w:val="en-GB" w:eastAsia="zh-CN"/>
              </w:rPr>
            </w:pPr>
          </w:p>
        </w:tc>
        <w:tc>
          <w:tcPr>
            <w:tcW w:w="1477" w:type="dxa"/>
            <w:vMerge w:val="continue"/>
            <w:noWrap w:val="0"/>
            <w:vAlign w:val="center"/>
          </w:tcPr>
          <w:p w14:paraId="5B55F4B8">
            <w:pPr>
              <w:pStyle w:val="38"/>
              <w:keepNext w:val="0"/>
              <w:keepLines w:val="0"/>
              <w:widowControl/>
              <w:suppressLineNumbers w:val="0"/>
              <w:bidi w:val="0"/>
              <w:spacing w:before="0" w:beforeAutospacing="0" w:after="0" w:afterAutospacing="0"/>
              <w:ind w:left="0" w:right="0"/>
              <w:rPr>
                <w:rFonts w:hint="default"/>
                <w:szCs w:val="22"/>
                <w:lang w:val="en-GB" w:eastAsia="zh-CN"/>
              </w:rPr>
            </w:pPr>
          </w:p>
        </w:tc>
        <w:tc>
          <w:tcPr>
            <w:tcW w:w="1459" w:type="dxa"/>
            <w:noWrap w:val="0"/>
            <w:vAlign w:val="center"/>
          </w:tcPr>
          <w:p w14:paraId="6E769DF8">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US" w:eastAsia="zh-CN"/>
              </w:rPr>
              <w:t>水帘柜废液</w:t>
            </w:r>
          </w:p>
        </w:tc>
        <w:tc>
          <w:tcPr>
            <w:tcW w:w="2141" w:type="dxa"/>
            <w:vMerge w:val="continue"/>
            <w:noWrap w:val="0"/>
            <w:vAlign w:val="center"/>
          </w:tcPr>
          <w:p w14:paraId="1500E1DA">
            <w:pPr>
              <w:pStyle w:val="38"/>
              <w:keepNext w:val="0"/>
              <w:keepLines w:val="0"/>
              <w:widowControl/>
              <w:suppressLineNumbers w:val="0"/>
              <w:bidi w:val="0"/>
              <w:spacing w:before="0" w:beforeAutospacing="0" w:after="0" w:afterAutospacing="0"/>
              <w:ind w:left="0" w:right="0"/>
              <w:rPr>
                <w:rFonts w:hint="default"/>
                <w:szCs w:val="22"/>
                <w:lang w:val="en-GB" w:eastAsia="zh-CN"/>
              </w:rPr>
            </w:pPr>
          </w:p>
        </w:tc>
        <w:tc>
          <w:tcPr>
            <w:tcW w:w="2746" w:type="dxa"/>
            <w:vMerge w:val="continue"/>
            <w:noWrap w:val="0"/>
            <w:vAlign w:val="center"/>
          </w:tcPr>
          <w:p w14:paraId="3D944DDC">
            <w:pPr>
              <w:pStyle w:val="38"/>
              <w:keepNext w:val="0"/>
              <w:keepLines w:val="0"/>
              <w:widowControl/>
              <w:suppressLineNumbers w:val="0"/>
              <w:bidi w:val="0"/>
              <w:spacing w:before="0" w:beforeAutospacing="0" w:after="0" w:afterAutospacing="0"/>
              <w:ind w:left="0" w:right="0"/>
              <w:rPr>
                <w:rFonts w:hint="default"/>
                <w:szCs w:val="22"/>
                <w:lang w:val="en-GB" w:eastAsia="zh-CN"/>
              </w:rPr>
            </w:pPr>
          </w:p>
        </w:tc>
      </w:tr>
      <w:tr w14:paraId="7D3137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continue"/>
            <w:noWrap w:val="0"/>
            <w:vAlign w:val="center"/>
          </w:tcPr>
          <w:p w14:paraId="07E82723">
            <w:pPr>
              <w:pStyle w:val="38"/>
              <w:keepNext w:val="0"/>
              <w:keepLines w:val="0"/>
              <w:widowControl/>
              <w:suppressLineNumbers w:val="0"/>
              <w:bidi w:val="0"/>
              <w:spacing w:before="0" w:beforeAutospacing="0" w:after="0" w:afterAutospacing="0"/>
              <w:ind w:left="0" w:right="0"/>
              <w:rPr>
                <w:rFonts w:hint="default"/>
                <w:szCs w:val="22"/>
                <w:lang w:val="en-GB" w:eastAsia="zh-CN"/>
              </w:rPr>
            </w:pPr>
          </w:p>
        </w:tc>
        <w:tc>
          <w:tcPr>
            <w:tcW w:w="1477" w:type="dxa"/>
            <w:vMerge w:val="continue"/>
            <w:noWrap w:val="0"/>
            <w:vAlign w:val="center"/>
          </w:tcPr>
          <w:p w14:paraId="2D6CC871">
            <w:pPr>
              <w:pStyle w:val="38"/>
              <w:keepNext w:val="0"/>
              <w:keepLines w:val="0"/>
              <w:widowControl/>
              <w:suppressLineNumbers w:val="0"/>
              <w:bidi w:val="0"/>
              <w:spacing w:before="0" w:beforeAutospacing="0" w:after="0" w:afterAutospacing="0"/>
              <w:ind w:left="0" w:right="0"/>
              <w:rPr>
                <w:rFonts w:hint="default"/>
                <w:szCs w:val="22"/>
                <w:lang w:val="en-GB" w:eastAsia="zh-CN"/>
              </w:rPr>
            </w:pPr>
          </w:p>
        </w:tc>
        <w:tc>
          <w:tcPr>
            <w:tcW w:w="1459" w:type="dxa"/>
            <w:noWrap w:val="0"/>
            <w:vAlign w:val="center"/>
          </w:tcPr>
          <w:p w14:paraId="25DA6C33">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US" w:eastAsia="zh-CN"/>
              </w:rPr>
              <w:t>废漆渣</w:t>
            </w:r>
          </w:p>
        </w:tc>
        <w:tc>
          <w:tcPr>
            <w:tcW w:w="2141" w:type="dxa"/>
            <w:vMerge w:val="continue"/>
            <w:noWrap w:val="0"/>
            <w:vAlign w:val="center"/>
          </w:tcPr>
          <w:p w14:paraId="2ECE316F">
            <w:pPr>
              <w:pStyle w:val="38"/>
              <w:keepNext w:val="0"/>
              <w:keepLines w:val="0"/>
              <w:widowControl/>
              <w:suppressLineNumbers w:val="0"/>
              <w:bidi w:val="0"/>
              <w:spacing w:before="0" w:beforeAutospacing="0" w:after="0" w:afterAutospacing="0"/>
              <w:ind w:left="0" w:right="0"/>
              <w:rPr>
                <w:rFonts w:hint="default"/>
                <w:szCs w:val="22"/>
                <w:lang w:val="en-GB" w:eastAsia="zh-CN"/>
              </w:rPr>
            </w:pPr>
          </w:p>
        </w:tc>
        <w:tc>
          <w:tcPr>
            <w:tcW w:w="2746" w:type="dxa"/>
            <w:vMerge w:val="continue"/>
            <w:noWrap w:val="0"/>
            <w:vAlign w:val="center"/>
          </w:tcPr>
          <w:p w14:paraId="6B3552A9">
            <w:pPr>
              <w:pStyle w:val="38"/>
              <w:keepNext w:val="0"/>
              <w:keepLines w:val="0"/>
              <w:widowControl/>
              <w:suppressLineNumbers w:val="0"/>
              <w:bidi w:val="0"/>
              <w:spacing w:before="0" w:beforeAutospacing="0" w:after="0" w:afterAutospacing="0"/>
              <w:ind w:left="0" w:right="0"/>
              <w:rPr>
                <w:rFonts w:hint="default"/>
                <w:szCs w:val="22"/>
                <w:lang w:val="en-GB" w:eastAsia="zh-CN"/>
              </w:rPr>
            </w:pPr>
          </w:p>
        </w:tc>
      </w:tr>
      <w:tr w14:paraId="50F131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continue"/>
            <w:noWrap w:val="0"/>
            <w:vAlign w:val="center"/>
          </w:tcPr>
          <w:p w14:paraId="25E53233">
            <w:pPr>
              <w:pStyle w:val="38"/>
              <w:keepNext w:val="0"/>
              <w:keepLines w:val="0"/>
              <w:widowControl/>
              <w:suppressLineNumbers w:val="0"/>
              <w:bidi w:val="0"/>
              <w:spacing w:before="0" w:beforeAutospacing="0" w:after="0" w:afterAutospacing="0"/>
              <w:ind w:left="0" w:right="0"/>
              <w:rPr>
                <w:rFonts w:hint="default"/>
                <w:szCs w:val="22"/>
                <w:lang w:val="en-GB" w:eastAsia="zh-CN"/>
              </w:rPr>
            </w:pPr>
          </w:p>
        </w:tc>
        <w:tc>
          <w:tcPr>
            <w:tcW w:w="1477" w:type="dxa"/>
            <w:vMerge w:val="continue"/>
            <w:noWrap w:val="0"/>
            <w:vAlign w:val="center"/>
          </w:tcPr>
          <w:p w14:paraId="2B351779">
            <w:pPr>
              <w:pStyle w:val="38"/>
              <w:keepNext w:val="0"/>
              <w:keepLines w:val="0"/>
              <w:widowControl/>
              <w:suppressLineNumbers w:val="0"/>
              <w:bidi w:val="0"/>
              <w:spacing w:before="0" w:beforeAutospacing="0" w:after="0" w:afterAutospacing="0"/>
              <w:ind w:left="0" w:right="0"/>
              <w:rPr>
                <w:rFonts w:hint="default"/>
                <w:szCs w:val="22"/>
                <w:lang w:val="en-GB" w:eastAsia="zh-CN"/>
              </w:rPr>
            </w:pPr>
          </w:p>
        </w:tc>
        <w:tc>
          <w:tcPr>
            <w:tcW w:w="1459" w:type="dxa"/>
            <w:noWrap w:val="0"/>
            <w:vAlign w:val="center"/>
          </w:tcPr>
          <w:p w14:paraId="045663BD">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eastAsia"/>
                <w:szCs w:val="22"/>
                <w:lang w:val="en-US" w:eastAsia="zh-CN"/>
              </w:rPr>
              <w:t>废水性漆桶</w:t>
            </w:r>
          </w:p>
        </w:tc>
        <w:tc>
          <w:tcPr>
            <w:tcW w:w="2141" w:type="dxa"/>
            <w:vMerge w:val="continue"/>
            <w:noWrap w:val="0"/>
            <w:vAlign w:val="center"/>
          </w:tcPr>
          <w:p w14:paraId="4BDFF960">
            <w:pPr>
              <w:pStyle w:val="38"/>
              <w:keepNext w:val="0"/>
              <w:keepLines w:val="0"/>
              <w:widowControl/>
              <w:suppressLineNumbers w:val="0"/>
              <w:bidi w:val="0"/>
              <w:spacing w:before="0" w:beforeAutospacing="0" w:after="0" w:afterAutospacing="0"/>
              <w:ind w:left="0" w:right="0"/>
              <w:rPr>
                <w:rFonts w:hint="default"/>
                <w:szCs w:val="22"/>
                <w:lang w:val="en-GB" w:eastAsia="zh-CN"/>
              </w:rPr>
            </w:pPr>
          </w:p>
        </w:tc>
        <w:tc>
          <w:tcPr>
            <w:tcW w:w="2746" w:type="dxa"/>
            <w:vMerge w:val="continue"/>
            <w:noWrap w:val="0"/>
            <w:vAlign w:val="center"/>
          </w:tcPr>
          <w:p w14:paraId="26811F0A">
            <w:pPr>
              <w:pStyle w:val="38"/>
              <w:keepNext w:val="0"/>
              <w:keepLines w:val="0"/>
              <w:widowControl/>
              <w:suppressLineNumbers w:val="0"/>
              <w:bidi w:val="0"/>
              <w:spacing w:before="0" w:beforeAutospacing="0" w:after="0" w:afterAutospacing="0"/>
              <w:ind w:left="0" w:right="0"/>
              <w:rPr>
                <w:rFonts w:hint="default"/>
                <w:szCs w:val="22"/>
                <w:lang w:val="en-GB" w:eastAsia="zh-CN"/>
              </w:rPr>
            </w:pPr>
          </w:p>
        </w:tc>
      </w:tr>
      <w:tr w14:paraId="5D15D1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continue"/>
            <w:noWrap w:val="0"/>
            <w:vAlign w:val="center"/>
          </w:tcPr>
          <w:p w14:paraId="7B0C03EA">
            <w:pPr>
              <w:pStyle w:val="38"/>
              <w:keepNext w:val="0"/>
              <w:keepLines w:val="0"/>
              <w:widowControl/>
              <w:suppressLineNumbers w:val="0"/>
              <w:bidi w:val="0"/>
              <w:spacing w:before="0" w:beforeAutospacing="0" w:after="0" w:afterAutospacing="0"/>
              <w:ind w:left="0" w:right="0"/>
              <w:rPr>
                <w:rFonts w:hint="default"/>
                <w:szCs w:val="22"/>
                <w:lang w:val="en-GB" w:eastAsia="zh-CN"/>
              </w:rPr>
            </w:pPr>
          </w:p>
        </w:tc>
        <w:tc>
          <w:tcPr>
            <w:tcW w:w="1477" w:type="dxa"/>
            <w:vMerge w:val="continue"/>
            <w:noWrap w:val="0"/>
            <w:vAlign w:val="center"/>
          </w:tcPr>
          <w:p w14:paraId="12B11907">
            <w:pPr>
              <w:pStyle w:val="38"/>
              <w:keepNext w:val="0"/>
              <w:keepLines w:val="0"/>
              <w:widowControl/>
              <w:suppressLineNumbers w:val="0"/>
              <w:bidi w:val="0"/>
              <w:spacing w:before="0" w:beforeAutospacing="0" w:after="0" w:afterAutospacing="0"/>
              <w:ind w:left="0" w:right="0"/>
              <w:rPr>
                <w:rFonts w:hint="default"/>
                <w:szCs w:val="22"/>
                <w:lang w:val="en-GB" w:eastAsia="zh-CN"/>
              </w:rPr>
            </w:pPr>
          </w:p>
        </w:tc>
        <w:tc>
          <w:tcPr>
            <w:tcW w:w="1459" w:type="dxa"/>
            <w:noWrap w:val="0"/>
            <w:vAlign w:val="center"/>
          </w:tcPr>
          <w:p w14:paraId="6AA405A2">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eastAsia"/>
                <w:szCs w:val="22"/>
                <w:lang w:val="en-US" w:eastAsia="zh-CN"/>
              </w:rPr>
              <w:t>废过滤棉</w:t>
            </w:r>
          </w:p>
        </w:tc>
        <w:tc>
          <w:tcPr>
            <w:tcW w:w="2141" w:type="dxa"/>
            <w:vMerge w:val="continue"/>
            <w:noWrap w:val="0"/>
            <w:vAlign w:val="center"/>
          </w:tcPr>
          <w:p w14:paraId="130E774C">
            <w:pPr>
              <w:pStyle w:val="38"/>
              <w:keepNext w:val="0"/>
              <w:keepLines w:val="0"/>
              <w:widowControl/>
              <w:suppressLineNumbers w:val="0"/>
              <w:bidi w:val="0"/>
              <w:spacing w:before="0" w:beforeAutospacing="0" w:after="0" w:afterAutospacing="0"/>
              <w:ind w:left="0" w:right="0"/>
              <w:rPr>
                <w:rFonts w:hint="default"/>
                <w:szCs w:val="22"/>
                <w:lang w:val="en-GB" w:eastAsia="zh-CN"/>
              </w:rPr>
            </w:pPr>
          </w:p>
        </w:tc>
        <w:tc>
          <w:tcPr>
            <w:tcW w:w="2746" w:type="dxa"/>
            <w:vMerge w:val="continue"/>
            <w:noWrap w:val="0"/>
            <w:vAlign w:val="center"/>
          </w:tcPr>
          <w:p w14:paraId="3C9C008A">
            <w:pPr>
              <w:pStyle w:val="38"/>
              <w:keepNext w:val="0"/>
              <w:keepLines w:val="0"/>
              <w:widowControl/>
              <w:suppressLineNumbers w:val="0"/>
              <w:bidi w:val="0"/>
              <w:spacing w:before="0" w:beforeAutospacing="0" w:after="0" w:afterAutospacing="0"/>
              <w:ind w:left="0" w:right="0"/>
              <w:rPr>
                <w:rFonts w:hint="default"/>
                <w:szCs w:val="22"/>
                <w:lang w:val="en-GB" w:eastAsia="zh-CN"/>
              </w:rPr>
            </w:pPr>
          </w:p>
        </w:tc>
      </w:tr>
      <w:tr w14:paraId="598B60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continue"/>
            <w:noWrap w:val="0"/>
            <w:vAlign w:val="center"/>
          </w:tcPr>
          <w:p w14:paraId="2739236C">
            <w:pPr>
              <w:pStyle w:val="38"/>
              <w:keepNext w:val="0"/>
              <w:keepLines w:val="0"/>
              <w:widowControl/>
              <w:suppressLineNumbers w:val="0"/>
              <w:bidi w:val="0"/>
              <w:spacing w:before="0" w:beforeAutospacing="0" w:after="0" w:afterAutospacing="0"/>
              <w:ind w:left="0" w:right="0"/>
              <w:rPr>
                <w:rFonts w:hint="default"/>
                <w:szCs w:val="22"/>
                <w:lang w:val="en-GB" w:eastAsia="zh-CN"/>
              </w:rPr>
            </w:pPr>
          </w:p>
        </w:tc>
        <w:tc>
          <w:tcPr>
            <w:tcW w:w="1477" w:type="dxa"/>
            <w:vMerge w:val="continue"/>
            <w:noWrap w:val="0"/>
            <w:vAlign w:val="center"/>
          </w:tcPr>
          <w:p w14:paraId="16F7BBD3">
            <w:pPr>
              <w:pStyle w:val="38"/>
              <w:keepNext w:val="0"/>
              <w:keepLines w:val="0"/>
              <w:widowControl/>
              <w:suppressLineNumbers w:val="0"/>
              <w:bidi w:val="0"/>
              <w:spacing w:before="0" w:beforeAutospacing="0" w:after="0" w:afterAutospacing="0"/>
              <w:ind w:left="0" w:right="0"/>
              <w:rPr>
                <w:rFonts w:hint="default"/>
                <w:szCs w:val="22"/>
                <w:lang w:val="en-GB" w:eastAsia="zh-CN"/>
              </w:rPr>
            </w:pPr>
          </w:p>
        </w:tc>
        <w:tc>
          <w:tcPr>
            <w:tcW w:w="1459" w:type="dxa"/>
            <w:noWrap w:val="0"/>
            <w:vAlign w:val="center"/>
          </w:tcPr>
          <w:p w14:paraId="18268C01">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eastAsia"/>
                <w:szCs w:val="22"/>
                <w:lang w:val="en-US" w:eastAsia="zh-CN"/>
              </w:rPr>
              <w:t>废油性漆桶</w:t>
            </w:r>
          </w:p>
        </w:tc>
        <w:tc>
          <w:tcPr>
            <w:tcW w:w="2141" w:type="dxa"/>
            <w:vMerge w:val="continue"/>
            <w:noWrap w:val="0"/>
            <w:vAlign w:val="center"/>
          </w:tcPr>
          <w:p w14:paraId="4855AE3D">
            <w:pPr>
              <w:pStyle w:val="38"/>
              <w:keepNext w:val="0"/>
              <w:keepLines w:val="0"/>
              <w:widowControl/>
              <w:suppressLineNumbers w:val="0"/>
              <w:bidi w:val="0"/>
              <w:spacing w:before="0" w:beforeAutospacing="0" w:after="0" w:afterAutospacing="0"/>
              <w:ind w:left="0" w:right="0"/>
              <w:rPr>
                <w:rFonts w:hint="default"/>
                <w:szCs w:val="22"/>
                <w:lang w:val="en-GB" w:eastAsia="zh-CN"/>
              </w:rPr>
            </w:pPr>
          </w:p>
        </w:tc>
        <w:tc>
          <w:tcPr>
            <w:tcW w:w="2746" w:type="dxa"/>
            <w:vMerge w:val="continue"/>
            <w:noWrap w:val="0"/>
            <w:vAlign w:val="center"/>
          </w:tcPr>
          <w:p w14:paraId="0D166E5B">
            <w:pPr>
              <w:pStyle w:val="38"/>
              <w:keepNext w:val="0"/>
              <w:keepLines w:val="0"/>
              <w:widowControl/>
              <w:suppressLineNumbers w:val="0"/>
              <w:bidi w:val="0"/>
              <w:spacing w:before="0" w:beforeAutospacing="0" w:after="0" w:afterAutospacing="0"/>
              <w:ind w:left="0" w:right="0"/>
              <w:rPr>
                <w:rFonts w:hint="default"/>
                <w:szCs w:val="22"/>
                <w:lang w:val="en-GB" w:eastAsia="zh-CN"/>
              </w:rPr>
            </w:pPr>
          </w:p>
        </w:tc>
      </w:tr>
      <w:tr w14:paraId="20087F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Merge w:val="continue"/>
            <w:noWrap w:val="0"/>
            <w:vAlign w:val="center"/>
          </w:tcPr>
          <w:p w14:paraId="606A1E18">
            <w:pPr>
              <w:pStyle w:val="38"/>
              <w:keepNext w:val="0"/>
              <w:keepLines w:val="0"/>
              <w:widowControl/>
              <w:suppressLineNumbers w:val="0"/>
              <w:bidi w:val="0"/>
              <w:spacing w:before="0" w:beforeAutospacing="0" w:after="0" w:afterAutospacing="0"/>
              <w:ind w:left="0" w:right="0"/>
              <w:rPr>
                <w:rFonts w:hint="default"/>
                <w:szCs w:val="22"/>
                <w:lang w:val="en-GB" w:eastAsia="zh-CN"/>
              </w:rPr>
            </w:pPr>
          </w:p>
        </w:tc>
        <w:tc>
          <w:tcPr>
            <w:tcW w:w="1477" w:type="dxa"/>
            <w:noWrap w:val="0"/>
            <w:vAlign w:val="center"/>
          </w:tcPr>
          <w:p w14:paraId="4E0046B3">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US" w:eastAsia="zh-CN"/>
              </w:rPr>
              <w:t>生活垃圾</w:t>
            </w:r>
          </w:p>
        </w:tc>
        <w:tc>
          <w:tcPr>
            <w:tcW w:w="1459" w:type="dxa"/>
            <w:noWrap w:val="0"/>
            <w:vAlign w:val="center"/>
          </w:tcPr>
          <w:p w14:paraId="77617DA2">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US" w:eastAsia="zh-CN"/>
              </w:rPr>
              <w:t>生活垃圾</w:t>
            </w:r>
          </w:p>
        </w:tc>
        <w:tc>
          <w:tcPr>
            <w:tcW w:w="2141" w:type="dxa"/>
            <w:noWrap w:val="0"/>
            <w:vAlign w:val="center"/>
          </w:tcPr>
          <w:p w14:paraId="461B6B6B">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eastAsia"/>
                <w:szCs w:val="22"/>
              </w:rPr>
              <w:t>收集后由环卫部门清运处理</w:t>
            </w:r>
          </w:p>
        </w:tc>
        <w:tc>
          <w:tcPr>
            <w:tcW w:w="2746" w:type="dxa"/>
            <w:noWrap w:val="0"/>
            <w:vAlign w:val="center"/>
          </w:tcPr>
          <w:p w14:paraId="6973F8E7">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eastAsia"/>
                <w:szCs w:val="22"/>
              </w:rPr>
              <w:t>验收措施落实情况</w:t>
            </w:r>
          </w:p>
        </w:tc>
      </w:tr>
      <w:tr w14:paraId="5CDD89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noWrap w:val="0"/>
            <w:vAlign w:val="center"/>
          </w:tcPr>
          <w:p w14:paraId="2F4760CF">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土壤及地下水污染防治措施</w:t>
            </w:r>
          </w:p>
        </w:tc>
        <w:tc>
          <w:tcPr>
            <w:tcW w:w="7823" w:type="dxa"/>
            <w:gridSpan w:val="4"/>
            <w:noWrap w:val="0"/>
            <w:vAlign w:val="center"/>
          </w:tcPr>
          <w:p w14:paraId="74C2632D">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合理进行防渗区域划分，危险暂存间等四周设置导流沟，地面采取防渗，按重点污染区防渗要求进行建设；一般工业固废间、项目生产车间等按一般污染区防渗要求进行建设</w:t>
            </w:r>
            <w:r>
              <w:rPr>
                <w:rFonts w:hint="eastAsia"/>
                <w:szCs w:val="22"/>
                <w:lang w:val="en-GB" w:eastAsia="zh-CN"/>
              </w:rPr>
              <w:t>且</w:t>
            </w:r>
            <w:r>
              <w:rPr>
                <w:rFonts w:hint="default"/>
                <w:szCs w:val="22"/>
                <w:lang w:val="en-GB" w:eastAsia="zh-CN"/>
              </w:rPr>
              <w:t>具有防雨、防渗、防风、防日晒等功能</w:t>
            </w:r>
          </w:p>
        </w:tc>
      </w:tr>
      <w:tr w14:paraId="6174C3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noWrap w:val="0"/>
            <w:vAlign w:val="center"/>
          </w:tcPr>
          <w:p w14:paraId="4C3BCDED">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生态保护措施</w:t>
            </w:r>
          </w:p>
        </w:tc>
        <w:tc>
          <w:tcPr>
            <w:tcW w:w="7823" w:type="dxa"/>
            <w:gridSpan w:val="4"/>
            <w:noWrap w:val="0"/>
            <w:vAlign w:val="center"/>
          </w:tcPr>
          <w:p w14:paraId="48AB692E">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无</w:t>
            </w:r>
          </w:p>
        </w:tc>
      </w:tr>
      <w:tr w14:paraId="774F24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noWrap w:val="0"/>
            <w:vAlign w:val="center"/>
          </w:tcPr>
          <w:p w14:paraId="49C262AF">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环境风险</w:t>
            </w:r>
          </w:p>
          <w:p w14:paraId="521496D8">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防范措施</w:t>
            </w:r>
          </w:p>
        </w:tc>
        <w:tc>
          <w:tcPr>
            <w:tcW w:w="7823" w:type="dxa"/>
            <w:gridSpan w:val="4"/>
            <w:noWrap w:val="0"/>
            <w:vAlign w:val="center"/>
          </w:tcPr>
          <w:p w14:paraId="40C694FB">
            <w:pPr>
              <w:pStyle w:val="38"/>
              <w:keepNext w:val="0"/>
              <w:keepLines w:val="0"/>
              <w:widowControl/>
              <w:suppressLineNumbers w:val="0"/>
              <w:bidi w:val="0"/>
              <w:spacing w:before="0" w:beforeAutospacing="0" w:after="0" w:afterAutospacing="0"/>
              <w:ind w:left="0" w:right="0"/>
              <w:rPr>
                <w:rFonts w:hint="default"/>
                <w:szCs w:val="22"/>
                <w:lang w:eastAsia="zh-CN"/>
              </w:rPr>
            </w:pPr>
            <w:r>
              <w:rPr>
                <w:rFonts w:hint="eastAsia"/>
                <w:szCs w:val="22"/>
                <w:lang w:val="en-US" w:eastAsia="zh-CN"/>
              </w:rPr>
              <w:t>危废贮存库</w:t>
            </w:r>
            <w:r>
              <w:rPr>
                <w:rFonts w:hint="default"/>
                <w:szCs w:val="22"/>
                <w:lang w:val="en-US" w:eastAsia="zh-CN"/>
              </w:rPr>
              <w:t>等四周设置导流沟，地面采取防渗、设置围堰等风险防范措施；加强消防设施和灭火器材的配备，严格落实有关消防技术规范的规定，加强人员疏散设施管理，保证疏散通道畅通。定期进行防火安全检查，确保消防设施完整等。</w:t>
            </w:r>
          </w:p>
        </w:tc>
      </w:tr>
      <w:tr w14:paraId="67B56F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noWrap w:val="0"/>
            <w:vAlign w:val="center"/>
          </w:tcPr>
          <w:p w14:paraId="73CBE99F">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其他环境</w:t>
            </w:r>
          </w:p>
          <w:p w14:paraId="0B43E661">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GB" w:eastAsia="zh-CN"/>
              </w:rPr>
              <w:t>管理要求</w:t>
            </w:r>
          </w:p>
        </w:tc>
        <w:tc>
          <w:tcPr>
            <w:tcW w:w="7823" w:type="dxa"/>
            <w:gridSpan w:val="4"/>
            <w:noWrap w:val="0"/>
            <w:vAlign w:val="center"/>
          </w:tcPr>
          <w:p w14:paraId="20E05D24">
            <w:pPr>
              <w:pStyle w:val="3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420" w:firstLineChars="200"/>
              <w:jc w:val="both"/>
              <w:textAlignment w:val="auto"/>
              <w:rPr>
                <w:rFonts w:hint="default"/>
                <w:szCs w:val="22"/>
                <w:lang w:val="en-US" w:eastAsia="zh-CN"/>
              </w:rPr>
            </w:pPr>
            <w:r>
              <w:rPr>
                <w:rFonts w:hint="default"/>
                <w:szCs w:val="22"/>
                <w:lang w:val="en-US" w:eastAsia="zh-CN"/>
              </w:rPr>
              <w:t>（1）排污口规范管理</w:t>
            </w:r>
          </w:p>
          <w:p w14:paraId="40951F64">
            <w:pPr>
              <w:pStyle w:val="3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420" w:firstLineChars="200"/>
              <w:jc w:val="both"/>
              <w:textAlignment w:val="auto"/>
              <w:rPr>
                <w:rFonts w:hint="default"/>
                <w:szCs w:val="22"/>
                <w:lang w:val="en-US" w:eastAsia="zh-CN"/>
              </w:rPr>
            </w:pPr>
            <w:r>
              <w:rPr>
                <w:rFonts w:hint="default"/>
                <w:szCs w:val="22"/>
                <w:lang w:val="en-US" w:eastAsia="zh-CN"/>
              </w:rPr>
              <w:t>各污染源排放口应设置专项图标，执行《环境保护图形标志—排放口</w:t>
            </w:r>
            <w:r>
              <w:rPr>
                <w:rFonts w:hint="eastAsia"/>
                <w:szCs w:val="22"/>
                <w:lang w:val="en-US" w:eastAsia="zh-CN"/>
              </w:rPr>
              <w:t>（</w:t>
            </w:r>
            <w:r>
              <w:rPr>
                <w:rFonts w:hint="default"/>
                <w:szCs w:val="22"/>
                <w:lang w:val="en-US" w:eastAsia="zh-CN"/>
              </w:rPr>
              <w:t>源</w:t>
            </w:r>
            <w:r>
              <w:rPr>
                <w:rFonts w:hint="eastAsia"/>
                <w:szCs w:val="22"/>
                <w:lang w:val="en-US" w:eastAsia="zh-CN"/>
              </w:rPr>
              <w:t>）</w:t>
            </w:r>
            <w:r>
              <w:rPr>
                <w:rFonts w:hint="default"/>
                <w:szCs w:val="22"/>
                <w:lang w:val="en-US" w:eastAsia="zh-CN"/>
              </w:rPr>
              <w:t>》</w:t>
            </w:r>
            <w:r>
              <w:rPr>
                <w:rFonts w:hint="eastAsia"/>
                <w:szCs w:val="22"/>
                <w:lang w:val="en-US" w:eastAsia="zh-CN"/>
              </w:rPr>
              <w:t>（</w:t>
            </w:r>
            <w:r>
              <w:rPr>
                <w:rFonts w:hint="default"/>
                <w:szCs w:val="22"/>
                <w:lang w:val="en-US" w:eastAsia="zh-CN"/>
              </w:rPr>
              <w:t>GB15563.1-1995</w:t>
            </w:r>
            <w:r>
              <w:rPr>
                <w:rFonts w:hint="eastAsia"/>
                <w:szCs w:val="22"/>
                <w:lang w:val="en-US" w:eastAsia="zh-CN"/>
              </w:rPr>
              <w:t>）</w:t>
            </w:r>
            <w:r>
              <w:rPr>
                <w:rFonts w:hint="default"/>
                <w:szCs w:val="22"/>
                <w:lang w:val="en-US" w:eastAsia="zh-CN"/>
              </w:rPr>
              <w:t>，要求各排放口</w:t>
            </w:r>
            <w:r>
              <w:rPr>
                <w:rFonts w:hint="eastAsia"/>
                <w:szCs w:val="22"/>
                <w:lang w:val="en-US" w:eastAsia="zh-CN"/>
              </w:rPr>
              <w:t>（</w:t>
            </w:r>
            <w:r>
              <w:rPr>
                <w:rFonts w:hint="default"/>
                <w:szCs w:val="22"/>
                <w:lang w:val="en-US" w:eastAsia="zh-CN"/>
              </w:rPr>
              <w:t>源</w:t>
            </w:r>
            <w:r>
              <w:rPr>
                <w:rFonts w:hint="eastAsia"/>
                <w:szCs w:val="22"/>
                <w:lang w:val="en-US" w:eastAsia="zh-CN"/>
              </w:rPr>
              <w:t>）</w:t>
            </w:r>
            <w:r>
              <w:rPr>
                <w:rFonts w:hint="default"/>
                <w:szCs w:val="22"/>
                <w:lang w:val="en-US" w:eastAsia="zh-CN"/>
              </w:rPr>
              <w:t>提示标志形状采用正方形边框，背景颜色采用绿色，图形颜色采用白色。标志牌应设在与之功能相应的醒目处，并保持清晰、完整，具体详见表5.1-1。</w:t>
            </w:r>
          </w:p>
          <w:p w14:paraId="16A503E5">
            <w:pPr>
              <w:pStyle w:val="39"/>
              <w:keepNext w:val="0"/>
              <w:keepLines w:val="0"/>
              <w:suppressLineNumbers w:val="0"/>
              <w:bidi w:val="0"/>
              <w:spacing w:before="0" w:beforeAutospacing="0" w:after="0" w:afterAutospacing="0"/>
              <w:ind w:left="0" w:right="0"/>
              <w:rPr>
                <w:rFonts w:hint="default"/>
              </w:rPr>
            </w:pPr>
            <w:r>
              <w:rPr>
                <w:rFonts w:hint="default"/>
              </w:rPr>
              <w:t>表5.1-1  排污口图形符号</w:t>
            </w:r>
            <w:r>
              <w:rPr>
                <w:rFonts w:hint="eastAsia"/>
                <w:lang w:eastAsia="zh-CN"/>
              </w:rPr>
              <w:t>（</w:t>
            </w:r>
            <w:r>
              <w:rPr>
                <w:rFonts w:hint="default"/>
              </w:rPr>
              <w:t>提示标志</w:t>
            </w:r>
            <w:r>
              <w:rPr>
                <w:rFonts w:hint="eastAsia"/>
                <w:lang w:eastAsia="zh-CN"/>
              </w:rPr>
              <w:t>）</w:t>
            </w:r>
            <w:r>
              <w:rPr>
                <w:rFonts w:hint="default"/>
              </w:rPr>
              <w:t>一览表</w:t>
            </w:r>
          </w:p>
          <w:tbl>
            <w:tblPr>
              <w:tblStyle w:val="29"/>
              <w:tblW w:w="4998" w:type="pct"/>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362"/>
              <w:gridCol w:w="1233"/>
              <w:gridCol w:w="1233"/>
              <w:gridCol w:w="1233"/>
              <w:gridCol w:w="1277"/>
              <w:gridCol w:w="1266"/>
            </w:tblGrid>
            <w:tr w14:paraId="48FB97BB">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12" w:space="0"/>
                    <w:left w:val="nil"/>
                    <w:bottom w:val="single" w:color="auto" w:sz="6" w:space="0"/>
                    <w:right w:val="single" w:color="auto" w:sz="6" w:space="0"/>
                    <w:tl2br w:val="single" w:color="auto" w:sz="4" w:space="0"/>
                  </w:tcBorders>
                  <w:noWrap w:val="0"/>
                  <w:vAlign w:val="center"/>
                </w:tcPr>
                <w:p w14:paraId="183952A1">
                  <w:pPr>
                    <w:pStyle w:val="38"/>
                    <w:keepNext w:val="0"/>
                    <w:keepLines w:val="0"/>
                    <w:widowControl/>
                    <w:suppressLineNumbers w:val="0"/>
                    <w:bidi w:val="0"/>
                    <w:spacing w:before="0" w:beforeAutospacing="0" w:after="0" w:afterAutospacing="0"/>
                    <w:ind w:left="0" w:right="0"/>
                    <w:rPr>
                      <w:rFonts w:hint="eastAsia"/>
                      <w:szCs w:val="22"/>
                      <w:lang w:val="en-GB"/>
                    </w:rPr>
                  </w:pPr>
                  <w:bookmarkStart w:id="47" w:name="_Toc24814499"/>
                  <w:r>
                    <w:rPr>
                      <w:rFonts w:hint="eastAsia"/>
                      <w:szCs w:val="22"/>
                      <w:lang w:val="en-GB"/>
                    </w:rPr>
                    <w:t xml:space="preserve">  排放部位</w:t>
                  </w:r>
                </w:p>
                <w:p w14:paraId="369463B1">
                  <w:pPr>
                    <w:pStyle w:val="38"/>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项目</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1389001C">
                  <w:pPr>
                    <w:pStyle w:val="38"/>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污水排放口</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2048C352">
                  <w:pPr>
                    <w:pStyle w:val="38"/>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废气排放口</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3E98CDD3">
                  <w:pPr>
                    <w:pStyle w:val="38"/>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噪声排放源</w:t>
                  </w:r>
                </w:p>
              </w:tc>
              <w:tc>
                <w:tcPr>
                  <w:tcW w:w="848" w:type="pct"/>
                  <w:tcBorders>
                    <w:top w:val="single" w:color="auto" w:sz="12" w:space="0"/>
                    <w:left w:val="single" w:color="auto" w:sz="6" w:space="0"/>
                    <w:bottom w:val="single" w:color="auto" w:sz="6" w:space="0"/>
                    <w:right w:val="single" w:color="auto" w:sz="6" w:space="0"/>
                  </w:tcBorders>
                  <w:noWrap w:val="0"/>
                  <w:vAlign w:val="center"/>
                </w:tcPr>
                <w:p w14:paraId="3094788B">
                  <w:pPr>
                    <w:pStyle w:val="38"/>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一般工业固废</w:t>
                  </w:r>
                </w:p>
              </w:tc>
              <w:tc>
                <w:tcPr>
                  <w:tcW w:w="788" w:type="pct"/>
                  <w:tcBorders>
                    <w:top w:val="single" w:color="auto" w:sz="12" w:space="0"/>
                    <w:left w:val="single" w:color="auto" w:sz="6" w:space="0"/>
                    <w:bottom w:val="single" w:color="auto" w:sz="6" w:space="0"/>
                    <w:right w:val="nil"/>
                  </w:tcBorders>
                  <w:noWrap w:val="0"/>
                  <w:vAlign w:val="center"/>
                </w:tcPr>
                <w:p w14:paraId="0FB6E304">
                  <w:pPr>
                    <w:pStyle w:val="38"/>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危险废物</w:t>
                  </w:r>
                </w:p>
              </w:tc>
            </w:tr>
            <w:tr w14:paraId="08656BDC">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6" w:space="0"/>
                    <w:right w:val="single" w:color="auto" w:sz="6" w:space="0"/>
                  </w:tcBorders>
                  <w:noWrap w:val="0"/>
                  <w:vAlign w:val="center"/>
                </w:tcPr>
                <w:p w14:paraId="2B636181">
                  <w:pPr>
                    <w:pStyle w:val="38"/>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图形符号</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64A0E1DA">
                  <w:pPr>
                    <w:pStyle w:val="38"/>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rPr>
                    <mc:AlternateContent>
                      <mc:Choice Requires="wpg">
                        <w:drawing>
                          <wp:anchor distT="0" distB="0" distL="114300" distR="114300" simplePos="0" relativeHeight="251662336" behindDoc="0" locked="0" layoutInCell="1" allowOverlap="1">
                            <wp:simplePos x="0" y="0"/>
                            <wp:positionH relativeFrom="column">
                              <wp:posOffset>49530</wp:posOffset>
                            </wp:positionH>
                            <wp:positionV relativeFrom="paragraph">
                              <wp:posOffset>20955</wp:posOffset>
                            </wp:positionV>
                            <wp:extent cx="2950845" cy="649605"/>
                            <wp:effectExtent l="0" t="0" r="1905" b="17145"/>
                            <wp:wrapNone/>
                            <wp:docPr id="58" name="组合 8"/>
                            <wp:cNvGraphicFramePr/>
                            <a:graphic xmlns:a="http://schemas.openxmlformats.org/drawingml/2006/main">
                              <a:graphicData uri="http://schemas.microsoft.com/office/word/2010/wordprocessingGroup">
                                <wpg:wgp>
                                  <wpg:cNvGrpSpPr/>
                                  <wpg:grpSpPr>
                                    <a:xfrm>
                                      <a:off x="0" y="0"/>
                                      <a:ext cx="2950845" cy="649605"/>
                                      <a:chOff x="4407" y="1049350"/>
                                      <a:chExt cx="4805" cy="1057"/>
                                    </a:xfrm>
                                    <a:effectLst/>
                                  </wpg:grpSpPr>
                                  <pic:pic xmlns:pic="http://schemas.openxmlformats.org/drawingml/2006/picture">
                                    <pic:nvPicPr>
                                      <pic:cNvPr id="59" name="图片 754" descr="1"/>
                                      <pic:cNvPicPr>
                                        <a:picLocks noChangeAspect="1"/>
                                      </pic:cNvPicPr>
                                    </pic:nvPicPr>
                                    <pic:blipFill>
                                      <a:blip r:embed="rId46"/>
                                      <a:stretch>
                                        <a:fillRect/>
                                      </a:stretch>
                                    </pic:blipFill>
                                    <pic:spPr>
                                      <a:xfrm>
                                        <a:off x="4407" y="1049350"/>
                                        <a:ext cx="1031" cy="1031"/>
                                      </a:xfrm>
                                      <a:prstGeom prst="rect">
                                        <a:avLst/>
                                      </a:prstGeom>
                                      <a:noFill/>
                                      <a:ln>
                                        <a:noFill/>
                                      </a:ln>
                                      <a:effectLst/>
                                    </pic:spPr>
                                  </pic:pic>
                                  <pic:pic xmlns:pic="http://schemas.openxmlformats.org/drawingml/2006/picture">
                                    <pic:nvPicPr>
                                      <pic:cNvPr id="60" name="图片 755" descr="点击看大图及详细资料"/>
                                      <pic:cNvPicPr>
                                        <a:picLocks noChangeAspect="1"/>
                                      </pic:cNvPicPr>
                                    </pic:nvPicPr>
                                    <pic:blipFill>
                                      <a:blip r:embed="rId47"/>
                                      <a:stretch>
                                        <a:fillRect/>
                                      </a:stretch>
                                    </pic:blipFill>
                                    <pic:spPr>
                                      <a:xfrm>
                                        <a:off x="5651" y="1049375"/>
                                        <a:ext cx="1031" cy="1031"/>
                                      </a:xfrm>
                                      <a:prstGeom prst="rect">
                                        <a:avLst/>
                                      </a:prstGeom>
                                      <a:noFill/>
                                      <a:ln>
                                        <a:noFill/>
                                      </a:ln>
                                      <a:effectLst/>
                                    </pic:spPr>
                                  </pic:pic>
                                  <pic:pic xmlns:pic="http://schemas.openxmlformats.org/drawingml/2006/picture">
                                    <pic:nvPicPr>
                                      <pic:cNvPr id="61" name="图片 756" descr="点击看大图及详细资料"/>
                                      <pic:cNvPicPr>
                                        <a:picLocks noChangeAspect="1"/>
                                      </pic:cNvPicPr>
                                    </pic:nvPicPr>
                                    <pic:blipFill>
                                      <a:blip r:embed="rId48"/>
                                      <a:stretch>
                                        <a:fillRect/>
                                      </a:stretch>
                                    </pic:blipFill>
                                    <pic:spPr>
                                      <a:xfrm>
                                        <a:off x="6899" y="1049361"/>
                                        <a:ext cx="1034" cy="1031"/>
                                      </a:xfrm>
                                      <a:prstGeom prst="rect">
                                        <a:avLst/>
                                      </a:prstGeom>
                                      <a:noFill/>
                                      <a:ln>
                                        <a:noFill/>
                                      </a:ln>
                                      <a:effectLst/>
                                    </pic:spPr>
                                  </pic:pic>
                                  <pic:pic xmlns:pic="http://schemas.openxmlformats.org/drawingml/2006/picture">
                                    <pic:nvPicPr>
                                      <pic:cNvPr id="62" name="图片 757" descr="一般固废"/>
                                      <pic:cNvPicPr preferRelativeResize="0"/>
                                    </pic:nvPicPr>
                                    <pic:blipFill>
                                      <a:blip r:embed="rId49"/>
                                      <a:stretch>
                                        <a:fillRect/>
                                      </a:stretch>
                                    </pic:blipFill>
                                    <pic:spPr>
                                      <a:xfrm>
                                        <a:off x="8179" y="1049376"/>
                                        <a:ext cx="1033" cy="1031"/>
                                      </a:xfrm>
                                      <a:prstGeom prst="rect">
                                        <a:avLst/>
                                      </a:prstGeom>
                                      <a:noFill/>
                                      <a:ln>
                                        <a:noFill/>
                                      </a:ln>
                                      <a:effectLst/>
                                    </pic:spPr>
                                  </pic:pic>
                                </wpg:wgp>
                              </a:graphicData>
                            </a:graphic>
                          </wp:anchor>
                        </w:drawing>
                      </mc:Choice>
                      <mc:Fallback>
                        <w:pict>
                          <v:group id="组合 8" o:spid="_x0000_s1026" o:spt="203" style="position:absolute;left:0pt;margin-left:3.9pt;margin-top:1.65pt;height:51.15pt;width:232.35pt;z-index:251662336;mso-width-relative:page;mso-height-relative:page;" coordorigin="4407,1049350" coordsize="4805,1057" o:gfxdata="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">
                            <o:lock v:ext="edit" aspectratio="f"/>
                            <v:shape id="图片 754" o:spid="_x0000_s1026" o:spt="75" alt="1" type="#_x0000_t75" style="position:absolute;left:4407;top:1049350;height:1031;width:1031;" filled="f" o:preferrelative="t" stroked="f" coordsize="21600,21600" o:gfxdata="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AXIL4A&#10;AADbAAAADwAAAAAAAAABACAAAAAiAAAAZHJzL2Rvd25yZXYueG1sUEsBAhQAFAAAAAgAh07iQDMv&#10;BZ47AAAAOQAAABAAAAAAAAAAAQAgAAAADQEAAGRycy9zaGFwZXhtbC54bWxQSwUGAAAAAAYABgBb&#10;AQAAtwMAAAAA&#10;">
                              <v:fill on="f" focussize="0,0"/>
                              <v:stroke on="f"/>
                              <v:imagedata r:id="rId46" o:title=""/>
                              <o:lock v:ext="edit" aspectratio="t"/>
                            </v:shape>
                            <v:shape id="图片 755" o:spid="_x0000_s1026" o:spt="75" alt="点击看大图及详细资料" type="#_x0000_t75" style="position:absolute;left:5651;top:1049375;height:1031;width:1031;" filled="f" o:preferrelative="t" stroked="f" coordsize="21600,21600" o:gfxdata="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DzCXvQAA&#10;ANsAAAAPAAAAAAAAAAEAIAAAACIAAABkcnMvZG93bnJldi54bWxQSwECFAAUAAAACACHTuJAMy8F&#10;njsAAAA5AAAAEAAAAAAAAAABACAAAAAMAQAAZHJzL3NoYXBleG1sLnhtbFBLBQYAAAAABgAGAFsB&#10;AAC2AwAAAAA=&#10;">
                              <v:fill on="f" focussize="0,0"/>
                              <v:stroke on="f"/>
                              <v:imagedata r:id="rId47" o:title=""/>
                              <o:lock v:ext="edit" aspectratio="t"/>
                            </v:shape>
                            <v:shape id="图片 756" o:spid="_x0000_s1026" o:spt="75" alt="点击看大图及详细资料" type="#_x0000_t75" style="position:absolute;left:6899;top:1049361;height:1031;width:1034;" filled="f" o:preferrelative="t" stroked="f" coordsize="21600,21600" o:gfxdata="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V15i8AAAA&#10;2wAAAA8AAAAAAAAAAQAgAAAAIgAAAGRycy9kb3ducmV2LnhtbFBLAQIUABQAAAAIAIdO4kAzLwWe&#10;OwAAADkAAAAQAAAAAAAAAAEAIAAAAAsBAABkcnMvc2hhcGV4bWwueG1sUEsFBgAAAAAGAAYAWwEA&#10;ALUDAAAAAA==&#10;">
                              <v:fill on="f" focussize="0,0"/>
                              <v:stroke on="f"/>
                              <v:imagedata r:id="rId48" o:title=""/>
                              <o:lock v:ext="edit" aspectratio="t"/>
                            </v:shape>
                            <v:shape id="图片 757" o:spid="_x0000_s1026" o:spt="75" alt="一般固废" type="#_x0000_t75" style="position:absolute;left:8179;top:1049376;height:1031;width:1033;" filled="f" o:preferrelative="f" stroked="f" coordsize="21600,21600" o:gfxdata="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tzMIvQAA&#10;ANsAAAAPAAAAAAAAAAEAIAAAACIAAABkcnMvZG93bnJldi54bWxQSwECFAAUAAAACACHTuJAMy8F&#10;njsAAAA5AAAAEAAAAAAAAAABACAAAAAMAQAAZHJzL3NoYXBleG1sLnhtbFBLBQYAAAAABgAGAFsB&#10;AAC2AwAAAAA=&#10;">
                              <v:fill on="f" focussize="0,0"/>
                              <v:stroke on="f"/>
                              <v:imagedata r:id="rId49" o:title=""/>
                              <o:lock v:ext="edit" aspectratio="f"/>
                            </v:shape>
                          </v:group>
                        </w:pict>
                      </mc:Fallback>
                    </mc:AlternateContent>
                  </w:r>
                </w:p>
                <w:p w14:paraId="1D87085B">
                  <w:pPr>
                    <w:pStyle w:val="38"/>
                    <w:keepNext w:val="0"/>
                    <w:keepLines w:val="0"/>
                    <w:widowControl/>
                    <w:suppressLineNumbers w:val="0"/>
                    <w:bidi w:val="0"/>
                    <w:spacing w:before="0" w:beforeAutospacing="0" w:after="0" w:afterAutospacing="0"/>
                    <w:ind w:left="0" w:right="0"/>
                    <w:rPr>
                      <w:rFonts w:hint="eastAsia"/>
                      <w:szCs w:val="22"/>
                      <w:lang w:val="en-GB"/>
                    </w:rPr>
                  </w:pPr>
                </w:p>
                <w:p w14:paraId="0DC22780">
                  <w:pPr>
                    <w:pStyle w:val="38"/>
                    <w:keepNext w:val="0"/>
                    <w:keepLines w:val="0"/>
                    <w:widowControl/>
                    <w:suppressLineNumbers w:val="0"/>
                    <w:bidi w:val="0"/>
                    <w:spacing w:before="0" w:beforeAutospacing="0" w:after="0" w:afterAutospacing="0"/>
                    <w:ind w:left="0" w:right="0"/>
                    <w:rPr>
                      <w:rFonts w:hint="eastAsia"/>
                      <w:szCs w:val="22"/>
                      <w:lang w:val="en-GB"/>
                    </w:rPr>
                  </w:pPr>
                </w:p>
                <w:p w14:paraId="786F045C">
                  <w:pPr>
                    <w:pStyle w:val="38"/>
                    <w:keepNext w:val="0"/>
                    <w:keepLines w:val="0"/>
                    <w:widowControl/>
                    <w:suppressLineNumbers w:val="0"/>
                    <w:bidi w:val="0"/>
                    <w:spacing w:before="0" w:beforeAutospacing="0" w:after="0" w:afterAutospacing="0"/>
                    <w:ind w:left="0" w:right="0"/>
                    <w:rPr>
                      <w:rFonts w:hint="eastAsia"/>
                      <w:szCs w:val="22"/>
                      <w:lang w:val="en-GB"/>
                    </w:rPr>
                  </w:pPr>
                </w:p>
              </w:tc>
              <w:tc>
                <w:tcPr>
                  <w:tcW w:w="819" w:type="pct"/>
                  <w:tcBorders>
                    <w:top w:val="single" w:color="auto" w:sz="6" w:space="0"/>
                    <w:left w:val="single" w:color="auto" w:sz="6" w:space="0"/>
                    <w:bottom w:val="single" w:color="auto" w:sz="6" w:space="0"/>
                    <w:right w:val="single" w:color="auto" w:sz="6" w:space="0"/>
                  </w:tcBorders>
                  <w:noWrap w:val="0"/>
                  <w:vAlign w:val="center"/>
                </w:tcPr>
                <w:p w14:paraId="004ACB21">
                  <w:pPr>
                    <w:pStyle w:val="38"/>
                    <w:keepNext w:val="0"/>
                    <w:keepLines w:val="0"/>
                    <w:widowControl/>
                    <w:suppressLineNumbers w:val="0"/>
                    <w:bidi w:val="0"/>
                    <w:spacing w:before="0" w:beforeAutospacing="0" w:after="0" w:afterAutospacing="0"/>
                    <w:ind w:left="0" w:right="0"/>
                    <w:rPr>
                      <w:rFonts w:hint="eastAsia"/>
                      <w:szCs w:val="22"/>
                      <w:lang w:val="en-GB"/>
                    </w:rPr>
                  </w:pPr>
                </w:p>
                <w:p w14:paraId="7AA6096F">
                  <w:pPr>
                    <w:pStyle w:val="38"/>
                    <w:keepNext w:val="0"/>
                    <w:keepLines w:val="0"/>
                    <w:widowControl/>
                    <w:suppressLineNumbers w:val="0"/>
                    <w:bidi w:val="0"/>
                    <w:spacing w:before="0" w:beforeAutospacing="0" w:after="0" w:afterAutospacing="0"/>
                    <w:ind w:left="0" w:right="0"/>
                    <w:rPr>
                      <w:rFonts w:hint="eastAsia"/>
                      <w:szCs w:val="22"/>
                      <w:lang w:val="en-GB"/>
                    </w:rPr>
                  </w:pPr>
                </w:p>
                <w:p w14:paraId="119C5CBB">
                  <w:pPr>
                    <w:pStyle w:val="38"/>
                    <w:keepNext w:val="0"/>
                    <w:keepLines w:val="0"/>
                    <w:widowControl/>
                    <w:suppressLineNumbers w:val="0"/>
                    <w:bidi w:val="0"/>
                    <w:spacing w:before="0" w:beforeAutospacing="0" w:after="0" w:afterAutospacing="0"/>
                    <w:ind w:left="0" w:right="0"/>
                    <w:rPr>
                      <w:rFonts w:hint="eastAsia"/>
                      <w:szCs w:val="22"/>
                      <w:lang w:val="en-GB"/>
                    </w:rPr>
                  </w:pPr>
                </w:p>
              </w:tc>
              <w:tc>
                <w:tcPr>
                  <w:tcW w:w="819" w:type="pct"/>
                  <w:tcBorders>
                    <w:top w:val="single" w:color="auto" w:sz="6" w:space="0"/>
                    <w:left w:val="single" w:color="auto" w:sz="6" w:space="0"/>
                    <w:bottom w:val="single" w:color="auto" w:sz="6" w:space="0"/>
                    <w:right w:val="single" w:color="auto" w:sz="6" w:space="0"/>
                  </w:tcBorders>
                  <w:noWrap w:val="0"/>
                  <w:vAlign w:val="center"/>
                </w:tcPr>
                <w:p w14:paraId="4F58EAB4">
                  <w:pPr>
                    <w:pStyle w:val="38"/>
                    <w:keepNext w:val="0"/>
                    <w:keepLines w:val="0"/>
                    <w:widowControl/>
                    <w:suppressLineNumbers w:val="0"/>
                    <w:bidi w:val="0"/>
                    <w:spacing w:before="0" w:beforeAutospacing="0" w:after="0" w:afterAutospacing="0"/>
                    <w:ind w:left="0" w:right="0"/>
                    <w:rPr>
                      <w:rFonts w:hint="eastAsia"/>
                      <w:szCs w:val="22"/>
                      <w:lang w:val="en-GB"/>
                    </w:rPr>
                  </w:pPr>
                </w:p>
                <w:p w14:paraId="53F257EB">
                  <w:pPr>
                    <w:pStyle w:val="38"/>
                    <w:keepNext w:val="0"/>
                    <w:keepLines w:val="0"/>
                    <w:widowControl/>
                    <w:suppressLineNumbers w:val="0"/>
                    <w:bidi w:val="0"/>
                    <w:spacing w:before="0" w:beforeAutospacing="0" w:after="0" w:afterAutospacing="0"/>
                    <w:ind w:left="0" w:right="0"/>
                    <w:rPr>
                      <w:rFonts w:hint="eastAsia"/>
                      <w:szCs w:val="22"/>
                      <w:lang w:val="en-GB"/>
                    </w:rPr>
                  </w:pPr>
                </w:p>
                <w:p w14:paraId="31F02A22">
                  <w:pPr>
                    <w:pStyle w:val="38"/>
                    <w:keepNext w:val="0"/>
                    <w:keepLines w:val="0"/>
                    <w:widowControl/>
                    <w:suppressLineNumbers w:val="0"/>
                    <w:bidi w:val="0"/>
                    <w:spacing w:before="0" w:beforeAutospacing="0" w:after="0" w:afterAutospacing="0"/>
                    <w:ind w:left="0" w:right="0"/>
                    <w:rPr>
                      <w:rFonts w:hint="eastAsia"/>
                      <w:szCs w:val="22"/>
                      <w:lang w:val="en-GB"/>
                    </w:rPr>
                  </w:pPr>
                </w:p>
              </w:tc>
              <w:tc>
                <w:tcPr>
                  <w:tcW w:w="848" w:type="pct"/>
                  <w:tcBorders>
                    <w:top w:val="single" w:color="auto" w:sz="6" w:space="0"/>
                    <w:left w:val="single" w:color="auto" w:sz="6" w:space="0"/>
                    <w:bottom w:val="single" w:color="auto" w:sz="6" w:space="0"/>
                    <w:right w:val="single" w:color="auto" w:sz="6" w:space="0"/>
                  </w:tcBorders>
                  <w:noWrap w:val="0"/>
                  <w:vAlign w:val="center"/>
                </w:tcPr>
                <w:p w14:paraId="7438A9FB">
                  <w:pPr>
                    <w:pStyle w:val="38"/>
                    <w:keepNext w:val="0"/>
                    <w:keepLines w:val="0"/>
                    <w:widowControl/>
                    <w:suppressLineNumbers w:val="0"/>
                    <w:bidi w:val="0"/>
                    <w:spacing w:before="0" w:beforeAutospacing="0" w:after="0" w:afterAutospacing="0"/>
                    <w:ind w:left="0" w:right="0"/>
                    <w:rPr>
                      <w:rFonts w:hint="eastAsia"/>
                      <w:szCs w:val="22"/>
                      <w:lang w:val="en-GB"/>
                    </w:rPr>
                  </w:pPr>
                </w:p>
              </w:tc>
              <w:tc>
                <w:tcPr>
                  <w:tcW w:w="788" w:type="pct"/>
                  <w:tcBorders>
                    <w:top w:val="single" w:color="auto" w:sz="6" w:space="0"/>
                    <w:left w:val="single" w:color="auto" w:sz="6" w:space="0"/>
                    <w:bottom w:val="single" w:color="auto" w:sz="6" w:space="0"/>
                    <w:right w:val="nil"/>
                  </w:tcBorders>
                  <w:noWrap w:val="0"/>
                  <w:vAlign w:val="center"/>
                </w:tcPr>
                <w:p w14:paraId="34304F0E">
                  <w:pPr>
                    <w:pStyle w:val="15"/>
                    <w:keepNext w:val="0"/>
                    <w:keepLines w:val="0"/>
                    <w:suppressLineNumbers w:val="0"/>
                    <w:bidi w:val="0"/>
                    <w:spacing w:before="0" w:beforeAutospacing="0" w:after="0" w:afterAutospacing="0"/>
                    <w:ind w:left="0" w:right="0"/>
                    <w:jc w:val="center"/>
                    <w:rPr>
                      <w:lang w:val="en-GB"/>
                    </w:rPr>
                  </w:pPr>
                  <w:r>
                    <w:rPr>
                      <w:rFonts w:hint="eastAsia"/>
                      <w:lang w:eastAsia="zh-CN"/>
                    </w:rPr>
                    <w:drawing>
                      <wp:inline distT="0" distB="0" distL="114300" distR="114300">
                        <wp:extent cx="660400" cy="600710"/>
                        <wp:effectExtent l="0" t="0" r="6350" b="8890"/>
                        <wp:docPr id="70" name="图片 9" descr="093c2d640a89c2c2fc565a102dcd8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9" descr="093c2d640a89c2c2fc565a102dcd89f"/>
                                <pic:cNvPicPr>
                                  <a:picLocks noChangeAspect="1"/>
                                </pic:cNvPicPr>
                              </pic:nvPicPr>
                              <pic:blipFill>
                                <a:blip r:embed="rId50"/>
                                <a:stretch>
                                  <a:fillRect/>
                                </a:stretch>
                              </pic:blipFill>
                              <pic:spPr>
                                <a:xfrm>
                                  <a:off x="0" y="0"/>
                                  <a:ext cx="660400" cy="600710"/>
                                </a:xfrm>
                                <a:prstGeom prst="rect">
                                  <a:avLst/>
                                </a:prstGeom>
                                <a:noFill/>
                                <a:ln>
                                  <a:noFill/>
                                </a:ln>
                              </pic:spPr>
                            </pic:pic>
                          </a:graphicData>
                        </a:graphic>
                      </wp:inline>
                    </w:drawing>
                  </w:r>
                </w:p>
              </w:tc>
            </w:tr>
            <w:tr w14:paraId="5DCD0076">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6" w:space="0"/>
                    <w:right w:val="single" w:color="auto" w:sz="6" w:space="0"/>
                  </w:tcBorders>
                  <w:noWrap w:val="0"/>
                  <w:vAlign w:val="center"/>
                </w:tcPr>
                <w:p w14:paraId="398267B1">
                  <w:pPr>
                    <w:pStyle w:val="38"/>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形状</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4610A08F">
                  <w:pPr>
                    <w:pStyle w:val="38"/>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正方形边框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30159581">
                  <w:pPr>
                    <w:pStyle w:val="38"/>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正方形边框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5316D83D">
                  <w:pPr>
                    <w:pStyle w:val="38"/>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正方形边框</w:t>
                  </w:r>
                </w:p>
              </w:tc>
              <w:tc>
                <w:tcPr>
                  <w:tcW w:w="848" w:type="pct"/>
                  <w:tcBorders>
                    <w:top w:val="single" w:color="auto" w:sz="6" w:space="0"/>
                    <w:left w:val="single" w:color="auto" w:sz="6" w:space="0"/>
                    <w:bottom w:val="single" w:color="auto" w:sz="6" w:space="0"/>
                    <w:right w:val="single" w:color="auto" w:sz="6" w:space="0"/>
                  </w:tcBorders>
                  <w:noWrap w:val="0"/>
                  <w:vAlign w:val="center"/>
                </w:tcPr>
                <w:p w14:paraId="3A43E154">
                  <w:pPr>
                    <w:pStyle w:val="38"/>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三角形边框</w:t>
                  </w:r>
                </w:p>
              </w:tc>
              <w:tc>
                <w:tcPr>
                  <w:tcW w:w="788" w:type="pct"/>
                  <w:tcBorders>
                    <w:top w:val="single" w:color="auto" w:sz="6" w:space="0"/>
                    <w:left w:val="single" w:color="auto" w:sz="6" w:space="0"/>
                    <w:bottom w:val="single" w:color="auto" w:sz="6" w:space="0"/>
                    <w:right w:val="nil"/>
                  </w:tcBorders>
                  <w:noWrap w:val="0"/>
                  <w:vAlign w:val="center"/>
                </w:tcPr>
                <w:p w14:paraId="29FAA4E8">
                  <w:pPr>
                    <w:pStyle w:val="38"/>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三角形边框</w:t>
                  </w:r>
                </w:p>
              </w:tc>
            </w:tr>
            <w:tr w14:paraId="6BDE219B">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6" w:space="0"/>
                    <w:right w:val="single" w:color="auto" w:sz="6" w:space="0"/>
                  </w:tcBorders>
                  <w:noWrap w:val="0"/>
                  <w:vAlign w:val="center"/>
                </w:tcPr>
                <w:p w14:paraId="1F90AA40">
                  <w:pPr>
                    <w:pStyle w:val="38"/>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背景颜色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0739B71F">
                  <w:pPr>
                    <w:pStyle w:val="38"/>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绿色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4B71B266">
                  <w:pPr>
                    <w:pStyle w:val="38"/>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绿色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37B84761">
                  <w:pPr>
                    <w:pStyle w:val="38"/>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绿色</w:t>
                  </w:r>
                </w:p>
              </w:tc>
              <w:tc>
                <w:tcPr>
                  <w:tcW w:w="848" w:type="pct"/>
                  <w:tcBorders>
                    <w:top w:val="single" w:color="auto" w:sz="6" w:space="0"/>
                    <w:left w:val="single" w:color="auto" w:sz="6" w:space="0"/>
                    <w:bottom w:val="single" w:color="auto" w:sz="6" w:space="0"/>
                    <w:right w:val="single" w:color="auto" w:sz="6" w:space="0"/>
                  </w:tcBorders>
                  <w:noWrap w:val="0"/>
                  <w:vAlign w:val="center"/>
                </w:tcPr>
                <w:p w14:paraId="7F9C179D">
                  <w:pPr>
                    <w:pStyle w:val="38"/>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黄色</w:t>
                  </w:r>
                </w:p>
              </w:tc>
              <w:tc>
                <w:tcPr>
                  <w:tcW w:w="788" w:type="pct"/>
                  <w:tcBorders>
                    <w:top w:val="single" w:color="auto" w:sz="6" w:space="0"/>
                    <w:left w:val="single" w:color="auto" w:sz="6" w:space="0"/>
                    <w:bottom w:val="single" w:color="auto" w:sz="6" w:space="0"/>
                    <w:right w:val="nil"/>
                  </w:tcBorders>
                  <w:noWrap w:val="0"/>
                  <w:vAlign w:val="center"/>
                </w:tcPr>
                <w:p w14:paraId="16E6F7B8">
                  <w:pPr>
                    <w:pStyle w:val="38"/>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黄色</w:t>
                  </w:r>
                </w:p>
              </w:tc>
            </w:tr>
            <w:tr w14:paraId="7867FA3A">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12" w:space="0"/>
                    <w:right w:val="single" w:color="auto" w:sz="6" w:space="0"/>
                  </w:tcBorders>
                  <w:noWrap w:val="0"/>
                  <w:vAlign w:val="center"/>
                </w:tcPr>
                <w:p w14:paraId="2FC90FF0">
                  <w:pPr>
                    <w:pStyle w:val="38"/>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图形颜色</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63B98232">
                  <w:pPr>
                    <w:pStyle w:val="38"/>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白色</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3C1BE532">
                  <w:pPr>
                    <w:pStyle w:val="38"/>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白色</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1A023DB4">
                  <w:pPr>
                    <w:pStyle w:val="38"/>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白色</w:t>
                  </w:r>
                </w:p>
              </w:tc>
              <w:tc>
                <w:tcPr>
                  <w:tcW w:w="848" w:type="pct"/>
                  <w:tcBorders>
                    <w:top w:val="single" w:color="auto" w:sz="6" w:space="0"/>
                    <w:left w:val="single" w:color="auto" w:sz="6" w:space="0"/>
                    <w:bottom w:val="single" w:color="auto" w:sz="12" w:space="0"/>
                    <w:right w:val="single" w:color="auto" w:sz="6" w:space="0"/>
                  </w:tcBorders>
                  <w:noWrap w:val="0"/>
                  <w:vAlign w:val="center"/>
                </w:tcPr>
                <w:p w14:paraId="28666288">
                  <w:pPr>
                    <w:pStyle w:val="38"/>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黑色</w:t>
                  </w:r>
                </w:p>
              </w:tc>
              <w:tc>
                <w:tcPr>
                  <w:tcW w:w="788" w:type="pct"/>
                  <w:tcBorders>
                    <w:top w:val="single" w:color="auto" w:sz="6" w:space="0"/>
                    <w:left w:val="single" w:color="auto" w:sz="6" w:space="0"/>
                    <w:bottom w:val="single" w:color="auto" w:sz="12" w:space="0"/>
                    <w:right w:val="nil"/>
                  </w:tcBorders>
                  <w:noWrap w:val="0"/>
                  <w:vAlign w:val="center"/>
                </w:tcPr>
                <w:p w14:paraId="572F56BA">
                  <w:pPr>
                    <w:pStyle w:val="38"/>
                    <w:keepNext w:val="0"/>
                    <w:keepLines w:val="0"/>
                    <w:widowControl/>
                    <w:suppressLineNumbers w:val="0"/>
                    <w:bidi w:val="0"/>
                    <w:spacing w:before="0" w:beforeAutospacing="0" w:after="0" w:afterAutospacing="0"/>
                    <w:ind w:left="0" w:right="0"/>
                    <w:rPr>
                      <w:rFonts w:hint="eastAsia"/>
                      <w:szCs w:val="22"/>
                      <w:lang w:val="en-GB"/>
                    </w:rPr>
                  </w:pPr>
                  <w:r>
                    <w:rPr>
                      <w:rFonts w:hint="eastAsia"/>
                      <w:szCs w:val="22"/>
                      <w:lang w:val="en-GB"/>
                    </w:rPr>
                    <w:t>黑色</w:t>
                  </w:r>
                </w:p>
              </w:tc>
            </w:tr>
          </w:tbl>
          <w:p w14:paraId="3CC178CD">
            <w:pPr>
              <w:pStyle w:val="3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420" w:firstLineChars="200"/>
              <w:jc w:val="both"/>
              <w:textAlignment w:val="auto"/>
              <w:rPr>
                <w:rFonts w:hint="default"/>
                <w:szCs w:val="22"/>
                <w:lang w:val="en-US" w:eastAsia="zh-CN"/>
              </w:rPr>
            </w:pPr>
            <w:r>
              <w:rPr>
                <w:rFonts w:hint="default"/>
                <w:szCs w:val="22"/>
                <w:lang w:val="en-US" w:eastAsia="zh-CN"/>
              </w:rPr>
              <w:t>（2）排污申报</w:t>
            </w:r>
          </w:p>
          <w:p w14:paraId="02B7F461">
            <w:pPr>
              <w:pStyle w:val="3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420" w:firstLineChars="200"/>
              <w:jc w:val="both"/>
              <w:textAlignment w:val="auto"/>
              <w:rPr>
                <w:rFonts w:hint="default"/>
                <w:szCs w:val="22"/>
                <w:lang w:val="en-US" w:eastAsia="zh-CN"/>
              </w:rPr>
            </w:pPr>
            <w:r>
              <w:rPr>
                <w:rFonts w:hint="default"/>
                <w:szCs w:val="22"/>
                <w:lang w:val="en-US" w:eastAsia="zh-CN"/>
              </w:rPr>
              <w:t>根据《固定污染源排污许可分类管理名录</w:t>
            </w:r>
            <w:r>
              <w:rPr>
                <w:rFonts w:hint="eastAsia"/>
                <w:szCs w:val="22"/>
                <w:lang w:val="en-US" w:eastAsia="zh-CN"/>
              </w:rPr>
              <w:t>（</w:t>
            </w:r>
            <w:r>
              <w:rPr>
                <w:rFonts w:hint="default"/>
                <w:szCs w:val="22"/>
                <w:lang w:val="en-US" w:eastAsia="zh-CN"/>
              </w:rPr>
              <w:t>2019年版</w:t>
            </w:r>
            <w:r>
              <w:rPr>
                <w:rFonts w:hint="eastAsia"/>
                <w:szCs w:val="22"/>
                <w:lang w:val="en-US" w:eastAsia="zh-CN"/>
              </w:rPr>
              <w:t>）</w:t>
            </w:r>
            <w:r>
              <w:rPr>
                <w:rFonts w:hint="default"/>
                <w:szCs w:val="22"/>
                <w:lang w:val="en-US" w:eastAsia="zh-CN"/>
              </w:rPr>
              <w:t>》</w:t>
            </w:r>
            <w:r>
              <w:rPr>
                <w:rFonts w:hint="eastAsia"/>
                <w:szCs w:val="22"/>
                <w:lang w:val="en-US" w:eastAsia="zh-CN"/>
              </w:rPr>
              <w:t>（</w:t>
            </w:r>
            <w:r>
              <w:rPr>
                <w:rFonts w:hint="default"/>
                <w:szCs w:val="22"/>
                <w:lang w:val="en-US" w:eastAsia="zh-CN"/>
              </w:rPr>
              <w:t>生态环境部第11号</w:t>
            </w:r>
            <w:r>
              <w:rPr>
                <w:rFonts w:hint="eastAsia"/>
                <w:szCs w:val="22"/>
                <w:lang w:val="en-US" w:eastAsia="zh-CN"/>
              </w:rPr>
              <w:t>）</w:t>
            </w:r>
            <w:r>
              <w:rPr>
                <w:rFonts w:hint="default"/>
                <w:szCs w:val="22"/>
                <w:lang w:val="en-US" w:eastAsia="zh-CN"/>
              </w:rPr>
              <w:t>可知，本项目实行排污许可登记管理；因此，建设单位应当在启动生产设施或者发生实际排污之前在全国排污许可证管理信息平台进行排污许可登记。</w:t>
            </w:r>
          </w:p>
          <w:p w14:paraId="51C2D98E">
            <w:pPr>
              <w:pStyle w:val="39"/>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表 5.1-2 周定污染源排污许可分类管理名录</w:t>
            </w:r>
            <w:r>
              <w:rPr>
                <w:rFonts w:hint="eastAsia"/>
                <w:lang w:val="en-US" w:eastAsia="zh-CN"/>
              </w:rPr>
              <w:t>（</w:t>
            </w:r>
            <w:r>
              <w:rPr>
                <w:rFonts w:hint="default"/>
                <w:lang w:val="en-US" w:eastAsia="zh-CN"/>
              </w:rPr>
              <w:t>摘录</w:t>
            </w:r>
            <w:r>
              <w:rPr>
                <w:rFonts w:hint="eastAsia"/>
                <w:lang w:val="en-US" w:eastAsia="zh-CN"/>
              </w:rPr>
              <w:t>）</w:t>
            </w:r>
          </w:p>
          <w:tbl>
            <w:tblPr>
              <w:tblStyle w:val="30"/>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1067"/>
              <w:gridCol w:w="2117"/>
              <w:gridCol w:w="3133"/>
              <w:gridCol w:w="795"/>
            </w:tblGrid>
            <w:tr w14:paraId="23030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dxa"/>
                  <w:tcBorders>
                    <w:top w:val="single" w:color="auto" w:sz="12" w:space="0"/>
                    <w:left w:val="nil"/>
                  </w:tcBorders>
                  <w:noWrap w:val="0"/>
                  <w:vAlign w:val="center"/>
                </w:tcPr>
                <w:p w14:paraId="4153CC40">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序号</w:t>
                  </w:r>
                </w:p>
              </w:tc>
              <w:tc>
                <w:tcPr>
                  <w:tcW w:w="1067" w:type="dxa"/>
                  <w:tcBorders>
                    <w:top w:val="single" w:color="auto" w:sz="12" w:space="0"/>
                  </w:tcBorders>
                  <w:noWrap w:val="0"/>
                  <w:vAlign w:val="center"/>
                </w:tcPr>
                <w:p w14:paraId="3D0C4D37">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行业类别</w:t>
                  </w:r>
                </w:p>
              </w:tc>
              <w:tc>
                <w:tcPr>
                  <w:tcW w:w="2117" w:type="dxa"/>
                  <w:tcBorders>
                    <w:top w:val="single" w:color="auto" w:sz="12" w:space="0"/>
                  </w:tcBorders>
                  <w:noWrap w:val="0"/>
                  <w:vAlign w:val="center"/>
                </w:tcPr>
                <w:p w14:paraId="3CBA8CF0">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重点管理</w:t>
                  </w:r>
                </w:p>
              </w:tc>
              <w:tc>
                <w:tcPr>
                  <w:tcW w:w="3133" w:type="dxa"/>
                  <w:tcBorders>
                    <w:top w:val="single" w:color="auto" w:sz="12" w:space="0"/>
                  </w:tcBorders>
                  <w:noWrap w:val="0"/>
                  <w:vAlign w:val="center"/>
                </w:tcPr>
                <w:p w14:paraId="7C21B1FF">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简化管理</w:t>
                  </w:r>
                </w:p>
              </w:tc>
              <w:tc>
                <w:tcPr>
                  <w:tcW w:w="795" w:type="dxa"/>
                  <w:tcBorders>
                    <w:top w:val="single" w:color="auto" w:sz="12" w:space="0"/>
                    <w:right w:val="nil"/>
                  </w:tcBorders>
                  <w:shd w:val="clear" w:color="auto" w:fill="BEBEBE" w:themeFill="background1" w:themeFillShade="BF"/>
                  <w:noWrap w:val="0"/>
                  <w:vAlign w:val="center"/>
                </w:tcPr>
                <w:p w14:paraId="3C910A63">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登记管理</w:t>
                  </w:r>
                </w:p>
              </w:tc>
            </w:tr>
            <w:tr w14:paraId="3C3F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2" w:type="dxa"/>
                  <w:gridSpan w:val="5"/>
                  <w:tcBorders>
                    <w:left w:val="nil"/>
                    <w:right w:val="nil"/>
                  </w:tcBorders>
                  <w:shd w:val="clear" w:color="auto" w:fill="BEBEBE" w:themeFill="background1" w:themeFillShade="BF"/>
                  <w:noWrap w:val="0"/>
                  <w:vAlign w:val="center"/>
                </w:tcPr>
                <w:p w14:paraId="4E6B4661">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二十四、橡胶和塑料制品业 29</w:t>
                  </w:r>
                </w:p>
              </w:tc>
            </w:tr>
            <w:tr w14:paraId="20B33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dxa"/>
                  <w:tcBorders>
                    <w:left w:val="nil"/>
                  </w:tcBorders>
                  <w:noWrap w:val="0"/>
                  <w:vAlign w:val="center"/>
                </w:tcPr>
                <w:p w14:paraId="406AE025">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62</w:t>
                  </w:r>
                </w:p>
              </w:tc>
              <w:tc>
                <w:tcPr>
                  <w:tcW w:w="1067" w:type="dxa"/>
                  <w:noWrap w:val="0"/>
                  <w:vAlign w:val="center"/>
                </w:tcPr>
                <w:p w14:paraId="2BA80EDD">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塑料制品业 292</w:t>
                  </w:r>
                </w:p>
              </w:tc>
              <w:tc>
                <w:tcPr>
                  <w:tcW w:w="2117" w:type="dxa"/>
                  <w:noWrap w:val="0"/>
                  <w:vAlign w:val="center"/>
                </w:tcPr>
                <w:p w14:paraId="01F000F4">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塑料人造革、合成革制造 2925</w:t>
                  </w:r>
                </w:p>
              </w:tc>
              <w:tc>
                <w:tcPr>
                  <w:tcW w:w="3133" w:type="dxa"/>
                  <w:noWrap w:val="0"/>
                  <w:vAlign w:val="center"/>
                </w:tcPr>
                <w:p w14:paraId="0FBE48F3">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年产1万吨及以上的泡沫塑料制造2924，年产1万吨及以上涉及改性的塑料薄膜制造 2921、塑料板、管、型材制造 2922、塑料丝、绳和编织品制造 2923、塑料包装箱及容器制造 2926、日用塑料品制造 2927、人造草坪制造 2928、塑料零件及其他塑料制品制造 2929</w:t>
                  </w:r>
                </w:p>
              </w:tc>
              <w:tc>
                <w:tcPr>
                  <w:tcW w:w="795" w:type="dxa"/>
                  <w:tcBorders>
                    <w:right w:val="nil"/>
                  </w:tcBorders>
                  <w:shd w:val="clear" w:color="auto" w:fill="BEBEBE" w:themeFill="background1" w:themeFillShade="BF"/>
                  <w:noWrap w:val="0"/>
                  <w:vAlign w:val="center"/>
                </w:tcPr>
                <w:p w14:paraId="0A1CEC12">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其他</w:t>
                  </w:r>
                </w:p>
              </w:tc>
            </w:tr>
            <w:tr w14:paraId="34239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2" w:type="dxa"/>
                  <w:gridSpan w:val="5"/>
                  <w:tcBorders>
                    <w:left w:val="nil"/>
                    <w:right w:val="nil"/>
                  </w:tcBorders>
                  <w:shd w:val="clear" w:color="auto" w:fill="BEBEBE" w:themeFill="background1" w:themeFillShade="BF"/>
                  <w:noWrap w:val="0"/>
                  <w:vAlign w:val="center"/>
                </w:tcPr>
                <w:p w14:paraId="4E45822D">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二十八、金属制品业 33</w:t>
                  </w:r>
                </w:p>
              </w:tc>
            </w:tr>
            <w:tr w14:paraId="309ED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 w:type="dxa"/>
                  <w:tcBorders>
                    <w:left w:val="nil"/>
                  </w:tcBorders>
                  <w:noWrap w:val="0"/>
                  <w:vAlign w:val="center"/>
                </w:tcPr>
                <w:p w14:paraId="56F3E15A">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1</w:t>
                  </w:r>
                </w:p>
              </w:tc>
              <w:tc>
                <w:tcPr>
                  <w:tcW w:w="1067" w:type="dxa"/>
                  <w:noWrap w:val="0"/>
                  <w:vAlign w:val="center"/>
                </w:tcPr>
                <w:p w14:paraId="3DAA0D54">
                  <w:pPr>
                    <w:pStyle w:val="38"/>
                    <w:keepNext w:val="0"/>
                    <w:keepLines w:val="0"/>
                    <w:widowControl/>
                    <w:suppressLineNumbers w:val="0"/>
                    <w:bidi w:val="0"/>
                    <w:spacing w:before="0" w:beforeAutospacing="0" w:after="0" w:afterAutospacing="0"/>
                    <w:ind w:left="0" w:right="0"/>
                    <w:rPr>
                      <w:rFonts w:hint="eastAsia"/>
                      <w:szCs w:val="22"/>
                    </w:rPr>
                  </w:pPr>
                  <w:r>
                    <w:rPr>
                      <w:rFonts w:hint="eastAsia"/>
                      <w:szCs w:val="22"/>
                      <w:lang w:val="en-US" w:eastAsia="zh-CN"/>
                    </w:rPr>
                    <w:t>金属表面处理及热处理加工 336</w:t>
                  </w:r>
                </w:p>
                <w:p w14:paraId="17D68500">
                  <w:pPr>
                    <w:pStyle w:val="38"/>
                    <w:keepNext w:val="0"/>
                    <w:keepLines w:val="0"/>
                    <w:widowControl/>
                    <w:suppressLineNumbers w:val="0"/>
                    <w:bidi w:val="0"/>
                    <w:spacing w:before="0" w:beforeAutospacing="0" w:after="0" w:afterAutospacing="0"/>
                    <w:ind w:left="0" w:right="0"/>
                    <w:rPr>
                      <w:rFonts w:hint="default"/>
                      <w:szCs w:val="22"/>
                      <w:lang w:val="en-US" w:eastAsia="zh-CN"/>
                    </w:rPr>
                  </w:pPr>
                </w:p>
              </w:tc>
              <w:tc>
                <w:tcPr>
                  <w:tcW w:w="2117" w:type="dxa"/>
                  <w:noWrap w:val="0"/>
                  <w:vAlign w:val="center"/>
                </w:tcPr>
                <w:p w14:paraId="4D01596C">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rPr>
                    <w:t>纳入重点排污单位名录的，专业电镀企业（含电镀园区中电镀企业），专门处理电镀废水的集中处理设施，有电镀工序的，有含铬钝化工序的</w:t>
                  </w:r>
                </w:p>
              </w:tc>
              <w:tc>
                <w:tcPr>
                  <w:tcW w:w="3133" w:type="dxa"/>
                  <w:noWrap w:val="0"/>
                  <w:vAlign w:val="center"/>
                </w:tcPr>
                <w:p w14:paraId="45E591AA">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rPr>
                    <w:t>除重点管理以外的有酸洗、抛光（电 解抛光和化学抛光）、热浸镀（溶剂 法）、淬火或者无铬钝化等工序的、年使用 10吨及以上有机溶剂的</w:t>
                  </w:r>
                </w:p>
              </w:tc>
              <w:tc>
                <w:tcPr>
                  <w:tcW w:w="795" w:type="dxa"/>
                  <w:tcBorders>
                    <w:right w:val="nil"/>
                  </w:tcBorders>
                  <w:shd w:val="clear" w:color="auto" w:fill="BEBEBE" w:themeFill="background1" w:themeFillShade="BF"/>
                  <w:noWrap w:val="0"/>
                  <w:vAlign w:val="center"/>
                </w:tcPr>
                <w:p w14:paraId="6DF89EFA">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其他</w:t>
                  </w:r>
                </w:p>
              </w:tc>
            </w:tr>
          </w:tbl>
          <w:p w14:paraId="3287507F">
            <w:pPr>
              <w:pStyle w:val="3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420" w:firstLineChars="200"/>
              <w:jc w:val="both"/>
              <w:textAlignment w:val="auto"/>
              <w:rPr>
                <w:rFonts w:hint="default"/>
                <w:szCs w:val="22"/>
                <w:lang w:val="en-US" w:eastAsia="zh-CN"/>
              </w:rPr>
            </w:pPr>
            <w:r>
              <w:rPr>
                <w:rFonts w:hint="default"/>
                <w:szCs w:val="22"/>
                <w:lang w:val="en-US" w:eastAsia="zh-CN"/>
              </w:rPr>
              <w:t>（</w:t>
            </w:r>
            <w:r>
              <w:rPr>
                <w:rFonts w:hint="eastAsia"/>
                <w:szCs w:val="22"/>
                <w:lang w:val="en-US" w:eastAsia="zh-CN"/>
              </w:rPr>
              <w:t>3</w:t>
            </w:r>
            <w:r>
              <w:rPr>
                <w:rFonts w:hint="default"/>
                <w:szCs w:val="22"/>
                <w:lang w:val="en-US" w:eastAsia="zh-CN"/>
              </w:rPr>
              <w:t>）</w:t>
            </w:r>
            <w:bookmarkEnd w:id="47"/>
            <w:bookmarkStart w:id="48" w:name="_Toc24814500"/>
            <w:r>
              <w:rPr>
                <w:rFonts w:hint="default"/>
                <w:szCs w:val="22"/>
                <w:lang w:val="en-US" w:eastAsia="zh-CN"/>
              </w:rPr>
              <w:t>自主竣工环境保护验收要求</w:t>
            </w:r>
            <w:bookmarkEnd w:id="48"/>
          </w:p>
          <w:p w14:paraId="58B6B19E">
            <w:pPr>
              <w:pStyle w:val="3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420" w:firstLineChars="200"/>
              <w:jc w:val="both"/>
              <w:textAlignment w:val="auto"/>
              <w:rPr>
                <w:rFonts w:hint="default"/>
                <w:szCs w:val="22"/>
                <w:lang w:val="en-US" w:eastAsia="zh-CN"/>
              </w:rPr>
            </w:pPr>
            <w:r>
              <w:rPr>
                <w:rFonts w:hint="default"/>
                <w:szCs w:val="22"/>
                <w:lang w:val="en-US" w:eastAsia="zh-CN"/>
              </w:rPr>
              <w:t>根据国务院【国令第682号】《建设项目环境保护管理条例》及《建设项目竣工环境保护验收暂行办法》（国环规环评【2017】4号），强化建设单位环境保护主体责任，落实建设项目环境保护</w:t>
            </w:r>
            <w:r>
              <w:rPr>
                <w:rFonts w:hint="eastAsia"/>
                <w:szCs w:val="22"/>
                <w:lang w:val="en-US" w:eastAsia="zh-CN"/>
              </w:rPr>
              <w:t>“</w:t>
            </w:r>
            <w:r>
              <w:rPr>
                <w:rFonts w:hint="default"/>
                <w:szCs w:val="22"/>
                <w:lang w:val="en-US" w:eastAsia="zh-CN"/>
              </w:rPr>
              <w:t>三同时</w:t>
            </w:r>
            <w:r>
              <w:rPr>
                <w:rFonts w:hint="eastAsia"/>
                <w:szCs w:val="22"/>
                <w:lang w:val="en-US" w:eastAsia="zh-CN"/>
              </w:rPr>
              <w:t>”</w:t>
            </w:r>
            <w:r>
              <w:rPr>
                <w:rFonts w:hint="default"/>
                <w:szCs w:val="22"/>
                <w:lang w:val="en-US" w:eastAsia="zh-CN"/>
              </w:rPr>
              <w:t>制度，规范建设项目竣工后建设单位自主开展环境保护验收的程序和标准。建设单位是建设项目竣工环境保护验收的责任主体。</w:t>
            </w:r>
          </w:p>
          <w:p w14:paraId="74648288">
            <w:pPr>
              <w:pStyle w:val="38"/>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420" w:firstLineChars="200"/>
              <w:jc w:val="both"/>
              <w:textAlignment w:val="auto"/>
              <w:rPr>
                <w:rFonts w:hint="default"/>
                <w:szCs w:val="22"/>
                <w:lang w:val="en-US" w:eastAsia="zh-CN"/>
              </w:rPr>
            </w:pPr>
            <w:r>
              <w:rPr>
                <w:rFonts w:hint="default"/>
                <w:szCs w:val="22"/>
                <w:lang w:val="en-US" w:eastAsia="zh-CN"/>
              </w:rPr>
              <w:t>根据</w:t>
            </w:r>
            <w:r>
              <w:rPr>
                <w:rFonts w:hint="eastAsia"/>
                <w:szCs w:val="22"/>
                <w:lang w:val="en-US" w:eastAsia="zh-CN"/>
              </w:rPr>
              <w:t>生态环境部</w:t>
            </w:r>
            <w:r>
              <w:rPr>
                <w:rFonts w:hint="default"/>
                <w:szCs w:val="22"/>
                <w:lang w:val="en-US" w:eastAsia="zh-CN"/>
              </w:rPr>
              <w:t>《建设项目竣工环境保护验收技术指南 污染影响类》（公告2018年第9号）中有关要求：项目竣工后，建设单位应对该项目进行环保竣工验收，委托有资质的监测单位进行项目竣工环境保护验收监测，编制项目竣工环境保护验收监测报告。经验收合格，该建设项目方可正式投入生产或使用。</w:t>
            </w:r>
          </w:p>
        </w:tc>
      </w:tr>
    </w:tbl>
    <w:p w14:paraId="1979411D">
      <w:pPr>
        <w:rPr>
          <w:color w:val="auto"/>
        </w:rPr>
      </w:pPr>
      <w:bookmarkStart w:id="49" w:name="_Toc32638"/>
      <w:bookmarkStart w:id="50" w:name="_Toc12367"/>
      <w:r>
        <w:rPr>
          <w:color w:val="auto"/>
        </w:rPr>
        <w:br w:type="page"/>
      </w:r>
    </w:p>
    <w:p w14:paraId="253872B1">
      <w:pPr>
        <w:pStyle w:val="2"/>
        <w:tabs>
          <w:tab w:val="left" w:pos="420"/>
          <w:tab w:val="clear" w:pos="715"/>
        </w:tabs>
        <w:bidi w:val="0"/>
      </w:pPr>
      <w:r>
        <w:drawing>
          <wp:anchor distT="0" distB="0" distL="114300" distR="114300" simplePos="0" relativeHeight="251677696" behindDoc="0" locked="0" layoutInCell="1" allowOverlap="1">
            <wp:simplePos x="0" y="0"/>
            <wp:positionH relativeFrom="column">
              <wp:posOffset>-648335</wp:posOffset>
            </wp:positionH>
            <wp:positionV relativeFrom="paragraph">
              <wp:posOffset>-182880</wp:posOffset>
            </wp:positionV>
            <wp:extent cx="6708140" cy="8525510"/>
            <wp:effectExtent l="0" t="0" r="16510" b="8890"/>
            <wp:wrapNone/>
            <wp:docPr id="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pic:cNvPicPr>
                      <a:picLocks noChangeAspect="1"/>
                    </pic:cNvPicPr>
                  </pic:nvPicPr>
                  <pic:blipFill>
                    <a:blip r:embed="rId51"/>
                    <a:srcRect b="6332"/>
                    <a:stretch>
                      <a:fillRect/>
                    </a:stretch>
                  </pic:blipFill>
                  <pic:spPr>
                    <a:xfrm>
                      <a:off x="0" y="0"/>
                      <a:ext cx="6708140" cy="8525510"/>
                    </a:xfrm>
                    <a:prstGeom prst="rect">
                      <a:avLst/>
                    </a:prstGeom>
                    <a:noFill/>
                    <a:ln>
                      <a:noFill/>
                    </a:ln>
                  </pic:spPr>
                </pic:pic>
              </a:graphicData>
            </a:graphic>
          </wp:anchor>
        </w:drawing>
      </w:r>
      <w:r>
        <w:t>结论</w:t>
      </w:r>
      <w:bookmarkEnd w:id="49"/>
      <w:bookmarkEnd w:id="50"/>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54604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59D7F285">
            <w:pPr>
              <w:pStyle w:val="3"/>
              <w:keepNext w:val="0"/>
              <w:keepLines w:val="0"/>
              <w:suppressLineNumbers w:val="0"/>
              <w:bidi w:val="0"/>
              <w:spacing w:before="0" w:beforeAutospacing="0" w:after="0" w:afterAutospacing="0"/>
              <w:ind w:left="0" w:right="0"/>
              <w:rPr>
                <w:rFonts w:hint="default"/>
              </w:rPr>
            </w:pPr>
            <w:bookmarkStart w:id="51" w:name="_Toc18917"/>
            <w:bookmarkStart w:id="52" w:name="_Toc8175"/>
            <w:bookmarkStart w:id="53" w:name="_Toc4427"/>
            <w:bookmarkStart w:id="54" w:name="_Toc22364"/>
            <w:r>
              <w:rPr>
                <w:rFonts w:hint="default"/>
              </w:rPr>
              <w:t>总结论</w:t>
            </w:r>
            <w:bookmarkEnd w:id="51"/>
            <w:bookmarkEnd w:id="52"/>
            <w:bookmarkEnd w:id="53"/>
            <w:bookmarkEnd w:id="54"/>
          </w:p>
          <w:p w14:paraId="13D85A6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通过对本项目的环境影响分析评价，项目运营过程中废水、废气、噪声、固废等污染物，对周围大气环境、水环境、声环境、土壤环境等造成一定不利影响，经采取综合性、积极有效的防治措施并确保污染物达标排放后，可避免或减少这些不利影响，影响均在环境可接受的范围内。</w:t>
            </w:r>
          </w:p>
          <w:p w14:paraId="2F2B7F1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lang w:eastAsia="zh-CN"/>
              </w:rPr>
              <w:t>综上所述，在认真执行建设项目</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三同时</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制度，切实落实各项规划方案的要求，完成本次环境影响评价提出的各项污染防治措施，严格落实各项环保措施和环境管理机构的要求的前提下，确保各污染物达标排放，对周围的环境影响较小。从环境保护角度分析，该项目的建设是可行的</w:t>
            </w:r>
            <w:r>
              <w:rPr>
                <w:rFonts w:hint="default" w:ascii="Times New Roman" w:hAnsi="Times New Roman" w:eastAsia="宋体" w:cs="Times New Roman"/>
                <w:color w:val="auto"/>
                <w:sz w:val="24"/>
                <w:highlight w:val="none"/>
              </w:rPr>
              <w:t>。</w:t>
            </w:r>
          </w:p>
          <w:p w14:paraId="15A3D575">
            <w:pPr>
              <w:pStyle w:val="3"/>
              <w:keepNext w:val="0"/>
              <w:keepLines w:val="0"/>
              <w:suppressLineNumbers w:val="0"/>
              <w:bidi w:val="0"/>
              <w:spacing w:before="0" w:beforeAutospacing="0" w:after="0" w:afterAutospacing="0"/>
              <w:ind w:left="0" w:right="0"/>
              <w:rPr>
                <w:rFonts w:hint="default"/>
                <w:lang w:val="en-US" w:eastAsia="zh-CN"/>
              </w:rPr>
            </w:pPr>
            <w:bookmarkStart w:id="55" w:name="_Toc11017"/>
            <w:bookmarkStart w:id="56" w:name="_Toc29401"/>
            <w:bookmarkStart w:id="57" w:name="_Toc29899"/>
            <w:bookmarkStart w:id="58" w:name="_Toc29585"/>
            <w:r>
              <w:rPr>
                <w:rFonts w:hint="default"/>
                <w:lang w:val="en-US" w:eastAsia="zh-CN"/>
              </w:rPr>
              <w:t>建议</w:t>
            </w:r>
            <w:bookmarkEnd w:id="55"/>
            <w:bookmarkEnd w:id="56"/>
            <w:bookmarkEnd w:id="57"/>
            <w:bookmarkEnd w:id="58"/>
          </w:p>
          <w:p w14:paraId="6978746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加强管理，保证生产设备正常运行，防止设备带故障使用，防止异常噪声的产生。</w:t>
            </w:r>
          </w:p>
          <w:p w14:paraId="0BF1113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由厂内技术管理人员兼职环保工作负责环保设施的运行、检查、维护等工作。</w:t>
            </w:r>
          </w:p>
          <w:p w14:paraId="594BF9E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加强职工的环保、安全教育，提高环保意识和安全生产意识。</w:t>
            </w:r>
          </w:p>
          <w:p w14:paraId="53F18DD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遵守国家关于环保治理措施管理的规定，定期提交设施运行及监测报告，接受环保管理部门的监督。</w:t>
            </w:r>
          </w:p>
          <w:p w14:paraId="496FC2A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加强环保工作的管理，要认真落实环保</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三同时</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制度。</w:t>
            </w:r>
          </w:p>
          <w:p w14:paraId="04768719">
            <w:pPr>
              <w:keepNext w:val="0"/>
              <w:keepLines w:val="0"/>
              <w:suppressLineNumbers w:val="0"/>
              <w:spacing w:before="0" w:beforeAutospacing="0" w:after="0" w:afterAutospacing="0"/>
              <w:ind w:left="0" w:leftChars="0" w:right="0" w:firstLine="0" w:firstLineChars="0"/>
              <w:rPr>
                <w:rFonts w:hint="eastAsia"/>
                <w:color w:val="auto"/>
              </w:rPr>
            </w:pPr>
          </w:p>
          <w:p w14:paraId="6519F0B4">
            <w:pPr>
              <w:keepNext w:val="0"/>
              <w:keepLines w:val="0"/>
              <w:suppressLineNumbers w:val="0"/>
              <w:spacing w:before="0" w:beforeAutospacing="0" w:after="0" w:afterAutospacing="0"/>
              <w:ind w:left="0" w:right="0"/>
              <w:rPr>
                <w:rFonts w:hint="eastAsia"/>
                <w:color w:val="auto"/>
              </w:rPr>
            </w:pPr>
          </w:p>
          <w:p w14:paraId="575E8A47">
            <w:pPr>
              <w:keepNext w:val="0"/>
              <w:keepLines w:val="0"/>
              <w:suppressLineNumbers w:val="0"/>
              <w:spacing w:before="0" w:beforeAutospacing="0" w:after="0" w:afterAutospacing="0"/>
              <w:ind w:left="0" w:leftChars="0" w:right="0" w:firstLine="0" w:firstLineChars="0"/>
              <w:rPr>
                <w:rFonts w:hint="eastAsia"/>
                <w:color w:val="auto"/>
              </w:rPr>
            </w:pPr>
          </w:p>
          <w:p w14:paraId="2FDB9C13">
            <w:pPr>
              <w:keepNext w:val="0"/>
              <w:keepLines w:val="0"/>
              <w:suppressLineNumbers w:val="0"/>
              <w:spacing w:before="0" w:beforeAutospacing="0" w:after="0" w:afterAutospacing="0"/>
              <w:ind w:left="0" w:leftChars="0" w:right="0" w:firstLine="0" w:firstLineChars="0"/>
              <w:rPr>
                <w:rFonts w:hint="default" w:ascii="Times New Roman" w:hAnsi="Times New Roman" w:eastAsia="宋体" w:cs="Times New Roman"/>
                <w:color w:val="auto"/>
                <w:sz w:val="24"/>
                <w:szCs w:val="24"/>
              </w:rPr>
            </w:pPr>
          </w:p>
          <w:p w14:paraId="5DC1E9C1">
            <w:pPr>
              <w:keepNext w:val="0"/>
              <w:keepLines w:val="0"/>
              <w:suppressLineNumbers w:val="0"/>
              <w:spacing w:before="0" w:beforeAutospacing="0" w:after="0" w:afterAutospacing="0" w:line="360" w:lineRule="auto"/>
              <w:ind w:left="0" w:right="0"/>
              <w:jc w:val="righ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编制单位（单位）：福州朴诚至信环保科技有限公司</w:t>
            </w:r>
          </w:p>
          <w:p w14:paraId="752D1A5C">
            <w:pPr>
              <w:keepNext w:val="0"/>
              <w:keepLines w:val="0"/>
              <w:suppressLineNumbers w:val="0"/>
              <w:spacing w:before="0" w:beforeAutospacing="0" w:after="0" w:afterAutospacing="0" w:line="360" w:lineRule="auto"/>
              <w:ind w:left="0" w:right="0"/>
              <w:jc w:val="righ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rPr>
              <w:t>年</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月</w:t>
            </w:r>
          </w:p>
          <w:p w14:paraId="2504EBC8">
            <w:pPr>
              <w:keepNext w:val="0"/>
              <w:keepLines w:val="0"/>
              <w:suppressLineNumbers w:val="0"/>
              <w:spacing w:before="0" w:beforeAutospacing="0" w:after="0" w:afterAutospacing="0"/>
              <w:ind w:left="0" w:leftChars="0" w:right="0" w:firstLine="0" w:firstLineChars="0"/>
              <w:rPr>
                <w:rFonts w:hint="eastAsia"/>
                <w:color w:val="auto"/>
              </w:rPr>
            </w:pPr>
          </w:p>
        </w:tc>
      </w:tr>
    </w:tbl>
    <w:p w14:paraId="5701D2CA">
      <w:pPr>
        <w:rPr>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FE236BB">
      <w:pPr>
        <w:pStyle w:val="37"/>
        <w:bidi w:val="0"/>
        <w:jc w:val="center"/>
      </w:pPr>
      <w:bookmarkStart w:id="59" w:name="_Toc11185"/>
      <w:bookmarkStart w:id="60" w:name="_Toc8434"/>
      <w:bookmarkStart w:id="61" w:name="_Toc20102"/>
      <w:bookmarkStart w:id="62" w:name="_Toc29969"/>
      <w:r>
        <w:t>附表</w:t>
      </w:r>
      <w:bookmarkEnd w:id="59"/>
      <w:bookmarkEnd w:id="60"/>
      <w:bookmarkEnd w:id="61"/>
      <w:bookmarkEnd w:id="62"/>
      <w:r>
        <w:rPr>
          <w:rFonts w:hint="eastAsia"/>
          <w:lang w:val="en-US" w:eastAsia="zh-CN"/>
        </w:rPr>
        <w:t xml:space="preserve"> </w:t>
      </w:r>
      <w:r>
        <w:t>建设项目污染物排放量汇总表</w:t>
      </w:r>
    </w:p>
    <w:tbl>
      <w:tblPr>
        <w:tblStyle w:val="29"/>
        <w:tblW w:w="1378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42"/>
        <w:gridCol w:w="2100"/>
        <w:gridCol w:w="1487"/>
        <w:gridCol w:w="1595"/>
        <w:gridCol w:w="1527"/>
        <w:gridCol w:w="1432"/>
        <w:gridCol w:w="1418"/>
        <w:gridCol w:w="1473"/>
        <w:gridCol w:w="1009"/>
      </w:tblGrid>
      <w:tr w14:paraId="547073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742" w:type="dxa"/>
            <w:tcBorders>
              <w:tl2br w:val="single" w:color="auto" w:sz="4" w:space="0"/>
            </w:tcBorders>
            <w:noWrap w:val="0"/>
            <w:tcMar>
              <w:left w:w="28" w:type="dxa"/>
              <w:right w:w="28" w:type="dxa"/>
            </w:tcMar>
            <w:vAlign w:val="center"/>
          </w:tcPr>
          <w:p w14:paraId="0AD1FF47">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项目</w:t>
            </w:r>
          </w:p>
          <w:p w14:paraId="13D9913C">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分类</w:t>
            </w:r>
          </w:p>
        </w:tc>
        <w:tc>
          <w:tcPr>
            <w:tcW w:w="2100" w:type="dxa"/>
            <w:noWrap w:val="0"/>
            <w:tcMar>
              <w:left w:w="28" w:type="dxa"/>
              <w:right w:w="28" w:type="dxa"/>
            </w:tcMar>
            <w:vAlign w:val="center"/>
          </w:tcPr>
          <w:p w14:paraId="66E81A29">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污染物名称</w:t>
            </w:r>
          </w:p>
        </w:tc>
        <w:tc>
          <w:tcPr>
            <w:tcW w:w="1487" w:type="dxa"/>
            <w:noWrap w:val="0"/>
            <w:tcMar>
              <w:left w:w="28" w:type="dxa"/>
              <w:right w:w="28" w:type="dxa"/>
            </w:tcMar>
            <w:vAlign w:val="center"/>
          </w:tcPr>
          <w:p w14:paraId="60CA6A19">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现有工程</w:t>
            </w:r>
          </w:p>
          <w:p w14:paraId="3258A846">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排放量（固体废物产生量）</w:t>
            </w:r>
            <w:r>
              <w:rPr>
                <w:rFonts w:hint="default"/>
                <w:szCs w:val="22"/>
              </w:rPr>
              <w:fldChar w:fldCharType="begin"/>
            </w:r>
            <w:r>
              <w:rPr>
                <w:rFonts w:hint="default"/>
                <w:szCs w:val="22"/>
              </w:rPr>
              <w:instrText xml:space="preserve"> = 1 \* GB3 \* MERGEFORMAT </w:instrText>
            </w:r>
            <w:r>
              <w:rPr>
                <w:rFonts w:hint="default"/>
                <w:szCs w:val="22"/>
              </w:rPr>
              <w:fldChar w:fldCharType="separate"/>
            </w:r>
            <w:r>
              <w:rPr>
                <w:rFonts w:hint="default"/>
                <w:szCs w:val="22"/>
              </w:rPr>
              <w:t>①</w:t>
            </w:r>
            <w:r>
              <w:rPr>
                <w:rFonts w:hint="default"/>
                <w:szCs w:val="22"/>
              </w:rPr>
              <w:fldChar w:fldCharType="end"/>
            </w:r>
          </w:p>
        </w:tc>
        <w:tc>
          <w:tcPr>
            <w:tcW w:w="1595" w:type="dxa"/>
            <w:noWrap w:val="0"/>
            <w:tcMar>
              <w:left w:w="28" w:type="dxa"/>
              <w:right w:w="28" w:type="dxa"/>
            </w:tcMar>
            <w:vAlign w:val="center"/>
          </w:tcPr>
          <w:p w14:paraId="61D3E022">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现有工程</w:t>
            </w:r>
          </w:p>
          <w:p w14:paraId="409B940A">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许可排放量</w:t>
            </w:r>
          </w:p>
          <w:p w14:paraId="7D4FBAA8">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fldChar w:fldCharType="begin"/>
            </w:r>
            <w:r>
              <w:rPr>
                <w:rFonts w:hint="default"/>
                <w:szCs w:val="22"/>
              </w:rPr>
              <w:instrText xml:space="preserve"> = 2 \* GB3 \* MERGEFORMAT </w:instrText>
            </w:r>
            <w:r>
              <w:rPr>
                <w:rFonts w:hint="default"/>
                <w:szCs w:val="22"/>
              </w:rPr>
              <w:fldChar w:fldCharType="separate"/>
            </w:r>
            <w:r>
              <w:rPr>
                <w:rFonts w:hint="default"/>
                <w:szCs w:val="22"/>
              </w:rPr>
              <w:t>②</w:t>
            </w:r>
            <w:r>
              <w:rPr>
                <w:rFonts w:hint="default"/>
                <w:szCs w:val="22"/>
              </w:rPr>
              <w:fldChar w:fldCharType="end"/>
            </w:r>
          </w:p>
        </w:tc>
        <w:tc>
          <w:tcPr>
            <w:tcW w:w="1527" w:type="dxa"/>
            <w:noWrap w:val="0"/>
            <w:tcMar>
              <w:left w:w="28" w:type="dxa"/>
              <w:right w:w="28" w:type="dxa"/>
            </w:tcMar>
            <w:vAlign w:val="center"/>
          </w:tcPr>
          <w:p w14:paraId="144B0639">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在建工程</w:t>
            </w:r>
          </w:p>
          <w:p w14:paraId="0449D67C">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排放量（固体废物产生量）</w:t>
            </w:r>
            <w:r>
              <w:rPr>
                <w:rFonts w:hint="default"/>
                <w:szCs w:val="22"/>
              </w:rPr>
              <w:fldChar w:fldCharType="begin"/>
            </w:r>
            <w:r>
              <w:rPr>
                <w:rFonts w:hint="default"/>
                <w:szCs w:val="22"/>
              </w:rPr>
              <w:instrText xml:space="preserve"> = 3 \* GB3 \* MERGEFORMAT </w:instrText>
            </w:r>
            <w:r>
              <w:rPr>
                <w:rFonts w:hint="default"/>
                <w:szCs w:val="22"/>
              </w:rPr>
              <w:fldChar w:fldCharType="separate"/>
            </w:r>
            <w:r>
              <w:rPr>
                <w:rFonts w:hint="default"/>
                <w:szCs w:val="22"/>
              </w:rPr>
              <w:t>③</w:t>
            </w:r>
            <w:r>
              <w:rPr>
                <w:rFonts w:hint="default"/>
                <w:szCs w:val="22"/>
              </w:rPr>
              <w:fldChar w:fldCharType="end"/>
            </w:r>
          </w:p>
        </w:tc>
        <w:tc>
          <w:tcPr>
            <w:tcW w:w="1432" w:type="dxa"/>
            <w:noWrap w:val="0"/>
            <w:tcMar>
              <w:left w:w="28" w:type="dxa"/>
              <w:right w:w="28" w:type="dxa"/>
            </w:tcMar>
            <w:vAlign w:val="center"/>
          </w:tcPr>
          <w:p w14:paraId="003DCEC3">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本项目</w:t>
            </w:r>
          </w:p>
          <w:p w14:paraId="5BA08E86">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排放量（固体废物产生量）</w:t>
            </w:r>
            <w:r>
              <w:rPr>
                <w:rFonts w:hint="default"/>
                <w:szCs w:val="22"/>
              </w:rPr>
              <w:fldChar w:fldCharType="begin"/>
            </w:r>
            <w:r>
              <w:rPr>
                <w:rFonts w:hint="default"/>
                <w:szCs w:val="22"/>
              </w:rPr>
              <w:instrText xml:space="preserve"> = 4 \* GB3 \* MERGEFORMAT </w:instrText>
            </w:r>
            <w:r>
              <w:rPr>
                <w:rFonts w:hint="default"/>
                <w:szCs w:val="22"/>
              </w:rPr>
              <w:fldChar w:fldCharType="separate"/>
            </w:r>
            <w:r>
              <w:rPr>
                <w:rFonts w:hint="default"/>
                <w:szCs w:val="22"/>
              </w:rPr>
              <w:t>④</w:t>
            </w:r>
            <w:r>
              <w:rPr>
                <w:rFonts w:hint="default"/>
                <w:szCs w:val="22"/>
              </w:rPr>
              <w:fldChar w:fldCharType="end"/>
            </w:r>
          </w:p>
        </w:tc>
        <w:tc>
          <w:tcPr>
            <w:tcW w:w="1418" w:type="dxa"/>
            <w:noWrap w:val="0"/>
            <w:tcMar>
              <w:left w:w="28" w:type="dxa"/>
              <w:right w:w="28" w:type="dxa"/>
            </w:tcMar>
            <w:vAlign w:val="center"/>
          </w:tcPr>
          <w:p w14:paraId="0F8B4EAF">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以新带老削减量</w:t>
            </w:r>
          </w:p>
          <w:p w14:paraId="4D54CDC2">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（新建项目不填）</w:t>
            </w:r>
            <w:r>
              <w:rPr>
                <w:rFonts w:hint="default"/>
                <w:szCs w:val="22"/>
              </w:rPr>
              <w:fldChar w:fldCharType="begin"/>
            </w:r>
            <w:r>
              <w:rPr>
                <w:rFonts w:hint="default"/>
                <w:szCs w:val="22"/>
              </w:rPr>
              <w:instrText xml:space="preserve"> = 5 \* GB3 \* MERGEFORMAT </w:instrText>
            </w:r>
            <w:r>
              <w:rPr>
                <w:rFonts w:hint="default"/>
                <w:szCs w:val="22"/>
              </w:rPr>
              <w:fldChar w:fldCharType="separate"/>
            </w:r>
            <w:r>
              <w:rPr>
                <w:rFonts w:hint="default"/>
                <w:szCs w:val="22"/>
              </w:rPr>
              <w:t>⑤</w:t>
            </w:r>
            <w:r>
              <w:rPr>
                <w:rFonts w:hint="default"/>
                <w:szCs w:val="22"/>
              </w:rPr>
              <w:fldChar w:fldCharType="end"/>
            </w:r>
          </w:p>
        </w:tc>
        <w:tc>
          <w:tcPr>
            <w:tcW w:w="1473" w:type="dxa"/>
            <w:noWrap w:val="0"/>
            <w:tcMar>
              <w:left w:w="28" w:type="dxa"/>
              <w:right w:w="28" w:type="dxa"/>
            </w:tcMar>
            <w:vAlign w:val="center"/>
          </w:tcPr>
          <w:p w14:paraId="4D5FCB2C">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本项目建成后</w:t>
            </w:r>
          </w:p>
          <w:p w14:paraId="58CE64E8">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全厂排放量（固体废物产生量）</w:t>
            </w:r>
            <w:r>
              <w:rPr>
                <w:rFonts w:hint="default"/>
                <w:szCs w:val="22"/>
              </w:rPr>
              <w:fldChar w:fldCharType="begin"/>
            </w:r>
            <w:r>
              <w:rPr>
                <w:rFonts w:hint="default"/>
                <w:szCs w:val="22"/>
              </w:rPr>
              <w:instrText xml:space="preserve"> = 6 \* GB3 \* MERGEFORMAT </w:instrText>
            </w:r>
            <w:r>
              <w:rPr>
                <w:rFonts w:hint="default"/>
                <w:szCs w:val="22"/>
              </w:rPr>
              <w:fldChar w:fldCharType="separate"/>
            </w:r>
            <w:r>
              <w:rPr>
                <w:rFonts w:hint="default"/>
                <w:szCs w:val="22"/>
              </w:rPr>
              <w:t>⑥</w:t>
            </w:r>
            <w:r>
              <w:rPr>
                <w:rFonts w:hint="default"/>
                <w:szCs w:val="22"/>
              </w:rPr>
              <w:fldChar w:fldCharType="end"/>
            </w:r>
          </w:p>
        </w:tc>
        <w:tc>
          <w:tcPr>
            <w:tcW w:w="1009" w:type="dxa"/>
            <w:noWrap w:val="0"/>
            <w:tcMar>
              <w:left w:w="28" w:type="dxa"/>
              <w:right w:w="28" w:type="dxa"/>
            </w:tcMar>
            <w:vAlign w:val="center"/>
          </w:tcPr>
          <w:p w14:paraId="670F8D6B">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t>变化量</w:t>
            </w:r>
          </w:p>
          <w:p w14:paraId="4D5171B8">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rPr>
              <w:fldChar w:fldCharType="begin"/>
            </w:r>
            <w:r>
              <w:rPr>
                <w:rFonts w:hint="default"/>
                <w:szCs w:val="22"/>
              </w:rPr>
              <w:instrText xml:space="preserve"> = 7 \* GB3 \* MERGEFORMAT </w:instrText>
            </w:r>
            <w:r>
              <w:rPr>
                <w:rFonts w:hint="default"/>
                <w:szCs w:val="22"/>
              </w:rPr>
              <w:fldChar w:fldCharType="separate"/>
            </w:r>
            <w:r>
              <w:rPr>
                <w:rFonts w:hint="default"/>
                <w:szCs w:val="22"/>
              </w:rPr>
              <w:t>⑦</w:t>
            </w:r>
            <w:r>
              <w:rPr>
                <w:rFonts w:hint="default"/>
                <w:szCs w:val="22"/>
              </w:rPr>
              <w:fldChar w:fldCharType="end"/>
            </w:r>
          </w:p>
        </w:tc>
      </w:tr>
      <w:tr w14:paraId="797E15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42" w:type="dxa"/>
            <w:vMerge w:val="restart"/>
            <w:noWrap w:val="0"/>
            <w:vAlign w:val="center"/>
          </w:tcPr>
          <w:p w14:paraId="77AB9CF1">
            <w:pPr>
              <w:pStyle w:val="38"/>
              <w:keepNext w:val="0"/>
              <w:keepLines w:val="0"/>
              <w:widowControl/>
              <w:suppressLineNumbers w:val="0"/>
              <w:bidi w:val="0"/>
              <w:spacing w:before="0" w:beforeAutospacing="0" w:after="0" w:afterAutospacing="0"/>
              <w:ind w:left="0" w:right="0"/>
              <w:rPr>
                <w:rFonts w:hint="default"/>
                <w:szCs w:val="22"/>
                <w:lang w:eastAsia="zh-CN"/>
              </w:rPr>
            </w:pPr>
            <w:r>
              <w:rPr>
                <w:rFonts w:hint="eastAsia"/>
                <w:szCs w:val="22"/>
                <w:lang w:val="en-US" w:eastAsia="zh-CN"/>
              </w:rPr>
              <w:t>废气</w:t>
            </w:r>
          </w:p>
        </w:tc>
        <w:tc>
          <w:tcPr>
            <w:tcW w:w="2100" w:type="dxa"/>
            <w:noWrap w:val="0"/>
            <w:vAlign w:val="center"/>
          </w:tcPr>
          <w:p w14:paraId="512A2C0B">
            <w:pPr>
              <w:pStyle w:val="38"/>
              <w:keepNext w:val="0"/>
              <w:keepLines w:val="0"/>
              <w:widowControl/>
              <w:suppressLineNumbers w:val="0"/>
              <w:bidi w:val="0"/>
              <w:spacing w:before="0" w:beforeAutospacing="0" w:after="0" w:afterAutospacing="0"/>
              <w:ind w:left="0" w:right="0"/>
              <w:rPr>
                <w:rFonts w:hint="default"/>
                <w:szCs w:val="22"/>
                <w:lang w:eastAsia="zh-CN"/>
              </w:rPr>
            </w:pPr>
            <w:r>
              <w:rPr>
                <w:rFonts w:hint="eastAsia"/>
                <w:szCs w:val="22"/>
                <w:lang w:val="en-US" w:eastAsia="zh-CN"/>
              </w:rPr>
              <w:t>非甲烷总烃</w:t>
            </w:r>
          </w:p>
        </w:tc>
        <w:tc>
          <w:tcPr>
            <w:tcW w:w="1487" w:type="dxa"/>
            <w:noWrap w:val="0"/>
            <w:vAlign w:val="center"/>
          </w:tcPr>
          <w:p w14:paraId="24238AA9">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595" w:type="dxa"/>
            <w:noWrap w:val="0"/>
            <w:vAlign w:val="center"/>
          </w:tcPr>
          <w:p w14:paraId="043E6D42">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1527" w:type="dxa"/>
            <w:noWrap w:val="0"/>
            <w:vAlign w:val="center"/>
          </w:tcPr>
          <w:p w14:paraId="6A7AAA1E">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1432" w:type="dxa"/>
            <w:noWrap w:val="0"/>
            <w:vAlign w:val="center"/>
          </w:tcPr>
          <w:p w14:paraId="31EA43B1">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0.4606</w:t>
            </w:r>
          </w:p>
        </w:tc>
        <w:tc>
          <w:tcPr>
            <w:tcW w:w="1418" w:type="dxa"/>
            <w:noWrap w:val="0"/>
            <w:vAlign w:val="center"/>
          </w:tcPr>
          <w:p w14:paraId="1C71C210">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73" w:type="dxa"/>
            <w:noWrap w:val="0"/>
            <w:vAlign w:val="center"/>
          </w:tcPr>
          <w:p w14:paraId="75621BBD">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0.4606</w:t>
            </w:r>
          </w:p>
        </w:tc>
        <w:tc>
          <w:tcPr>
            <w:tcW w:w="1009" w:type="dxa"/>
            <w:noWrap w:val="0"/>
            <w:vAlign w:val="center"/>
          </w:tcPr>
          <w:p w14:paraId="5F71CFF2">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w:t>
            </w:r>
            <w:r>
              <w:rPr>
                <w:rFonts w:hint="default"/>
                <w:szCs w:val="22"/>
                <w:lang w:val="en-US" w:eastAsia="zh-CN"/>
              </w:rPr>
              <w:t>0.4606</w:t>
            </w:r>
          </w:p>
        </w:tc>
      </w:tr>
      <w:tr w14:paraId="043E16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42" w:type="dxa"/>
            <w:vMerge w:val="continue"/>
            <w:noWrap w:val="0"/>
            <w:vAlign w:val="center"/>
          </w:tcPr>
          <w:p w14:paraId="1BC219D8">
            <w:pPr>
              <w:pStyle w:val="38"/>
              <w:keepNext w:val="0"/>
              <w:keepLines w:val="0"/>
              <w:widowControl/>
              <w:suppressLineNumbers w:val="0"/>
              <w:bidi w:val="0"/>
              <w:spacing w:before="0" w:beforeAutospacing="0" w:after="0" w:afterAutospacing="0"/>
              <w:ind w:left="0" w:right="0"/>
              <w:rPr>
                <w:rFonts w:hint="default"/>
                <w:szCs w:val="22"/>
              </w:rPr>
            </w:pPr>
          </w:p>
        </w:tc>
        <w:tc>
          <w:tcPr>
            <w:tcW w:w="2100" w:type="dxa"/>
            <w:noWrap w:val="0"/>
            <w:vAlign w:val="center"/>
          </w:tcPr>
          <w:p w14:paraId="513154EE">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颗粒物</w:t>
            </w:r>
          </w:p>
        </w:tc>
        <w:tc>
          <w:tcPr>
            <w:tcW w:w="1487" w:type="dxa"/>
            <w:noWrap w:val="0"/>
            <w:vAlign w:val="center"/>
          </w:tcPr>
          <w:p w14:paraId="1ECCA554">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595" w:type="dxa"/>
            <w:noWrap w:val="0"/>
            <w:vAlign w:val="center"/>
          </w:tcPr>
          <w:p w14:paraId="267AD056">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527" w:type="dxa"/>
            <w:noWrap w:val="0"/>
            <w:vAlign w:val="center"/>
          </w:tcPr>
          <w:p w14:paraId="60BA29DE">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32" w:type="dxa"/>
            <w:noWrap w:val="0"/>
            <w:vAlign w:val="center"/>
          </w:tcPr>
          <w:p w14:paraId="022C1B1C">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0.2739</w:t>
            </w:r>
          </w:p>
        </w:tc>
        <w:tc>
          <w:tcPr>
            <w:tcW w:w="1418" w:type="dxa"/>
            <w:noWrap w:val="0"/>
            <w:vAlign w:val="center"/>
          </w:tcPr>
          <w:p w14:paraId="6F3D51B5">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73" w:type="dxa"/>
            <w:noWrap w:val="0"/>
            <w:vAlign w:val="center"/>
          </w:tcPr>
          <w:p w14:paraId="0E2B65A7">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0.2739</w:t>
            </w:r>
          </w:p>
        </w:tc>
        <w:tc>
          <w:tcPr>
            <w:tcW w:w="1009" w:type="dxa"/>
            <w:noWrap w:val="0"/>
            <w:vAlign w:val="center"/>
          </w:tcPr>
          <w:p w14:paraId="37092D2A">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w:t>
            </w:r>
            <w:r>
              <w:rPr>
                <w:rFonts w:hint="default"/>
                <w:szCs w:val="22"/>
                <w:lang w:val="en-US" w:eastAsia="zh-CN"/>
              </w:rPr>
              <w:t>0.2739</w:t>
            </w:r>
          </w:p>
        </w:tc>
      </w:tr>
      <w:tr w14:paraId="653DA3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742" w:type="dxa"/>
            <w:vMerge w:val="restart"/>
            <w:noWrap w:val="0"/>
            <w:vAlign w:val="center"/>
          </w:tcPr>
          <w:p w14:paraId="49C4E3C9">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废水</w:t>
            </w:r>
          </w:p>
        </w:tc>
        <w:tc>
          <w:tcPr>
            <w:tcW w:w="2100" w:type="dxa"/>
            <w:noWrap w:val="0"/>
            <w:vAlign w:val="center"/>
          </w:tcPr>
          <w:p w14:paraId="26A3481C">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废水量</w:t>
            </w:r>
          </w:p>
        </w:tc>
        <w:tc>
          <w:tcPr>
            <w:tcW w:w="1487" w:type="dxa"/>
            <w:noWrap w:val="0"/>
            <w:vAlign w:val="center"/>
          </w:tcPr>
          <w:p w14:paraId="6D7B31A6">
            <w:pPr>
              <w:pStyle w:val="38"/>
              <w:keepNext w:val="0"/>
              <w:keepLines w:val="0"/>
              <w:widowControl/>
              <w:suppressLineNumbers w:val="0"/>
              <w:bidi w:val="0"/>
              <w:spacing w:before="0" w:beforeAutospacing="0" w:after="0" w:afterAutospacing="0"/>
              <w:ind w:left="0" w:right="0"/>
              <w:rPr>
                <w:rFonts w:hint="default"/>
                <w:szCs w:val="22"/>
                <w:lang w:val="en-US"/>
              </w:rPr>
            </w:pPr>
            <w:r>
              <w:rPr>
                <w:rFonts w:hint="default"/>
                <w:szCs w:val="22"/>
                <w:lang w:val="en-US" w:eastAsia="zh-CN"/>
              </w:rPr>
              <w:t>/</w:t>
            </w:r>
          </w:p>
        </w:tc>
        <w:tc>
          <w:tcPr>
            <w:tcW w:w="1595" w:type="dxa"/>
            <w:noWrap w:val="0"/>
            <w:vAlign w:val="center"/>
          </w:tcPr>
          <w:p w14:paraId="0A416811">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1527" w:type="dxa"/>
            <w:noWrap w:val="0"/>
            <w:vAlign w:val="center"/>
          </w:tcPr>
          <w:p w14:paraId="30630CF7">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1432" w:type="dxa"/>
            <w:noWrap w:val="0"/>
            <w:vAlign w:val="center"/>
          </w:tcPr>
          <w:p w14:paraId="03A04C5B">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156</w:t>
            </w:r>
          </w:p>
        </w:tc>
        <w:tc>
          <w:tcPr>
            <w:tcW w:w="1418" w:type="dxa"/>
            <w:noWrap w:val="0"/>
            <w:vAlign w:val="center"/>
          </w:tcPr>
          <w:p w14:paraId="1209C1D3">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73" w:type="dxa"/>
            <w:noWrap w:val="0"/>
            <w:vAlign w:val="center"/>
          </w:tcPr>
          <w:p w14:paraId="736C5416">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156</w:t>
            </w:r>
          </w:p>
        </w:tc>
        <w:tc>
          <w:tcPr>
            <w:tcW w:w="1009" w:type="dxa"/>
            <w:noWrap w:val="0"/>
            <w:vAlign w:val="center"/>
          </w:tcPr>
          <w:p w14:paraId="4328260F">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w:t>
            </w:r>
            <w:r>
              <w:rPr>
                <w:rFonts w:hint="default"/>
                <w:szCs w:val="22"/>
                <w:lang w:val="en-US" w:eastAsia="zh-CN"/>
              </w:rPr>
              <w:t>156</w:t>
            </w:r>
          </w:p>
        </w:tc>
      </w:tr>
      <w:tr w14:paraId="4255EE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742" w:type="dxa"/>
            <w:vMerge w:val="continue"/>
            <w:noWrap w:val="0"/>
            <w:vAlign w:val="center"/>
          </w:tcPr>
          <w:p w14:paraId="2802F28E">
            <w:pPr>
              <w:pStyle w:val="38"/>
              <w:keepNext w:val="0"/>
              <w:keepLines w:val="0"/>
              <w:widowControl/>
              <w:suppressLineNumbers w:val="0"/>
              <w:bidi w:val="0"/>
              <w:spacing w:before="0" w:beforeAutospacing="0" w:after="0" w:afterAutospacing="0"/>
              <w:ind w:left="0" w:right="0"/>
              <w:rPr>
                <w:rFonts w:hint="default"/>
                <w:szCs w:val="22"/>
                <w:lang w:val="en-US" w:eastAsia="zh-CN"/>
              </w:rPr>
            </w:pPr>
          </w:p>
        </w:tc>
        <w:tc>
          <w:tcPr>
            <w:tcW w:w="2100" w:type="dxa"/>
            <w:noWrap w:val="0"/>
            <w:vAlign w:val="center"/>
          </w:tcPr>
          <w:p w14:paraId="6590C9BB">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COD</w:t>
            </w:r>
          </w:p>
        </w:tc>
        <w:tc>
          <w:tcPr>
            <w:tcW w:w="1487" w:type="dxa"/>
            <w:noWrap w:val="0"/>
            <w:vAlign w:val="center"/>
          </w:tcPr>
          <w:p w14:paraId="3807FD05">
            <w:pPr>
              <w:pStyle w:val="38"/>
              <w:keepNext w:val="0"/>
              <w:keepLines w:val="0"/>
              <w:widowControl/>
              <w:suppressLineNumbers w:val="0"/>
              <w:bidi w:val="0"/>
              <w:spacing w:before="0" w:beforeAutospacing="0" w:after="0" w:afterAutospacing="0"/>
              <w:ind w:left="0" w:right="0"/>
              <w:rPr>
                <w:rFonts w:hint="default"/>
                <w:szCs w:val="22"/>
                <w:lang w:val="en-US"/>
              </w:rPr>
            </w:pPr>
            <w:r>
              <w:rPr>
                <w:rFonts w:hint="default"/>
                <w:szCs w:val="22"/>
                <w:lang w:val="en-US" w:eastAsia="zh-CN"/>
              </w:rPr>
              <w:t>/</w:t>
            </w:r>
          </w:p>
        </w:tc>
        <w:tc>
          <w:tcPr>
            <w:tcW w:w="1595" w:type="dxa"/>
            <w:noWrap w:val="0"/>
            <w:vAlign w:val="center"/>
          </w:tcPr>
          <w:p w14:paraId="070BBD7A">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1527" w:type="dxa"/>
            <w:noWrap w:val="0"/>
            <w:vAlign w:val="center"/>
          </w:tcPr>
          <w:p w14:paraId="6B5F26C3">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1432" w:type="dxa"/>
            <w:noWrap w:val="0"/>
            <w:vAlign w:val="center"/>
          </w:tcPr>
          <w:p w14:paraId="098AC169">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0.0497</w:t>
            </w:r>
          </w:p>
        </w:tc>
        <w:tc>
          <w:tcPr>
            <w:tcW w:w="1418" w:type="dxa"/>
            <w:noWrap w:val="0"/>
            <w:vAlign w:val="center"/>
          </w:tcPr>
          <w:p w14:paraId="68EF7782">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73" w:type="dxa"/>
            <w:noWrap w:val="0"/>
            <w:vAlign w:val="center"/>
          </w:tcPr>
          <w:p w14:paraId="429735DE">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0.0497</w:t>
            </w:r>
          </w:p>
        </w:tc>
        <w:tc>
          <w:tcPr>
            <w:tcW w:w="1009" w:type="dxa"/>
            <w:noWrap w:val="0"/>
            <w:vAlign w:val="center"/>
          </w:tcPr>
          <w:p w14:paraId="0925E071">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w:t>
            </w:r>
            <w:r>
              <w:rPr>
                <w:rFonts w:hint="default"/>
                <w:szCs w:val="22"/>
                <w:lang w:val="en-US" w:eastAsia="zh-CN"/>
              </w:rPr>
              <w:t>0.0497</w:t>
            </w:r>
          </w:p>
        </w:tc>
      </w:tr>
      <w:tr w14:paraId="010D80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742" w:type="dxa"/>
            <w:vMerge w:val="continue"/>
            <w:noWrap w:val="0"/>
            <w:vAlign w:val="center"/>
          </w:tcPr>
          <w:p w14:paraId="42485366">
            <w:pPr>
              <w:pStyle w:val="38"/>
              <w:keepNext w:val="0"/>
              <w:keepLines w:val="0"/>
              <w:widowControl/>
              <w:suppressLineNumbers w:val="0"/>
              <w:bidi w:val="0"/>
              <w:spacing w:before="0" w:beforeAutospacing="0" w:after="0" w:afterAutospacing="0"/>
              <w:ind w:left="0" w:right="0"/>
              <w:rPr>
                <w:rFonts w:hint="default"/>
                <w:szCs w:val="22"/>
                <w:lang w:val="en-US" w:eastAsia="zh-CN"/>
              </w:rPr>
            </w:pPr>
          </w:p>
        </w:tc>
        <w:tc>
          <w:tcPr>
            <w:tcW w:w="2100" w:type="dxa"/>
            <w:noWrap w:val="0"/>
            <w:vAlign w:val="center"/>
          </w:tcPr>
          <w:p w14:paraId="43699626">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BOD</w:t>
            </w:r>
            <w:r>
              <w:rPr>
                <w:rFonts w:hint="eastAsia"/>
                <w:szCs w:val="22"/>
                <w:vertAlign w:val="subscript"/>
                <w:lang w:val="en-US" w:eastAsia="zh-CN"/>
              </w:rPr>
              <w:t>5</w:t>
            </w:r>
          </w:p>
        </w:tc>
        <w:tc>
          <w:tcPr>
            <w:tcW w:w="1487" w:type="dxa"/>
            <w:noWrap w:val="0"/>
            <w:vAlign w:val="center"/>
          </w:tcPr>
          <w:p w14:paraId="2A054D9C">
            <w:pPr>
              <w:pStyle w:val="38"/>
              <w:keepNext w:val="0"/>
              <w:keepLines w:val="0"/>
              <w:widowControl/>
              <w:suppressLineNumbers w:val="0"/>
              <w:bidi w:val="0"/>
              <w:spacing w:before="0" w:beforeAutospacing="0" w:after="0" w:afterAutospacing="0"/>
              <w:ind w:left="0" w:right="0"/>
              <w:rPr>
                <w:rFonts w:hint="default"/>
                <w:szCs w:val="22"/>
                <w:lang w:val="en-US"/>
              </w:rPr>
            </w:pPr>
            <w:r>
              <w:rPr>
                <w:rFonts w:hint="default"/>
                <w:szCs w:val="22"/>
                <w:lang w:val="en-US" w:eastAsia="zh-CN"/>
              </w:rPr>
              <w:t>/</w:t>
            </w:r>
          </w:p>
        </w:tc>
        <w:tc>
          <w:tcPr>
            <w:tcW w:w="1595" w:type="dxa"/>
            <w:noWrap w:val="0"/>
            <w:vAlign w:val="center"/>
          </w:tcPr>
          <w:p w14:paraId="4661EC51">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1527" w:type="dxa"/>
            <w:noWrap w:val="0"/>
            <w:vAlign w:val="center"/>
          </w:tcPr>
          <w:p w14:paraId="3DF18F32">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1432" w:type="dxa"/>
            <w:noWrap w:val="0"/>
            <w:vAlign w:val="center"/>
          </w:tcPr>
          <w:p w14:paraId="70E9AF5E">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0.0271</w:t>
            </w:r>
          </w:p>
        </w:tc>
        <w:tc>
          <w:tcPr>
            <w:tcW w:w="1418" w:type="dxa"/>
            <w:noWrap w:val="0"/>
            <w:vAlign w:val="center"/>
          </w:tcPr>
          <w:p w14:paraId="16C69F76">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73" w:type="dxa"/>
            <w:noWrap w:val="0"/>
            <w:vAlign w:val="center"/>
          </w:tcPr>
          <w:p w14:paraId="6E511B90">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0.0271</w:t>
            </w:r>
          </w:p>
        </w:tc>
        <w:tc>
          <w:tcPr>
            <w:tcW w:w="1009" w:type="dxa"/>
            <w:noWrap w:val="0"/>
            <w:vAlign w:val="center"/>
          </w:tcPr>
          <w:p w14:paraId="689780BC">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w:t>
            </w:r>
            <w:r>
              <w:rPr>
                <w:rFonts w:hint="default"/>
                <w:szCs w:val="22"/>
                <w:lang w:val="en-US" w:eastAsia="zh-CN"/>
              </w:rPr>
              <w:t>0.0271</w:t>
            </w:r>
          </w:p>
        </w:tc>
      </w:tr>
      <w:tr w14:paraId="7B5CD1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742" w:type="dxa"/>
            <w:vMerge w:val="continue"/>
            <w:noWrap w:val="0"/>
            <w:vAlign w:val="center"/>
          </w:tcPr>
          <w:p w14:paraId="4D357271">
            <w:pPr>
              <w:pStyle w:val="38"/>
              <w:keepNext w:val="0"/>
              <w:keepLines w:val="0"/>
              <w:widowControl/>
              <w:suppressLineNumbers w:val="0"/>
              <w:bidi w:val="0"/>
              <w:spacing w:before="0" w:beforeAutospacing="0" w:after="0" w:afterAutospacing="0"/>
              <w:ind w:left="0" w:right="0"/>
              <w:rPr>
                <w:rFonts w:hint="default"/>
                <w:szCs w:val="22"/>
                <w:lang w:val="en-US" w:eastAsia="zh-CN"/>
              </w:rPr>
            </w:pPr>
          </w:p>
        </w:tc>
        <w:tc>
          <w:tcPr>
            <w:tcW w:w="2100" w:type="dxa"/>
            <w:noWrap w:val="0"/>
            <w:vAlign w:val="center"/>
          </w:tcPr>
          <w:p w14:paraId="64C2B8E0">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SS</w:t>
            </w:r>
          </w:p>
        </w:tc>
        <w:tc>
          <w:tcPr>
            <w:tcW w:w="1487" w:type="dxa"/>
            <w:noWrap w:val="0"/>
            <w:vAlign w:val="center"/>
          </w:tcPr>
          <w:p w14:paraId="1A39889F">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595" w:type="dxa"/>
            <w:noWrap w:val="0"/>
            <w:vAlign w:val="center"/>
          </w:tcPr>
          <w:p w14:paraId="3498AF53">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1527" w:type="dxa"/>
            <w:noWrap w:val="0"/>
            <w:vAlign w:val="center"/>
          </w:tcPr>
          <w:p w14:paraId="1292E23C">
            <w:pPr>
              <w:pStyle w:val="38"/>
              <w:keepNext w:val="0"/>
              <w:keepLines w:val="0"/>
              <w:widowControl/>
              <w:suppressLineNumbers w:val="0"/>
              <w:bidi w:val="0"/>
              <w:spacing w:before="0" w:beforeAutospacing="0" w:after="0" w:afterAutospacing="0"/>
              <w:ind w:left="0" w:right="0"/>
              <w:rPr>
                <w:rFonts w:hint="default"/>
                <w:szCs w:val="22"/>
              </w:rPr>
            </w:pPr>
            <w:r>
              <w:rPr>
                <w:rFonts w:hint="default"/>
                <w:szCs w:val="22"/>
                <w:lang w:val="en-US" w:eastAsia="zh-CN"/>
              </w:rPr>
              <w:t>/</w:t>
            </w:r>
          </w:p>
        </w:tc>
        <w:tc>
          <w:tcPr>
            <w:tcW w:w="1432" w:type="dxa"/>
            <w:noWrap w:val="0"/>
            <w:vAlign w:val="center"/>
          </w:tcPr>
          <w:p w14:paraId="50865CFD">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0.0165</w:t>
            </w:r>
          </w:p>
        </w:tc>
        <w:tc>
          <w:tcPr>
            <w:tcW w:w="1418" w:type="dxa"/>
            <w:noWrap w:val="0"/>
            <w:vAlign w:val="center"/>
          </w:tcPr>
          <w:p w14:paraId="665D643B">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73" w:type="dxa"/>
            <w:noWrap w:val="0"/>
            <w:vAlign w:val="center"/>
          </w:tcPr>
          <w:p w14:paraId="2C191074">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0.0165</w:t>
            </w:r>
          </w:p>
        </w:tc>
        <w:tc>
          <w:tcPr>
            <w:tcW w:w="1009" w:type="dxa"/>
            <w:noWrap w:val="0"/>
            <w:vAlign w:val="center"/>
          </w:tcPr>
          <w:p w14:paraId="3EA01511">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w:t>
            </w:r>
            <w:r>
              <w:rPr>
                <w:rFonts w:hint="default"/>
                <w:szCs w:val="22"/>
                <w:lang w:val="en-US" w:eastAsia="zh-CN"/>
              </w:rPr>
              <w:t>0.0165</w:t>
            </w:r>
          </w:p>
        </w:tc>
      </w:tr>
      <w:tr w14:paraId="285F4F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742" w:type="dxa"/>
            <w:vMerge w:val="continue"/>
            <w:noWrap w:val="0"/>
            <w:vAlign w:val="center"/>
          </w:tcPr>
          <w:p w14:paraId="27EC5127">
            <w:pPr>
              <w:pStyle w:val="38"/>
              <w:keepNext w:val="0"/>
              <w:keepLines w:val="0"/>
              <w:widowControl/>
              <w:suppressLineNumbers w:val="0"/>
              <w:bidi w:val="0"/>
              <w:spacing w:before="0" w:beforeAutospacing="0" w:after="0" w:afterAutospacing="0"/>
              <w:ind w:left="0" w:right="0"/>
              <w:rPr>
                <w:rFonts w:hint="default"/>
                <w:szCs w:val="22"/>
                <w:lang w:val="en-GB" w:eastAsia="zh-CN"/>
              </w:rPr>
            </w:pPr>
          </w:p>
        </w:tc>
        <w:tc>
          <w:tcPr>
            <w:tcW w:w="2100" w:type="dxa"/>
            <w:noWrap w:val="0"/>
            <w:vAlign w:val="center"/>
          </w:tcPr>
          <w:p w14:paraId="3C06805D">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default"/>
                <w:szCs w:val="22"/>
                <w:lang w:val="en-US" w:eastAsia="zh-CN"/>
              </w:rPr>
              <w:t>NH</w:t>
            </w:r>
            <w:r>
              <w:rPr>
                <w:rFonts w:hint="eastAsia"/>
                <w:szCs w:val="22"/>
                <w:vertAlign w:val="subscript"/>
                <w:lang w:val="en-US" w:eastAsia="zh-CN"/>
              </w:rPr>
              <w:t>3</w:t>
            </w:r>
            <w:r>
              <w:rPr>
                <w:rFonts w:hint="default"/>
                <w:szCs w:val="22"/>
                <w:lang w:val="en-US" w:eastAsia="zh-CN"/>
              </w:rPr>
              <w:t>-N</w:t>
            </w:r>
          </w:p>
        </w:tc>
        <w:tc>
          <w:tcPr>
            <w:tcW w:w="1487" w:type="dxa"/>
            <w:noWrap w:val="0"/>
            <w:vAlign w:val="center"/>
          </w:tcPr>
          <w:p w14:paraId="0EDE0E54">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595" w:type="dxa"/>
            <w:noWrap w:val="0"/>
            <w:vAlign w:val="center"/>
          </w:tcPr>
          <w:p w14:paraId="65E6F288">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527" w:type="dxa"/>
            <w:noWrap w:val="0"/>
            <w:vAlign w:val="center"/>
          </w:tcPr>
          <w:p w14:paraId="61C7AC06">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32" w:type="dxa"/>
            <w:noWrap w:val="0"/>
            <w:vAlign w:val="center"/>
          </w:tcPr>
          <w:p w14:paraId="63C958EE">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0.0053</w:t>
            </w:r>
          </w:p>
        </w:tc>
        <w:tc>
          <w:tcPr>
            <w:tcW w:w="1418" w:type="dxa"/>
            <w:noWrap w:val="0"/>
            <w:vAlign w:val="center"/>
          </w:tcPr>
          <w:p w14:paraId="015F6926">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73" w:type="dxa"/>
            <w:noWrap w:val="0"/>
            <w:vAlign w:val="center"/>
          </w:tcPr>
          <w:p w14:paraId="27B306CC">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0.0053</w:t>
            </w:r>
          </w:p>
        </w:tc>
        <w:tc>
          <w:tcPr>
            <w:tcW w:w="1009" w:type="dxa"/>
            <w:noWrap w:val="0"/>
            <w:vAlign w:val="center"/>
          </w:tcPr>
          <w:p w14:paraId="3A3EF982">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+0</w:t>
            </w:r>
            <w:r>
              <w:rPr>
                <w:rFonts w:hint="default"/>
                <w:szCs w:val="22"/>
                <w:lang w:val="en-US" w:eastAsia="zh-CN"/>
              </w:rPr>
              <w:t>.0053</w:t>
            </w:r>
          </w:p>
        </w:tc>
      </w:tr>
      <w:tr w14:paraId="727351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42" w:type="dxa"/>
            <w:noWrap w:val="0"/>
            <w:vAlign w:val="center"/>
          </w:tcPr>
          <w:p w14:paraId="34C7468F">
            <w:pPr>
              <w:pStyle w:val="38"/>
              <w:keepNext w:val="0"/>
              <w:keepLines w:val="0"/>
              <w:widowControl/>
              <w:suppressLineNumbers w:val="0"/>
              <w:bidi w:val="0"/>
              <w:spacing w:before="0" w:beforeAutospacing="0" w:after="0" w:afterAutospacing="0"/>
              <w:ind w:left="0" w:right="0"/>
              <w:rPr>
                <w:rFonts w:hint="default"/>
                <w:szCs w:val="22"/>
                <w:lang w:val="en-GB" w:eastAsia="zh-CN"/>
              </w:rPr>
            </w:pPr>
            <w:r>
              <w:rPr>
                <w:rFonts w:hint="eastAsia"/>
                <w:szCs w:val="22"/>
                <w:lang w:val="en-US" w:eastAsia="zh-CN"/>
              </w:rPr>
              <w:t>一般工业固体废物</w:t>
            </w:r>
          </w:p>
        </w:tc>
        <w:tc>
          <w:tcPr>
            <w:tcW w:w="2100" w:type="dxa"/>
            <w:noWrap w:val="0"/>
            <w:vAlign w:val="center"/>
          </w:tcPr>
          <w:p w14:paraId="49568988">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不合格产品</w:t>
            </w:r>
          </w:p>
        </w:tc>
        <w:tc>
          <w:tcPr>
            <w:tcW w:w="1487" w:type="dxa"/>
            <w:noWrap w:val="0"/>
            <w:vAlign w:val="center"/>
          </w:tcPr>
          <w:p w14:paraId="307E84E3">
            <w:pPr>
              <w:pStyle w:val="38"/>
              <w:keepNext w:val="0"/>
              <w:keepLines w:val="0"/>
              <w:widowControl/>
              <w:suppressLineNumbers w:val="0"/>
              <w:bidi w:val="0"/>
              <w:spacing w:before="0" w:beforeAutospacing="0" w:after="0" w:afterAutospacing="0"/>
              <w:ind w:left="0" w:right="0"/>
              <w:rPr>
                <w:rFonts w:hint="default"/>
                <w:szCs w:val="22"/>
                <w:lang w:val="en-US"/>
              </w:rPr>
            </w:pPr>
            <w:r>
              <w:rPr>
                <w:rFonts w:hint="default"/>
                <w:szCs w:val="22"/>
                <w:lang w:val="en-US" w:eastAsia="zh-CN"/>
              </w:rPr>
              <w:t>/</w:t>
            </w:r>
          </w:p>
        </w:tc>
        <w:tc>
          <w:tcPr>
            <w:tcW w:w="1595" w:type="dxa"/>
            <w:noWrap w:val="0"/>
            <w:vAlign w:val="center"/>
          </w:tcPr>
          <w:p w14:paraId="575B752B">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527" w:type="dxa"/>
            <w:noWrap w:val="0"/>
            <w:vAlign w:val="center"/>
          </w:tcPr>
          <w:p w14:paraId="257BDCFC">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32" w:type="dxa"/>
            <w:noWrap w:val="0"/>
            <w:vAlign w:val="center"/>
          </w:tcPr>
          <w:p w14:paraId="667AECA3">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1.854万套/年</w:t>
            </w:r>
          </w:p>
        </w:tc>
        <w:tc>
          <w:tcPr>
            <w:tcW w:w="1418" w:type="dxa"/>
            <w:noWrap w:val="0"/>
            <w:vAlign w:val="center"/>
          </w:tcPr>
          <w:p w14:paraId="6A1BE56D">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73" w:type="dxa"/>
            <w:noWrap w:val="0"/>
            <w:vAlign w:val="center"/>
          </w:tcPr>
          <w:p w14:paraId="1643BB2B">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1.854万套/年</w:t>
            </w:r>
          </w:p>
        </w:tc>
        <w:tc>
          <w:tcPr>
            <w:tcW w:w="1009" w:type="dxa"/>
            <w:noWrap w:val="0"/>
            <w:vAlign w:val="center"/>
          </w:tcPr>
          <w:p w14:paraId="6C69FC0C">
            <w:pPr>
              <w:pStyle w:val="38"/>
              <w:keepNext w:val="0"/>
              <w:keepLines w:val="0"/>
              <w:widowControl/>
              <w:suppressLineNumbers w:val="0"/>
              <w:bidi w:val="0"/>
              <w:spacing w:before="0" w:beforeAutospacing="0" w:after="0" w:afterAutospacing="0"/>
              <w:ind w:left="0" w:right="0"/>
              <w:rPr>
                <w:rFonts w:hint="default"/>
                <w:szCs w:val="22"/>
              </w:rPr>
            </w:pPr>
            <w:r>
              <w:rPr>
                <w:rFonts w:hint="eastAsia"/>
                <w:szCs w:val="22"/>
                <w:lang w:val="en-US" w:eastAsia="zh-CN"/>
              </w:rPr>
              <w:t>+0.954万套/年</w:t>
            </w:r>
          </w:p>
        </w:tc>
      </w:tr>
      <w:tr w14:paraId="356C84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842" w:type="dxa"/>
            <w:gridSpan w:val="2"/>
            <w:noWrap w:val="0"/>
            <w:vAlign w:val="center"/>
          </w:tcPr>
          <w:p w14:paraId="3A19C543">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生活垃圾</w:t>
            </w:r>
          </w:p>
        </w:tc>
        <w:tc>
          <w:tcPr>
            <w:tcW w:w="1487" w:type="dxa"/>
            <w:noWrap w:val="0"/>
            <w:vAlign w:val="center"/>
          </w:tcPr>
          <w:p w14:paraId="56777934">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595" w:type="dxa"/>
            <w:noWrap w:val="0"/>
            <w:vAlign w:val="center"/>
          </w:tcPr>
          <w:p w14:paraId="74788BA7">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527" w:type="dxa"/>
            <w:noWrap w:val="0"/>
            <w:vAlign w:val="center"/>
          </w:tcPr>
          <w:p w14:paraId="6A67DD1C">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32" w:type="dxa"/>
            <w:noWrap w:val="0"/>
            <w:vAlign w:val="center"/>
          </w:tcPr>
          <w:p w14:paraId="6EF1CFBE">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1.95</w:t>
            </w:r>
          </w:p>
        </w:tc>
        <w:tc>
          <w:tcPr>
            <w:tcW w:w="1418" w:type="dxa"/>
            <w:noWrap w:val="0"/>
            <w:vAlign w:val="center"/>
          </w:tcPr>
          <w:p w14:paraId="2F474CE4">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73" w:type="dxa"/>
            <w:noWrap w:val="0"/>
            <w:vAlign w:val="center"/>
          </w:tcPr>
          <w:p w14:paraId="63A88177">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1.95</w:t>
            </w:r>
          </w:p>
        </w:tc>
        <w:tc>
          <w:tcPr>
            <w:tcW w:w="1009" w:type="dxa"/>
            <w:noWrap w:val="0"/>
            <w:vAlign w:val="center"/>
          </w:tcPr>
          <w:p w14:paraId="0068FFD1">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w:t>
            </w:r>
            <w:r>
              <w:rPr>
                <w:rFonts w:hint="default"/>
                <w:szCs w:val="22"/>
                <w:lang w:val="en-US" w:eastAsia="zh-CN"/>
              </w:rPr>
              <w:t>1.95</w:t>
            </w:r>
          </w:p>
        </w:tc>
      </w:tr>
      <w:tr w14:paraId="29581F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742" w:type="dxa"/>
            <w:vMerge w:val="restart"/>
            <w:noWrap w:val="0"/>
            <w:vAlign w:val="center"/>
          </w:tcPr>
          <w:p w14:paraId="66FA4631">
            <w:pPr>
              <w:pStyle w:val="38"/>
              <w:keepNext w:val="0"/>
              <w:keepLines w:val="0"/>
              <w:widowControl/>
              <w:suppressLineNumbers w:val="0"/>
              <w:bidi w:val="0"/>
              <w:spacing w:before="0" w:beforeAutospacing="0" w:after="0" w:afterAutospacing="0"/>
              <w:ind w:left="0" w:right="0"/>
              <w:rPr>
                <w:rFonts w:hint="default"/>
                <w:szCs w:val="22"/>
                <w:lang w:eastAsia="zh-CN"/>
              </w:rPr>
            </w:pPr>
            <w:r>
              <w:rPr>
                <w:rFonts w:hint="eastAsia"/>
                <w:szCs w:val="22"/>
                <w:lang w:val="en-US" w:eastAsia="zh-CN"/>
              </w:rPr>
              <w:t>危险废物</w:t>
            </w:r>
          </w:p>
        </w:tc>
        <w:tc>
          <w:tcPr>
            <w:tcW w:w="2100" w:type="dxa"/>
            <w:tcBorders>
              <w:top w:val="single" w:color="000000" w:sz="4" w:space="0"/>
              <w:bottom w:val="single" w:color="000000" w:sz="4" w:space="0"/>
            </w:tcBorders>
            <w:noWrap w:val="0"/>
            <w:vAlign w:val="center"/>
          </w:tcPr>
          <w:p w14:paraId="24451A32">
            <w:pPr>
              <w:pStyle w:val="38"/>
              <w:keepNext w:val="0"/>
              <w:keepLines w:val="0"/>
              <w:widowControl/>
              <w:suppressLineNumbers w:val="0"/>
              <w:bidi w:val="0"/>
              <w:spacing w:before="0" w:beforeAutospacing="0" w:after="0" w:afterAutospacing="0"/>
              <w:ind w:left="0" w:right="0"/>
              <w:rPr>
                <w:rFonts w:hint="default"/>
                <w:szCs w:val="22"/>
                <w:lang w:eastAsia="zh-CN"/>
              </w:rPr>
            </w:pPr>
            <w:r>
              <w:rPr>
                <w:rFonts w:hint="eastAsia"/>
                <w:szCs w:val="22"/>
                <w:lang w:val="en-US" w:eastAsia="zh-CN"/>
              </w:rPr>
              <w:t>水帘柜废液</w:t>
            </w:r>
          </w:p>
        </w:tc>
        <w:tc>
          <w:tcPr>
            <w:tcW w:w="1487" w:type="dxa"/>
            <w:noWrap w:val="0"/>
            <w:vAlign w:val="center"/>
          </w:tcPr>
          <w:p w14:paraId="3D9E501D">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595" w:type="dxa"/>
            <w:noWrap w:val="0"/>
            <w:vAlign w:val="center"/>
          </w:tcPr>
          <w:p w14:paraId="2A7E49A3">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527" w:type="dxa"/>
            <w:noWrap w:val="0"/>
            <w:vAlign w:val="center"/>
          </w:tcPr>
          <w:p w14:paraId="5ECBC732">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32" w:type="dxa"/>
            <w:noWrap w:val="0"/>
            <w:vAlign w:val="center"/>
          </w:tcPr>
          <w:p w14:paraId="7FD139D8">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1.35</w:t>
            </w:r>
          </w:p>
        </w:tc>
        <w:tc>
          <w:tcPr>
            <w:tcW w:w="1418" w:type="dxa"/>
            <w:noWrap w:val="0"/>
            <w:vAlign w:val="center"/>
          </w:tcPr>
          <w:p w14:paraId="53B5F674">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73" w:type="dxa"/>
            <w:noWrap w:val="0"/>
            <w:vAlign w:val="center"/>
          </w:tcPr>
          <w:p w14:paraId="19E5A7E8">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1.35</w:t>
            </w:r>
          </w:p>
        </w:tc>
        <w:tc>
          <w:tcPr>
            <w:tcW w:w="1009" w:type="dxa"/>
            <w:noWrap w:val="0"/>
            <w:vAlign w:val="center"/>
          </w:tcPr>
          <w:p w14:paraId="735A77B9">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w:t>
            </w:r>
            <w:r>
              <w:rPr>
                <w:rFonts w:hint="default"/>
                <w:szCs w:val="22"/>
                <w:lang w:val="en-US" w:eastAsia="zh-CN"/>
              </w:rPr>
              <w:t>1.35</w:t>
            </w:r>
          </w:p>
        </w:tc>
      </w:tr>
      <w:tr w14:paraId="108495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42" w:type="dxa"/>
            <w:vMerge w:val="continue"/>
            <w:noWrap w:val="0"/>
            <w:vAlign w:val="center"/>
          </w:tcPr>
          <w:p w14:paraId="2CD33B46">
            <w:pPr>
              <w:pStyle w:val="38"/>
              <w:keepNext w:val="0"/>
              <w:keepLines w:val="0"/>
              <w:widowControl/>
              <w:suppressLineNumbers w:val="0"/>
              <w:bidi w:val="0"/>
              <w:spacing w:before="0" w:beforeAutospacing="0" w:after="0" w:afterAutospacing="0"/>
              <w:ind w:left="0" w:right="0"/>
              <w:rPr>
                <w:rFonts w:hint="default"/>
                <w:szCs w:val="22"/>
                <w:lang w:eastAsia="zh-CN"/>
              </w:rPr>
            </w:pPr>
          </w:p>
        </w:tc>
        <w:tc>
          <w:tcPr>
            <w:tcW w:w="2100" w:type="dxa"/>
            <w:tcBorders>
              <w:top w:val="single" w:color="000000" w:sz="4" w:space="0"/>
              <w:bottom w:val="single" w:color="000000" w:sz="4" w:space="0"/>
            </w:tcBorders>
            <w:noWrap w:val="0"/>
            <w:vAlign w:val="center"/>
          </w:tcPr>
          <w:p w14:paraId="2B622800">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废漆渣</w:t>
            </w:r>
          </w:p>
        </w:tc>
        <w:tc>
          <w:tcPr>
            <w:tcW w:w="1487" w:type="dxa"/>
            <w:noWrap w:val="0"/>
            <w:vAlign w:val="center"/>
          </w:tcPr>
          <w:p w14:paraId="5628724E">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595" w:type="dxa"/>
            <w:noWrap w:val="0"/>
            <w:vAlign w:val="center"/>
          </w:tcPr>
          <w:p w14:paraId="3A8E02EC">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527" w:type="dxa"/>
            <w:noWrap w:val="0"/>
            <w:vAlign w:val="center"/>
          </w:tcPr>
          <w:p w14:paraId="3AA47A2C">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32" w:type="dxa"/>
            <w:noWrap w:val="0"/>
            <w:vAlign w:val="center"/>
          </w:tcPr>
          <w:p w14:paraId="356B1430">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0.69</w:t>
            </w:r>
          </w:p>
        </w:tc>
        <w:tc>
          <w:tcPr>
            <w:tcW w:w="1418" w:type="dxa"/>
            <w:noWrap w:val="0"/>
            <w:vAlign w:val="center"/>
          </w:tcPr>
          <w:p w14:paraId="500723C7">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73" w:type="dxa"/>
            <w:noWrap w:val="0"/>
            <w:vAlign w:val="center"/>
          </w:tcPr>
          <w:p w14:paraId="63CC255A">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0.69</w:t>
            </w:r>
          </w:p>
        </w:tc>
        <w:tc>
          <w:tcPr>
            <w:tcW w:w="1009" w:type="dxa"/>
            <w:noWrap w:val="0"/>
            <w:vAlign w:val="center"/>
          </w:tcPr>
          <w:p w14:paraId="4F30D354">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w:t>
            </w:r>
            <w:r>
              <w:rPr>
                <w:rFonts w:hint="default"/>
                <w:szCs w:val="22"/>
                <w:lang w:val="en-US" w:eastAsia="zh-CN"/>
              </w:rPr>
              <w:t>0.69</w:t>
            </w:r>
          </w:p>
        </w:tc>
      </w:tr>
      <w:tr w14:paraId="7CDB16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42" w:type="dxa"/>
            <w:vMerge w:val="continue"/>
            <w:noWrap w:val="0"/>
            <w:vAlign w:val="center"/>
          </w:tcPr>
          <w:p w14:paraId="2D44C668">
            <w:pPr>
              <w:pStyle w:val="38"/>
              <w:keepNext w:val="0"/>
              <w:keepLines w:val="0"/>
              <w:widowControl/>
              <w:suppressLineNumbers w:val="0"/>
              <w:bidi w:val="0"/>
              <w:spacing w:before="0" w:beforeAutospacing="0" w:after="0" w:afterAutospacing="0"/>
              <w:ind w:left="0" w:right="0"/>
              <w:rPr>
                <w:rFonts w:hint="default"/>
                <w:szCs w:val="22"/>
                <w:lang w:eastAsia="zh-CN"/>
              </w:rPr>
            </w:pPr>
          </w:p>
        </w:tc>
        <w:tc>
          <w:tcPr>
            <w:tcW w:w="2100" w:type="dxa"/>
            <w:tcBorders>
              <w:top w:val="single" w:color="000000" w:sz="4" w:space="0"/>
              <w:bottom w:val="single" w:color="000000" w:sz="4" w:space="0"/>
            </w:tcBorders>
            <w:noWrap w:val="0"/>
            <w:vAlign w:val="center"/>
          </w:tcPr>
          <w:p w14:paraId="1D3A791E">
            <w:pPr>
              <w:pStyle w:val="38"/>
              <w:keepNext w:val="0"/>
              <w:keepLines w:val="0"/>
              <w:widowControl/>
              <w:suppressLineNumbers w:val="0"/>
              <w:bidi w:val="0"/>
              <w:spacing w:before="0" w:beforeAutospacing="0" w:after="0" w:afterAutospacing="0"/>
              <w:ind w:left="0" w:right="0"/>
              <w:rPr>
                <w:rFonts w:hint="default"/>
                <w:szCs w:val="22"/>
                <w:lang w:eastAsia="zh-CN"/>
              </w:rPr>
            </w:pPr>
            <w:r>
              <w:rPr>
                <w:rFonts w:hint="eastAsia"/>
                <w:szCs w:val="22"/>
                <w:lang w:val="en-US" w:eastAsia="zh-CN"/>
              </w:rPr>
              <w:t>废水性漆桶</w:t>
            </w:r>
          </w:p>
        </w:tc>
        <w:tc>
          <w:tcPr>
            <w:tcW w:w="1487" w:type="dxa"/>
            <w:noWrap w:val="0"/>
            <w:vAlign w:val="center"/>
          </w:tcPr>
          <w:p w14:paraId="7070A210">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w:t>
            </w:r>
          </w:p>
        </w:tc>
        <w:tc>
          <w:tcPr>
            <w:tcW w:w="1595" w:type="dxa"/>
            <w:noWrap w:val="0"/>
            <w:vAlign w:val="center"/>
          </w:tcPr>
          <w:p w14:paraId="330A3375">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w:t>
            </w:r>
          </w:p>
        </w:tc>
        <w:tc>
          <w:tcPr>
            <w:tcW w:w="1527" w:type="dxa"/>
            <w:noWrap w:val="0"/>
            <w:vAlign w:val="center"/>
          </w:tcPr>
          <w:p w14:paraId="6E3F08D3">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w:t>
            </w:r>
          </w:p>
        </w:tc>
        <w:tc>
          <w:tcPr>
            <w:tcW w:w="1432" w:type="dxa"/>
            <w:noWrap w:val="0"/>
            <w:vAlign w:val="center"/>
          </w:tcPr>
          <w:p w14:paraId="5048F9FA">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0.01</w:t>
            </w:r>
          </w:p>
        </w:tc>
        <w:tc>
          <w:tcPr>
            <w:tcW w:w="1418" w:type="dxa"/>
            <w:noWrap w:val="0"/>
            <w:vAlign w:val="center"/>
          </w:tcPr>
          <w:p w14:paraId="0F9CA132">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w:t>
            </w:r>
          </w:p>
        </w:tc>
        <w:tc>
          <w:tcPr>
            <w:tcW w:w="1473" w:type="dxa"/>
            <w:noWrap w:val="0"/>
            <w:vAlign w:val="center"/>
          </w:tcPr>
          <w:p w14:paraId="3486A695">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0.01</w:t>
            </w:r>
          </w:p>
        </w:tc>
        <w:tc>
          <w:tcPr>
            <w:tcW w:w="1009" w:type="dxa"/>
            <w:noWrap w:val="0"/>
            <w:vAlign w:val="center"/>
          </w:tcPr>
          <w:p w14:paraId="5BE9AB39">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eastAsia"/>
                <w:szCs w:val="22"/>
                <w:lang w:val="en-US" w:eastAsia="zh-CN"/>
              </w:rPr>
              <w:t>+</w:t>
            </w:r>
            <w:r>
              <w:rPr>
                <w:rFonts w:hint="default"/>
                <w:szCs w:val="22"/>
                <w:lang w:val="en-US" w:eastAsia="zh-CN"/>
              </w:rPr>
              <w:t>0.01</w:t>
            </w:r>
          </w:p>
        </w:tc>
      </w:tr>
      <w:tr w14:paraId="69DDEB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742" w:type="dxa"/>
            <w:vMerge w:val="continue"/>
            <w:noWrap w:val="0"/>
            <w:vAlign w:val="center"/>
          </w:tcPr>
          <w:p w14:paraId="7F3E28EF">
            <w:pPr>
              <w:pStyle w:val="38"/>
              <w:keepNext w:val="0"/>
              <w:keepLines w:val="0"/>
              <w:widowControl/>
              <w:suppressLineNumbers w:val="0"/>
              <w:bidi w:val="0"/>
              <w:spacing w:before="0" w:beforeAutospacing="0" w:after="0" w:afterAutospacing="0"/>
              <w:ind w:left="0" w:right="0"/>
              <w:rPr>
                <w:rFonts w:hint="default"/>
                <w:szCs w:val="22"/>
                <w:lang w:eastAsia="zh-CN"/>
              </w:rPr>
            </w:pPr>
          </w:p>
        </w:tc>
        <w:tc>
          <w:tcPr>
            <w:tcW w:w="2100" w:type="dxa"/>
            <w:tcBorders>
              <w:top w:val="single" w:color="000000" w:sz="4" w:space="0"/>
              <w:bottom w:val="single" w:color="000000" w:sz="4" w:space="0"/>
            </w:tcBorders>
            <w:noWrap w:val="0"/>
            <w:vAlign w:val="center"/>
          </w:tcPr>
          <w:p w14:paraId="7C12C86F">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val="en-US" w:eastAsia="zh-CN"/>
              </w:rPr>
              <w:t>废油性漆桶</w:t>
            </w:r>
          </w:p>
        </w:tc>
        <w:tc>
          <w:tcPr>
            <w:tcW w:w="1487" w:type="dxa"/>
            <w:noWrap w:val="0"/>
            <w:vAlign w:val="center"/>
          </w:tcPr>
          <w:p w14:paraId="7D734B9F">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w:t>
            </w:r>
          </w:p>
        </w:tc>
        <w:tc>
          <w:tcPr>
            <w:tcW w:w="1595" w:type="dxa"/>
            <w:noWrap w:val="0"/>
            <w:vAlign w:val="center"/>
          </w:tcPr>
          <w:p w14:paraId="182C99EF">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w:t>
            </w:r>
          </w:p>
        </w:tc>
        <w:tc>
          <w:tcPr>
            <w:tcW w:w="1527" w:type="dxa"/>
            <w:noWrap w:val="0"/>
            <w:vAlign w:val="center"/>
          </w:tcPr>
          <w:p w14:paraId="564DBCBA">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w:t>
            </w:r>
          </w:p>
        </w:tc>
        <w:tc>
          <w:tcPr>
            <w:tcW w:w="1432" w:type="dxa"/>
            <w:noWrap w:val="0"/>
            <w:vAlign w:val="center"/>
          </w:tcPr>
          <w:p w14:paraId="0A88E704">
            <w:pPr>
              <w:pStyle w:val="38"/>
              <w:keepNext w:val="0"/>
              <w:keepLines w:val="0"/>
              <w:widowControl/>
              <w:suppressLineNumbers w:val="0"/>
              <w:bidi w:val="0"/>
              <w:spacing w:before="0" w:beforeAutospacing="0" w:after="0" w:afterAutospacing="0"/>
              <w:ind w:left="0" w:right="0"/>
              <w:rPr>
                <w:rFonts w:hint="default"/>
                <w:szCs w:val="22"/>
                <w:lang w:val="en-US" w:eastAsia="zh-CN"/>
              </w:rPr>
            </w:pPr>
            <w:r>
              <w:rPr>
                <w:rFonts w:hint="default"/>
                <w:szCs w:val="22"/>
                <w:lang w:val="en-US" w:eastAsia="zh-CN"/>
              </w:rPr>
              <w:t>0.04</w:t>
            </w:r>
          </w:p>
        </w:tc>
        <w:tc>
          <w:tcPr>
            <w:tcW w:w="1418" w:type="dxa"/>
            <w:noWrap w:val="0"/>
            <w:vAlign w:val="center"/>
          </w:tcPr>
          <w:p w14:paraId="403ED730">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w:t>
            </w:r>
          </w:p>
        </w:tc>
        <w:tc>
          <w:tcPr>
            <w:tcW w:w="1473" w:type="dxa"/>
            <w:noWrap w:val="0"/>
            <w:vAlign w:val="center"/>
          </w:tcPr>
          <w:p w14:paraId="1E3B52B4">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0.04</w:t>
            </w:r>
          </w:p>
        </w:tc>
        <w:tc>
          <w:tcPr>
            <w:tcW w:w="1009" w:type="dxa"/>
            <w:noWrap w:val="0"/>
            <w:vAlign w:val="center"/>
          </w:tcPr>
          <w:p w14:paraId="18D65380">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w:t>
            </w:r>
            <w:r>
              <w:rPr>
                <w:rFonts w:hint="default"/>
                <w:szCs w:val="22"/>
                <w:lang w:val="en-US" w:eastAsia="zh-CN"/>
              </w:rPr>
              <w:t>0.04</w:t>
            </w:r>
          </w:p>
        </w:tc>
      </w:tr>
      <w:tr w14:paraId="5E1EC5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42" w:type="dxa"/>
            <w:vMerge w:val="continue"/>
            <w:noWrap w:val="0"/>
            <w:vAlign w:val="center"/>
          </w:tcPr>
          <w:p w14:paraId="47D5A238">
            <w:pPr>
              <w:pStyle w:val="38"/>
              <w:keepNext w:val="0"/>
              <w:keepLines w:val="0"/>
              <w:widowControl/>
              <w:suppressLineNumbers w:val="0"/>
              <w:bidi w:val="0"/>
              <w:spacing w:before="0" w:beforeAutospacing="0" w:after="0" w:afterAutospacing="0"/>
              <w:ind w:left="0" w:right="0"/>
              <w:rPr>
                <w:rFonts w:hint="default"/>
                <w:szCs w:val="22"/>
                <w:lang w:eastAsia="zh-CN"/>
              </w:rPr>
            </w:pPr>
          </w:p>
        </w:tc>
        <w:tc>
          <w:tcPr>
            <w:tcW w:w="2100" w:type="dxa"/>
            <w:tcBorders>
              <w:top w:val="single" w:color="000000" w:sz="4" w:space="0"/>
              <w:bottom w:val="single" w:color="000000" w:sz="4" w:space="0"/>
            </w:tcBorders>
            <w:noWrap w:val="0"/>
            <w:vAlign w:val="center"/>
          </w:tcPr>
          <w:p w14:paraId="0654D33E">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val="en-US" w:eastAsia="zh-CN"/>
              </w:rPr>
              <w:t>废活性炭</w:t>
            </w:r>
          </w:p>
        </w:tc>
        <w:tc>
          <w:tcPr>
            <w:tcW w:w="1487" w:type="dxa"/>
            <w:noWrap w:val="0"/>
            <w:vAlign w:val="center"/>
          </w:tcPr>
          <w:p w14:paraId="3855D7DB">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w:t>
            </w:r>
          </w:p>
        </w:tc>
        <w:tc>
          <w:tcPr>
            <w:tcW w:w="1595" w:type="dxa"/>
            <w:noWrap w:val="0"/>
            <w:vAlign w:val="center"/>
          </w:tcPr>
          <w:p w14:paraId="782F50D8">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w:t>
            </w:r>
          </w:p>
        </w:tc>
        <w:tc>
          <w:tcPr>
            <w:tcW w:w="1527" w:type="dxa"/>
            <w:noWrap w:val="0"/>
            <w:vAlign w:val="center"/>
          </w:tcPr>
          <w:p w14:paraId="530058E9">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w:t>
            </w:r>
          </w:p>
        </w:tc>
        <w:tc>
          <w:tcPr>
            <w:tcW w:w="1432" w:type="dxa"/>
            <w:noWrap w:val="0"/>
            <w:vAlign w:val="center"/>
          </w:tcPr>
          <w:p w14:paraId="33E3D444">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4.82</w:t>
            </w:r>
          </w:p>
        </w:tc>
        <w:tc>
          <w:tcPr>
            <w:tcW w:w="1418" w:type="dxa"/>
            <w:noWrap w:val="0"/>
            <w:vAlign w:val="center"/>
          </w:tcPr>
          <w:p w14:paraId="58DB5540">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w:t>
            </w:r>
          </w:p>
        </w:tc>
        <w:tc>
          <w:tcPr>
            <w:tcW w:w="1473" w:type="dxa"/>
            <w:noWrap w:val="0"/>
            <w:vAlign w:val="center"/>
          </w:tcPr>
          <w:p w14:paraId="20B5FC9E">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4.82</w:t>
            </w:r>
          </w:p>
        </w:tc>
        <w:tc>
          <w:tcPr>
            <w:tcW w:w="1009" w:type="dxa"/>
            <w:noWrap w:val="0"/>
            <w:vAlign w:val="center"/>
          </w:tcPr>
          <w:p w14:paraId="456989BA">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w:t>
            </w:r>
            <w:r>
              <w:rPr>
                <w:rFonts w:hint="default"/>
                <w:szCs w:val="22"/>
                <w:lang w:val="en-US" w:eastAsia="zh-CN"/>
              </w:rPr>
              <w:t>4.82</w:t>
            </w:r>
          </w:p>
        </w:tc>
      </w:tr>
      <w:tr w14:paraId="35BFB6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742" w:type="dxa"/>
            <w:vMerge w:val="continue"/>
            <w:noWrap w:val="0"/>
            <w:vAlign w:val="center"/>
          </w:tcPr>
          <w:p w14:paraId="0AF79E5B">
            <w:pPr>
              <w:pStyle w:val="38"/>
              <w:keepNext w:val="0"/>
              <w:keepLines w:val="0"/>
              <w:widowControl/>
              <w:suppressLineNumbers w:val="0"/>
              <w:bidi w:val="0"/>
              <w:spacing w:before="0" w:beforeAutospacing="0" w:after="0" w:afterAutospacing="0"/>
              <w:ind w:left="0" w:right="0"/>
              <w:rPr>
                <w:rFonts w:hint="default"/>
                <w:szCs w:val="22"/>
                <w:lang w:eastAsia="zh-CN"/>
              </w:rPr>
            </w:pPr>
          </w:p>
        </w:tc>
        <w:tc>
          <w:tcPr>
            <w:tcW w:w="2100" w:type="dxa"/>
            <w:tcBorders>
              <w:top w:val="single" w:color="000000" w:sz="4" w:space="0"/>
              <w:bottom w:val="single" w:color="000000" w:sz="4" w:space="0"/>
            </w:tcBorders>
            <w:noWrap w:val="0"/>
            <w:vAlign w:val="center"/>
          </w:tcPr>
          <w:p w14:paraId="1F88E22D">
            <w:pPr>
              <w:pStyle w:val="38"/>
              <w:keepNext w:val="0"/>
              <w:keepLines w:val="0"/>
              <w:widowControl/>
              <w:suppressLineNumbers w:val="0"/>
              <w:bidi w:val="0"/>
              <w:spacing w:before="0" w:beforeAutospacing="0" w:after="0" w:afterAutospacing="0"/>
              <w:ind w:left="0" w:right="0"/>
              <w:rPr>
                <w:rFonts w:hint="eastAsia"/>
                <w:szCs w:val="22"/>
                <w:lang w:eastAsia="zh-CN"/>
              </w:rPr>
            </w:pPr>
            <w:r>
              <w:rPr>
                <w:rFonts w:hint="eastAsia"/>
                <w:szCs w:val="22"/>
                <w:lang w:val="en-US" w:eastAsia="zh-CN"/>
              </w:rPr>
              <w:t>废过滤棉</w:t>
            </w:r>
          </w:p>
        </w:tc>
        <w:tc>
          <w:tcPr>
            <w:tcW w:w="1487" w:type="dxa"/>
            <w:noWrap w:val="0"/>
            <w:vAlign w:val="center"/>
          </w:tcPr>
          <w:p w14:paraId="22D910A5">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w:t>
            </w:r>
          </w:p>
        </w:tc>
        <w:tc>
          <w:tcPr>
            <w:tcW w:w="1595" w:type="dxa"/>
            <w:noWrap w:val="0"/>
            <w:vAlign w:val="center"/>
          </w:tcPr>
          <w:p w14:paraId="504521FE">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w:t>
            </w:r>
          </w:p>
        </w:tc>
        <w:tc>
          <w:tcPr>
            <w:tcW w:w="1527" w:type="dxa"/>
            <w:noWrap w:val="0"/>
            <w:vAlign w:val="center"/>
          </w:tcPr>
          <w:p w14:paraId="7621DD00">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w:t>
            </w:r>
          </w:p>
        </w:tc>
        <w:tc>
          <w:tcPr>
            <w:tcW w:w="1432" w:type="dxa"/>
            <w:noWrap w:val="0"/>
            <w:vAlign w:val="center"/>
          </w:tcPr>
          <w:p w14:paraId="6D78E04A">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0.2</w:t>
            </w:r>
          </w:p>
        </w:tc>
        <w:tc>
          <w:tcPr>
            <w:tcW w:w="1418" w:type="dxa"/>
            <w:noWrap w:val="0"/>
            <w:vAlign w:val="center"/>
          </w:tcPr>
          <w:p w14:paraId="66A7BF91">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w:t>
            </w:r>
          </w:p>
        </w:tc>
        <w:tc>
          <w:tcPr>
            <w:tcW w:w="1473" w:type="dxa"/>
            <w:noWrap w:val="0"/>
            <w:vAlign w:val="center"/>
          </w:tcPr>
          <w:p w14:paraId="5BB50917">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default"/>
                <w:szCs w:val="22"/>
                <w:lang w:val="en-US" w:eastAsia="zh-CN"/>
              </w:rPr>
              <w:t>0.2</w:t>
            </w:r>
          </w:p>
        </w:tc>
        <w:tc>
          <w:tcPr>
            <w:tcW w:w="1009" w:type="dxa"/>
            <w:noWrap w:val="0"/>
            <w:vAlign w:val="center"/>
          </w:tcPr>
          <w:p w14:paraId="4E559207">
            <w:pPr>
              <w:pStyle w:val="38"/>
              <w:keepNext w:val="0"/>
              <w:keepLines w:val="0"/>
              <w:widowControl/>
              <w:suppressLineNumbers w:val="0"/>
              <w:bidi w:val="0"/>
              <w:spacing w:before="0" w:beforeAutospacing="0" w:after="0" w:afterAutospacing="0"/>
              <w:ind w:left="0" w:right="0"/>
              <w:rPr>
                <w:rFonts w:hint="eastAsia"/>
                <w:szCs w:val="22"/>
                <w:lang w:val="en-US" w:eastAsia="zh-CN"/>
              </w:rPr>
            </w:pPr>
            <w:r>
              <w:rPr>
                <w:rFonts w:hint="eastAsia"/>
                <w:szCs w:val="22"/>
                <w:lang w:val="en-US" w:eastAsia="zh-CN"/>
              </w:rPr>
              <w:t>+</w:t>
            </w:r>
            <w:r>
              <w:rPr>
                <w:rFonts w:hint="default"/>
                <w:szCs w:val="22"/>
                <w:lang w:val="en-US" w:eastAsia="zh-CN"/>
              </w:rPr>
              <w:t>0.2</w:t>
            </w:r>
          </w:p>
        </w:tc>
      </w:tr>
    </w:tbl>
    <w:p w14:paraId="404E8FC6">
      <w:pPr>
        <w:pStyle w:val="38"/>
        <w:bidi w:val="0"/>
        <w:jc w:val="left"/>
      </w:pPr>
      <w:r>
        <w:rPr>
          <w:rFonts w:hint="default"/>
        </w:rPr>
        <w:t>注：</w:t>
      </w:r>
      <w:r>
        <w:rPr>
          <w:rFonts w:hint="default"/>
        </w:rPr>
        <w:fldChar w:fldCharType="begin"/>
      </w:r>
      <w:r>
        <w:rPr>
          <w:rFonts w:hint="default"/>
        </w:rPr>
        <w:instrText xml:space="preserve"> = 6 \* GB3 \* MERGEFORMAT </w:instrText>
      </w:r>
      <w:r>
        <w:rPr>
          <w:rFonts w:hint="default"/>
        </w:rPr>
        <w:fldChar w:fldCharType="separate"/>
      </w:r>
      <w:r>
        <w:rPr>
          <w:rFonts w:hint="default"/>
        </w:rPr>
        <w:t>⑥</w:t>
      </w:r>
      <w:r>
        <w:rPr>
          <w:rFonts w:hint="default"/>
        </w:rPr>
        <w:fldChar w:fldCharType="end"/>
      </w:r>
      <w:r>
        <w:rPr>
          <w:rFonts w:hint="default"/>
        </w:rPr>
        <w:t>=</w:t>
      </w:r>
      <w:r>
        <w:rPr>
          <w:rFonts w:hint="default"/>
        </w:rPr>
        <w:fldChar w:fldCharType="begin"/>
      </w:r>
      <w:r>
        <w:rPr>
          <w:rFonts w:hint="default"/>
        </w:rPr>
        <w:instrText xml:space="preserve"> = 1 \* GB3 \* MERGEFORMAT </w:instrText>
      </w:r>
      <w:r>
        <w:rPr>
          <w:rFonts w:hint="default"/>
        </w:rPr>
        <w:fldChar w:fldCharType="separate"/>
      </w:r>
      <w:r>
        <w:rPr>
          <w:rFonts w:hint="default"/>
        </w:rPr>
        <w:t>①</w:t>
      </w:r>
      <w:r>
        <w:rPr>
          <w:rFonts w:hint="default"/>
        </w:rPr>
        <w:fldChar w:fldCharType="end"/>
      </w:r>
      <w:r>
        <w:rPr>
          <w:rFonts w:hint="default"/>
        </w:rPr>
        <w:t>+</w:t>
      </w:r>
      <w:r>
        <w:rPr>
          <w:rFonts w:hint="default"/>
        </w:rPr>
        <w:fldChar w:fldCharType="begin"/>
      </w:r>
      <w:r>
        <w:rPr>
          <w:rFonts w:hint="default"/>
        </w:rPr>
        <w:instrText xml:space="preserve"> = 3 \* GB3 \* MERGEFORMAT </w:instrText>
      </w:r>
      <w:r>
        <w:rPr>
          <w:rFonts w:hint="default"/>
        </w:rPr>
        <w:fldChar w:fldCharType="separate"/>
      </w:r>
      <w:r>
        <w:rPr>
          <w:rFonts w:hint="default"/>
        </w:rPr>
        <w:t>③</w:t>
      </w:r>
      <w:r>
        <w:rPr>
          <w:rFonts w:hint="default"/>
        </w:rPr>
        <w:fldChar w:fldCharType="end"/>
      </w:r>
      <w:r>
        <w:rPr>
          <w:rFonts w:hint="default"/>
        </w:rPr>
        <w:t>+</w:t>
      </w:r>
      <w:r>
        <w:rPr>
          <w:rFonts w:hint="default"/>
        </w:rPr>
        <w:fldChar w:fldCharType="begin"/>
      </w:r>
      <w:r>
        <w:rPr>
          <w:rFonts w:hint="default"/>
        </w:rPr>
        <w:instrText xml:space="preserve"> = 4 \* GB3 \* MERGEFORMAT </w:instrText>
      </w:r>
      <w:r>
        <w:rPr>
          <w:rFonts w:hint="default"/>
        </w:rPr>
        <w:fldChar w:fldCharType="separate"/>
      </w:r>
      <w:r>
        <w:rPr>
          <w:rFonts w:hint="default"/>
        </w:rPr>
        <w:t>④</w:t>
      </w:r>
      <w:r>
        <w:rPr>
          <w:rFonts w:hint="default"/>
        </w:rPr>
        <w:fldChar w:fldCharType="end"/>
      </w:r>
      <w:r>
        <w:rPr>
          <w:rFonts w:hint="default"/>
        </w:rPr>
        <w:t>-</w:t>
      </w:r>
      <w:r>
        <w:rPr>
          <w:rFonts w:hint="default"/>
        </w:rPr>
        <w:fldChar w:fldCharType="begin"/>
      </w:r>
      <w:r>
        <w:rPr>
          <w:rFonts w:hint="default"/>
        </w:rPr>
        <w:instrText xml:space="preserve"> = 5 \* GB3 \* MERGEFORMAT </w:instrText>
      </w:r>
      <w:r>
        <w:rPr>
          <w:rFonts w:hint="default"/>
        </w:rPr>
        <w:fldChar w:fldCharType="separate"/>
      </w:r>
      <w:r>
        <w:rPr>
          <w:rFonts w:hint="default"/>
        </w:rPr>
        <w:t>⑤</w:t>
      </w:r>
      <w:r>
        <w:rPr>
          <w:rFonts w:hint="default"/>
        </w:rPr>
        <w:fldChar w:fldCharType="end"/>
      </w:r>
      <w:r>
        <w:rPr>
          <w:rFonts w:hint="default"/>
        </w:rPr>
        <w:t>；</w:t>
      </w:r>
      <w:r>
        <w:rPr>
          <w:rFonts w:hint="default"/>
        </w:rPr>
        <w:fldChar w:fldCharType="begin"/>
      </w:r>
      <w:r>
        <w:rPr>
          <w:rFonts w:hint="default"/>
        </w:rPr>
        <w:instrText xml:space="preserve"> = 7 \* GB3 \* MERGEFORMAT </w:instrText>
      </w:r>
      <w:r>
        <w:rPr>
          <w:rFonts w:hint="default"/>
        </w:rPr>
        <w:fldChar w:fldCharType="separate"/>
      </w:r>
      <w:r>
        <w:rPr>
          <w:rFonts w:hint="default"/>
        </w:rPr>
        <w:t>⑦</w:t>
      </w:r>
      <w:r>
        <w:rPr>
          <w:rFonts w:hint="default"/>
        </w:rPr>
        <w:fldChar w:fldCharType="end"/>
      </w:r>
      <w:r>
        <w:rPr>
          <w:rFonts w:hint="default"/>
        </w:rPr>
        <w:t>=</w:t>
      </w:r>
      <w:r>
        <w:rPr>
          <w:rFonts w:hint="default"/>
        </w:rPr>
        <w:fldChar w:fldCharType="begin"/>
      </w:r>
      <w:r>
        <w:rPr>
          <w:rFonts w:hint="default"/>
        </w:rPr>
        <w:instrText xml:space="preserve"> = 6 \* GB3 \* MERGEFORMAT </w:instrText>
      </w:r>
      <w:r>
        <w:rPr>
          <w:rFonts w:hint="default"/>
        </w:rPr>
        <w:fldChar w:fldCharType="separate"/>
      </w:r>
      <w:r>
        <w:rPr>
          <w:rFonts w:hint="default"/>
        </w:rPr>
        <w:t>⑥</w:t>
      </w:r>
      <w:r>
        <w:rPr>
          <w:rFonts w:hint="default"/>
        </w:rPr>
        <w:fldChar w:fldCharType="end"/>
      </w:r>
      <w:r>
        <w:rPr>
          <w:rFonts w:hint="default"/>
        </w:rPr>
        <w:t>-</w:t>
      </w:r>
      <w:r>
        <w:rPr>
          <w:rFonts w:hint="default"/>
        </w:rPr>
        <w:fldChar w:fldCharType="begin"/>
      </w:r>
      <w:r>
        <w:rPr>
          <w:rFonts w:hint="default"/>
        </w:rPr>
        <w:instrText xml:space="preserve"> = 1 \* GB3 \* MERGEFORMAT </w:instrText>
      </w:r>
      <w:r>
        <w:rPr>
          <w:rFonts w:hint="default"/>
        </w:rPr>
        <w:fldChar w:fldCharType="separate"/>
      </w:r>
      <w:r>
        <w:rPr>
          <w:rFonts w:hint="default"/>
        </w:rPr>
        <w:t>①</w:t>
      </w:r>
      <w:r>
        <w:rPr>
          <w:rFonts w:hint="default"/>
        </w:rPr>
        <w:fldChar w:fldCharType="end"/>
      </w:r>
    </w:p>
    <w:p w14:paraId="52B9D5D0">
      <w:pPr>
        <w:rPr>
          <w:color w:val="auto"/>
        </w:rPr>
        <w:sectPr>
          <w:footerReference r:id="rId7" w:type="default"/>
          <w:pgSz w:w="16838" w:h="11906" w:orient="landscape"/>
          <w:pgMar w:top="1418"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71EB19F">
      <w:pPr>
        <w:pStyle w:val="37"/>
        <w:bidi w:val="0"/>
        <w:rPr>
          <w:rFonts w:hint="eastAsia"/>
          <w:lang w:eastAsia="zh-CN"/>
        </w:rPr>
      </w:pPr>
      <w:bookmarkStart w:id="63" w:name="_Ref22029"/>
      <w:bookmarkStart w:id="64" w:name="_Toc17864"/>
      <w:r>
        <w:t xml:space="preserve">附件 </w:t>
      </w:r>
      <w:r>
        <w:fldChar w:fldCharType="begin"/>
      </w:r>
      <w:r>
        <w:instrText xml:space="preserve"> SEQ 附件 \* ARABIC </w:instrText>
      </w:r>
      <w:r>
        <w:fldChar w:fldCharType="separate"/>
      </w:r>
      <w:r>
        <w:t>4</w:t>
      </w:r>
      <w:r>
        <w:fldChar w:fldCharType="end"/>
      </w:r>
      <w:bookmarkEnd w:id="63"/>
      <w:r>
        <w:rPr>
          <w:rFonts w:hint="eastAsia"/>
          <w:lang w:eastAsia="zh-CN"/>
        </w:rPr>
        <w:t>备案表</w:t>
      </w:r>
    </w:p>
    <w:p w14:paraId="25CEC5C5">
      <w:pPr>
        <w:pStyle w:val="15"/>
        <w:bidi w:val="0"/>
        <w:jc w:val="center"/>
        <w:rPr>
          <w:rFonts w:hint="default" w:eastAsia="宋体"/>
          <w:color w:val="auto"/>
          <w:lang w:val="en-US" w:eastAsia="zh-CN"/>
        </w:rPr>
        <w:sectPr>
          <w:headerReference r:id="rId8" w:type="default"/>
          <w:footerReference r:id="rId9" w:type="default"/>
          <w:pgSz w:w="11906" w:h="16838"/>
          <w:pgMar w:top="1418"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bookmarkEnd w:id="64"/>
    <w:p w14:paraId="42DABCB4">
      <w:pPr>
        <w:pStyle w:val="37"/>
        <w:bidi w:val="0"/>
        <w:rPr>
          <w:rFonts w:hint="eastAsia"/>
          <w:lang w:eastAsia="zh-CN"/>
        </w:rPr>
      </w:pPr>
      <w:bookmarkStart w:id="65" w:name="_Ref5002"/>
      <w:bookmarkStart w:id="66" w:name="_Ref7199"/>
      <w:r>
        <w:t xml:space="preserve">附件 </w:t>
      </w:r>
      <w:r>
        <w:fldChar w:fldCharType="begin"/>
      </w:r>
      <w:r>
        <w:instrText xml:space="preserve"> SEQ 附件 \* ARABIC </w:instrText>
      </w:r>
      <w:r>
        <w:fldChar w:fldCharType="separate"/>
      </w:r>
      <w:r>
        <w:t>6</w:t>
      </w:r>
      <w:r>
        <w:fldChar w:fldCharType="end"/>
      </w:r>
      <w:bookmarkEnd w:id="65"/>
      <w:r>
        <w:rPr>
          <w:rFonts w:hint="eastAsia"/>
          <w:lang w:val="en-US" w:eastAsia="zh-CN"/>
        </w:rPr>
        <w:t>产权证</w:t>
      </w:r>
      <w:bookmarkEnd w:id="66"/>
    </w:p>
    <w:p w14:paraId="2E95DFF7">
      <w:pPr>
        <w:pStyle w:val="15"/>
        <w:bidi w:val="0"/>
        <w:jc w:val="center"/>
        <w:rPr>
          <w:rFonts w:hint="eastAsia"/>
          <w:lang w:eastAsia="zh-CN"/>
        </w:rPr>
      </w:pPr>
      <w:r>
        <mc:AlternateContent>
          <mc:Choice Requires="wps">
            <w:drawing>
              <wp:anchor distT="0" distB="0" distL="114300" distR="114300" simplePos="0" relativeHeight="251670528" behindDoc="0" locked="0" layoutInCell="1" allowOverlap="1">
                <wp:simplePos x="0" y="0"/>
                <wp:positionH relativeFrom="column">
                  <wp:posOffset>2111375</wp:posOffset>
                </wp:positionH>
                <wp:positionV relativeFrom="paragraph">
                  <wp:posOffset>635635</wp:posOffset>
                </wp:positionV>
                <wp:extent cx="1040765" cy="338455"/>
                <wp:effectExtent l="12700" t="12700" r="546735" b="1416685"/>
                <wp:wrapNone/>
                <wp:docPr id="6" name="矩形标注 6"/>
                <wp:cNvGraphicFramePr/>
                <a:graphic xmlns:a="http://schemas.openxmlformats.org/drawingml/2006/main">
                  <a:graphicData uri="http://schemas.microsoft.com/office/word/2010/wordprocessingShape">
                    <wps:wsp>
                      <wps:cNvSpPr/>
                      <wps:spPr>
                        <a:xfrm>
                          <a:off x="3538855" y="1506220"/>
                          <a:ext cx="1040765" cy="338455"/>
                        </a:xfrm>
                        <a:prstGeom prst="wedgeRectCallout">
                          <a:avLst>
                            <a:gd name="adj1" fmla="val 101201"/>
                            <a:gd name="adj2" fmla="val 462757"/>
                          </a:avLst>
                        </a:prstGeom>
                        <a:solidFill>
                          <a:schemeClr val="bg1"/>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CEC7207">
                            <w:pPr>
                              <w:ind w:left="0" w:leftChars="0" w:firstLine="0" w:firstLineChars="0"/>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66.25pt;margin-top:50.05pt;height:26.65pt;width:81.95pt;z-index:251670528;v-text-anchor:middle;mso-width-relative:page;mso-height-relative:page;" fillcolor="#FFFFFF [3212]" filled="t" stroked="t" coordsize="21600,21600" o:gfxdata="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UxNd22AAAAAsBAAAPAAAAAAAAAAEAIAAAACIAAABkcnMv&#10;ZG93bnJldi54bWxQSwECFAAUAAAACACHTuJAT35GBK4CAABZBQAADgAAAAAAAAABACAAAAAnAQAA&#10;ZHJzL2Uyb0RvYy54bWxQSwUGAAAAAAYABgBZAQAARwYAAAAA&#10;" adj="32659,110756">
                <v:fill on="t" focussize="0,0"/>
                <v:stroke weight="2pt" color="#FF0000 [2404]" joinstyle="round"/>
                <v:imagedata o:title=""/>
                <o:lock v:ext="edit" aspectratio="f"/>
                <v:textbox>
                  <w:txbxContent>
                    <w:p w14:paraId="1CEC7207">
                      <w:pPr>
                        <w:ind w:left="0" w:leftChars="0" w:firstLine="0" w:firstLineChars="0"/>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本项目位置</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3053715</wp:posOffset>
                </wp:positionH>
                <wp:positionV relativeFrom="paragraph">
                  <wp:posOffset>2092960</wp:posOffset>
                </wp:positionV>
                <wp:extent cx="1117600" cy="1068070"/>
                <wp:effectExtent l="245110" t="224155" r="256540" b="227965"/>
                <wp:wrapNone/>
                <wp:docPr id="5" name="矩形 5"/>
                <wp:cNvGraphicFramePr/>
                <a:graphic xmlns:a="http://schemas.openxmlformats.org/drawingml/2006/main">
                  <a:graphicData uri="http://schemas.microsoft.com/office/word/2010/wordprocessingShape">
                    <wps:wsp>
                      <wps:cNvSpPr/>
                      <wps:spPr>
                        <a:xfrm rot="18540000">
                          <a:off x="4123055" y="2420620"/>
                          <a:ext cx="1117600" cy="106807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0.45pt;margin-top:164.8pt;height:84.1pt;width:88pt;rotation:-3342336f;z-index:251669504;v-text-anchor:middle;mso-width-relative:page;mso-height-relative:page;" filled="f" stroked="t" coordsize="21600,21600" o:gfxdata="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CgyRLWAAAACwEAAA8AAAAAAAAAAQAgAAAAIgAAAGRycy9kb3du&#10;cmV2LnhtbFBLAQIUABQAAAAIAIdO4kB88Q4XcwIAANAEAAAOAAAAAAAAAAEAIAAAACUBAABkcnMv&#10;ZTJvRG9jLnhtbFBLBQYAAAAABgAGAFkBAAAKBgAAAAA=&#10;">
                <v:fill on="f" focussize="0,0"/>
                <v:stroke weight="2pt" color="#FF0000 [2404]" joinstyle="round"/>
                <v:imagedata o:title=""/>
                <o:lock v:ext="edit" aspectratio="f"/>
              </v:rect>
            </w:pict>
          </mc:Fallback>
        </mc:AlternateContent>
      </w:r>
      <w:r>
        <w:rPr>
          <w:rFonts w:hint="eastAsia"/>
          <w:lang w:eastAsia="zh-CN"/>
        </w:rPr>
        <w:br w:type="page"/>
      </w:r>
    </w:p>
    <w:p w14:paraId="2AAE0D31">
      <w:pPr>
        <w:ind w:left="0" w:leftChars="0" w:firstLine="0" w:firstLineChars="0"/>
        <w:rPr>
          <w:rFonts w:hint="eastAsia"/>
          <w:color w:val="auto"/>
        </w:rPr>
        <w:sectPr>
          <w:pgSz w:w="16838" w:h="11906" w:orient="landscape"/>
          <w:pgMar w:top="1531" w:right="1418"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14:paraId="46E0124C">
      <w:pPr>
        <w:pStyle w:val="37"/>
        <w:bidi w:val="0"/>
        <w:rPr>
          <w:rFonts w:hint="eastAsia"/>
          <w:lang w:val="en-US" w:eastAsia="zh-CN"/>
        </w:rPr>
      </w:pPr>
      <w:bookmarkStart w:id="67" w:name="_Ref4970"/>
      <w:bookmarkStart w:id="68" w:name="_Toc26433"/>
      <w:bookmarkStart w:id="69" w:name="_Toc9393"/>
      <w:r>
        <w:t xml:space="preserve">附件 </w:t>
      </w:r>
      <w:r>
        <w:fldChar w:fldCharType="begin"/>
      </w:r>
      <w:r>
        <w:instrText xml:space="preserve"> SEQ 附件 \* ARABIC </w:instrText>
      </w:r>
      <w:r>
        <w:fldChar w:fldCharType="separate"/>
      </w:r>
      <w:r>
        <w:t>7</w:t>
      </w:r>
      <w:r>
        <w:fldChar w:fldCharType="end"/>
      </w:r>
      <w:bookmarkEnd w:id="67"/>
      <w:r>
        <w:rPr>
          <w:rFonts w:hint="eastAsia"/>
          <w:lang w:val="en-US" w:eastAsia="zh-CN"/>
        </w:rPr>
        <w:t xml:space="preserve"> 厂房租赁合同</w:t>
      </w:r>
    </w:p>
    <w:p w14:paraId="09C8F8AC">
      <w:pPr>
        <w:pStyle w:val="15"/>
        <w:bidi w:val="0"/>
        <w:jc w:val="center"/>
        <w:rPr>
          <w:rFonts w:hint="default"/>
        </w:rPr>
      </w:pPr>
      <w:r>
        <w:rPr>
          <w:rFonts w:hint="default"/>
        </w:rPr>
        <w:br w:type="page"/>
      </w:r>
    </w:p>
    <w:bookmarkEnd w:id="68"/>
    <w:bookmarkEnd w:id="69"/>
    <w:p w14:paraId="466D6D76">
      <w:pPr>
        <w:jc w:val="right"/>
        <w:rPr>
          <w:rFonts w:hint="default" w:ascii="Times New Roman" w:hAnsi="Times New Roman" w:eastAsia="宋体" w:cs="Times New Roman"/>
          <w:b/>
          <w:bCs/>
          <w:color w:val="auto"/>
          <w:kern w:val="2"/>
          <w:szCs w:val="32"/>
          <w:lang w:val="en-US" w:eastAsia="zh-CN" w:bidi="ar-SA"/>
        </w:rPr>
      </w:pPr>
      <w:r>
        <w:rPr>
          <w:rFonts w:hint="default" w:ascii="Times New Roman" w:hAnsi="Times New Roman" w:eastAsia="宋体" w:cs="Times New Roman"/>
          <w:b/>
          <w:bCs/>
          <w:color w:val="auto"/>
          <w:kern w:val="2"/>
          <w:szCs w:val="32"/>
          <w:lang w:val="en-US" w:eastAsia="zh-CN" w:bidi="ar-SA"/>
        </w:rPr>
        <w:br w:type="page"/>
      </w:r>
    </w:p>
    <w:p w14:paraId="71D50F8B">
      <w:pPr>
        <w:pStyle w:val="37"/>
        <w:bidi w:val="0"/>
        <w:rPr>
          <w:rFonts w:hint="default"/>
          <w:lang w:val="en-US" w:eastAsia="zh-CN"/>
        </w:rPr>
      </w:pPr>
      <w:r>
        <w:drawing>
          <wp:anchor distT="0" distB="0" distL="114300" distR="114300" simplePos="0" relativeHeight="251675648" behindDoc="0" locked="0" layoutInCell="1" allowOverlap="1">
            <wp:simplePos x="0" y="0"/>
            <wp:positionH relativeFrom="column">
              <wp:posOffset>-128905</wp:posOffset>
            </wp:positionH>
            <wp:positionV relativeFrom="paragraph">
              <wp:posOffset>264160</wp:posOffset>
            </wp:positionV>
            <wp:extent cx="5951220" cy="8459470"/>
            <wp:effectExtent l="0" t="0" r="11430" b="17780"/>
            <wp:wrapNone/>
            <wp:docPr id="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
                    <pic:cNvPicPr>
                      <a:picLocks noChangeAspect="1"/>
                    </pic:cNvPicPr>
                  </pic:nvPicPr>
                  <pic:blipFill>
                    <a:blip r:embed="rId52"/>
                    <a:stretch>
                      <a:fillRect/>
                    </a:stretch>
                  </pic:blipFill>
                  <pic:spPr>
                    <a:xfrm>
                      <a:off x="0" y="0"/>
                      <a:ext cx="5951220" cy="8459470"/>
                    </a:xfrm>
                    <a:prstGeom prst="rect">
                      <a:avLst/>
                    </a:prstGeom>
                    <a:noFill/>
                    <a:ln>
                      <a:noFill/>
                    </a:ln>
                  </pic:spPr>
                </pic:pic>
              </a:graphicData>
            </a:graphic>
          </wp:anchor>
        </w:drawing>
      </w:r>
      <w:r>
        <w:t xml:space="preserve">附件 </w:t>
      </w:r>
      <w:r>
        <w:fldChar w:fldCharType="begin"/>
      </w:r>
      <w:r>
        <w:instrText xml:space="preserve"> SEQ 附件 \* ARABIC </w:instrText>
      </w:r>
      <w:r>
        <w:fldChar w:fldCharType="separate"/>
      </w:r>
      <w:r>
        <w:t>18</w:t>
      </w:r>
      <w:r>
        <w:fldChar w:fldCharType="end"/>
      </w:r>
      <w:r>
        <w:rPr>
          <w:rFonts w:hint="default"/>
          <w:lang w:val="en-US" w:eastAsia="zh-CN"/>
        </w:rPr>
        <w:t>关于环评文件公开文本删除的涉及国家秘密、商业秘密等内容的说明</w:t>
      </w:r>
    </w:p>
    <w:p w14:paraId="179CB7D1">
      <w:pPr>
        <w:bidi w:val="0"/>
        <w:rPr>
          <w:b/>
          <w:bCs w:val="0"/>
          <w:iCs w:val="0"/>
        </w:rPr>
      </w:pPr>
    </w:p>
    <w:p w14:paraId="2BB09DC6">
      <w:pPr>
        <w:keepNext w:val="0"/>
        <w:keepLines w:val="0"/>
        <w:pageBreakBefore w:val="0"/>
        <w:widowControl w:val="0"/>
        <w:kinsoku/>
        <w:wordWrap/>
        <w:overflowPunct/>
        <w:topLinePunct w:val="0"/>
        <w:autoSpaceDE/>
        <w:autoSpaceDN/>
        <w:bidi w:val="0"/>
        <w:adjustRightInd w:val="0"/>
        <w:snapToGrid w:val="0"/>
        <w:spacing w:line="480" w:lineRule="auto"/>
        <w:ind w:firstLine="0" w:firstLineChars="0"/>
        <w:jc w:val="center"/>
        <w:textAlignment w:val="auto"/>
        <w:rPr>
          <w:rFonts w:hint="eastAsia"/>
          <w:b/>
          <w:bCs w:val="0"/>
          <w:iCs w:val="0"/>
          <w:sz w:val="32"/>
          <w:szCs w:val="32"/>
          <w:lang w:val="en-US" w:eastAsia="zh-CN"/>
        </w:rPr>
      </w:pPr>
      <w:r>
        <w:rPr>
          <w:rFonts w:hint="eastAsia"/>
          <w:b/>
          <w:bCs w:val="0"/>
          <w:iCs w:val="0"/>
          <w:sz w:val="32"/>
          <w:szCs w:val="32"/>
          <w:lang w:val="en-US" w:eastAsia="zh-CN"/>
        </w:rPr>
        <w:t>关于环评文件公开文本删除的涉及国家秘密、商业秘密等内容的删除依据和理由说明</w:t>
      </w:r>
    </w:p>
    <w:p w14:paraId="14BD363C">
      <w:pPr>
        <w:bidi w:val="0"/>
        <w:spacing w:line="480" w:lineRule="auto"/>
        <w:rPr>
          <w:rFonts w:hint="eastAsia"/>
          <w:b w:val="0"/>
          <w:bCs/>
          <w:iCs w:val="0"/>
          <w:sz w:val="28"/>
          <w:szCs w:val="28"/>
          <w:lang w:val="en-US" w:eastAsia="zh-CN"/>
        </w:rPr>
      </w:pPr>
      <w:r>
        <w:rPr>
          <w:rFonts w:hint="eastAsia"/>
          <w:b w:val="0"/>
          <w:bCs/>
          <w:iCs w:val="0"/>
          <w:sz w:val="28"/>
          <w:szCs w:val="28"/>
          <w:lang w:val="en-US" w:eastAsia="zh-CN"/>
        </w:rPr>
        <w:t>福州市福清生态环境局：</w:t>
      </w:r>
    </w:p>
    <w:p w14:paraId="20E1244D">
      <w:pPr>
        <w:bidi w:val="0"/>
        <w:spacing w:line="480" w:lineRule="auto"/>
        <w:rPr>
          <w:rFonts w:hint="eastAsia"/>
          <w:b w:val="0"/>
          <w:bCs/>
          <w:iCs w:val="0"/>
          <w:sz w:val="28"/>
          <w:szCs w:val="28"/>
          <w:lang w:val="en-US" w:eastAsia="zh-CN"/>
        </w:rPr>
      </w:pPr>
      <w:r>
        <w:rPr>
          <w:rFonts w:hint="eastAsia"/>
          <w:b w:val="0"/>
          <w:bCs/>
          <w:iCs w:val="0"/>
          <w:sz w:val="28"/>
          <w:szCs w:val="28"/>
          <w:lang w:val="en-US" w:eastAsia="zh-CN"/>
        </w:rPr>
        <w:t>我司福清市三合电子科技有限公司年加工铝合金20万套、塑胶件30万套、钣金件10万套项目已完成环境影响评价报告表编制，现报送贵局审批。我司已删除涉及国家秘密、商业秘密、个人隐私等内容（具体删除内容、删除依据详见附件）。报送贵局的环境影响评价报告表公开文本已经我司审核，我司同意对《福清市三合电子科技有限公司年加工铝合金20万套、塑胶件30万套、钣金件10万套项目环境影响评价报告表》公开文本全文进行公示，特此声明。</w:t>
      </w:r>
    </w:p>
    <w:p w14:paraId="6AEC372A">
      <w:pPr>
        <w:bidi w:val="0"/>
        <w:spacing w:line="480" w:lineRule="auto"/>
        <w:rPr>
          <w:rFonts w:hint="eastAsia"/>
          <w:b w:val="0"/>
          <w:bCs/>
          <w:iCs w:val="0"/>
          <w:sz w:val="28"/>
          <w:szCs w:val="28"/>
          <w:lang w:val="en-US" w:eastAsia="zh-CN"/>
        </w:rPr>
      </w:pPr>
      <w:r>
        <w:rPr>
          <w:rFonts w:hint="eastAsia"/>
          <w:b w:val="0"/>
          <w:bCs/>
          <w:iCs w:val="0"/>
          <w:sz w:val="28"/>
          <w:szCs w:val="28"/>
          <w:lang w:val="en-US" w:eastAsia="zh-CN"/>
        </w:rPr>
        <w:t>附件：关于福清市三合电子科技有限公司年加工铝合金20万套、塑胶件30万套、钣金件10万套项目的环境影响评价报告表公开文本删除内容、删除依据的说明</w:t>
      </w:r>
    </w:p>
    <w:p w14:paraId="5375F480">
      <w:pPr>
        <w:bidi w:val="0"/>
      </w:pPr>
    </w:p>
    <w:p w14:paraId="2112384E">
      <w:pPr>
        <w:tabs>
          <w:tab w:val="left" w:pos="5920"/>
        </w:tabs>
        <w:spacing w:line="480" w:lineRule="auto"/>
        <w:jc w:val="right"/>
        <w:rPr>
          <w:b/>
          <w:bCs w:val="0"/>
          <w:iCs w:val="0"/>
          <w:color w:val="auto"/>
        </w:rPr>
      </w:pPr>
      <w:r>
        <w:rPr>
          <w:rFonts w:hint="eastAsia"/>
          <w:b/>
          <w:bCs w:val="0"/>
          <w:iCs w:val="0"/>
          <w:color w:val="auto"/>
        </w:rPr>
        <w:t>单位盖章</w:t>
      </w:r>
    </w:p>
    <w:p w14:paraId="4A0062B8">
      <w:pPr>
        <w:tabs>
          <w:tab w:val="left" w:pos="5920"/>
        </w:tabs>
        <w:spacing w:line="480" w:lineRule="auto"/>
        <w:jc w:val="right"/>
        <w:rPr>
          <w:b/>
          <w:bCs w:val="0"/>
          <w:iCs w:val="0"/>
          <w:color w:val="auto"/>
        </w:rPr>
      </w:pPr>
      <w:r>
        <w:rPr>
          <w:rFonts w:hint="eastAsia"/>
          <w:b/>
          <w:bCs w:val="0"/>
          <w:iCs w:val="0"/>
          <w:color w:val="auto"/>
        </w:rPr>
        <w:t>20</w:t>
      </w:r>
      <w:r>
        <w:rPr>
          <w:rFonts w:hint="eastAsia"/>
          <w:b/>
          <w:bCs w:val="0"/>
          <w:iCs w:val="0"/>
          <w:color w:val="auto"/>
          <w:lang w:val="en-US" w:eastAsia="zh-CN"/>
        </w:rPr>
        <w:t>26</w:t>
      </w:r>
      <w:r>
        <w:rPr>
          <w:rFonts w:hint="eastAsia"/>
          <w:b/>
          <w:bCs w:val="0"/>
          <w:iCs w:val="0"/>
          <w:color w:val="auto"/>
        </w:rPr>
        <w:t>年</w:t>
      </w:r>
      <w:r>
        <w:rPr>
          <w:rFonts w:hint="eastAsia"/>
          <w:b/>
          <w:bCs w:val="0"/>
          <w:iCs w:val="0"/>
          <w:color w:val="auto"/>
          <w:lang w:val="en-US" w:eastAsia="zh-CN"/>
        </w:rPr>
        <w:t>1</w:t>
      </w:r>
      <w:r>
        <w:rPr>
          <w:rFonts w:hint="eastAsia"/>
          <w:b/>
          <w:bCs w:val="0"/>
          <w:iCs w:val="0"/>
          <w:color w:val="auto"/>
        </w:rPr>
        <w:t>月</w:t>
      </w:r>
      <w:r>
        <w:rPr>
          <w:rFonts w:hint="eastAsia"/>
          <w:b/>
          <w:bCs w:val="0"/>
          <w:iCs w:val="0"/>
          <w:color w:val="auto"/>
          <w:lang w:val="en-US" w:eastAsia="zh-CN"/>
        </w:rPr>
        <w:t>20</w:t>
      </w:r>
      <w:r>
        <w:rPr>
          <w:rFonts w:hint="eastAsia"/>
          <w:b/>
          <w:bCs w:val="0"/>
          <w:iCs w:val="0"/>
          <w:color w:val="auto"/>
        </w:rPr>
        <w:t>日</w:t>
      </w:r>
    </w:p>
    <w:p w14:paraId="0368D701">
      <w:pPr>
        <w:rPr>
          <w:rFonts w:hint="default" w:ascii="Times New Roman" w:hAnsi="Times New Roman" w:eastAsia="宋体" w:cs="Times New Roman"/>
          <w:b/>
          <w:bCs/>
          <w:color w:val="auto"/>
          <w:kern w:val="2"/>
          <w:sz w:val="32"/>
          <w:szCs w:val="32"/>
          <w:lang w:val="en-US" w:eastAsia="zh-CN" w:bidi="ar-SA"/>
        </w:rPr>
      </w:pPr>
      <w:r>
        <w:rPr>
          <w:rFonts w:hint="default" w:ascii="Times New Roman" w:hAnsi="Times New Roman" w:eastAsia="宋体" w:cs="Times New Roman"/>
          <w:b/>
          <w:bCs/>
          <w:color w:val="auto"/>
          <w:kern w:val="2"/>
          <w:sz w:val="32"/>
          <w:szCs w:val="32"/>
          <w:lang w:val="en-US" w:eastAsia="zh-CN" w:bidi="ar-SA"/>
        </w:rPr>
        <w:br w:type="page"/>
      </w:r>
    </w:p>
    <w:p w14:paraId="46993E99">
      <w:pPr>
        <w:pStyle w:val="37"/>
        <w:bidi w:val="0"/>
        <w:rPr>
          <w:rFonts w:hint="eastAsia"/>
          <w:lang w:val="en-US" w:eastAsia="zh-CN"/>
        </w:rPr>
      </w:pPr>
      <w:bookmarkStart w:id="70" w:name="_Toc2427"/>
      <w:r>
        <w:t xml:space="preserve">附件 </w:t>
      </w:r>
      <w:r>
        <w:fldChar w:fldCharType="begin"/>
      </w:r>
      <w:r>
        <w:instrText xml:space="preserve"> SEQ 附件 \* ARABIC </w:instrText>
      </w:r>
      <w:r>
        <w:fldChar w:fldCharType="separate"/>
      </w:r>
      <w:r>
        <w:t>19</w:t>
      </w:r>
      <w:r>
        <w:fldChar w:fldCharType="end"/>
      </w:r>
      <w:r>
        <w:rPr>
          <w:rFonts w:hint="eastAsia"/>
          <w:lang w:val="en-US" w:eastAsia="zh-CN"/>
        </w:rPr>
        <w:t xml:space="preserve"> 关于福清市三合电子科技有限公司年加工铝合金20万套、塑胶件30万套、钣金件10万套项目的环境影响评价报告表公开文本删除内容、删除依据的说明</w:t>
      </w:r>
      <w:bookmarkEnd w:id="70"/>
    </w:p>
    <w:p w14:paraId="77424A3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bCs/>
          <w:color w:val="000000"/>
          <w:sz w:val="32"/>
          <w:szCs w:val="32"/>
        </w:rPr>
      </w:pPr>
      <w: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5614670" cy="7924800"/>
            <wp:effectExtent l="0" t="0" r="5080" b="0"/>
            <wp:wrapNone/>
            <wp:docPr id="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
                    <pic:cNvPicPr>
                      <a:picLocks noChangeAspect="1"/>
                    </pic:cNvPicPr>
                  </pic:nvPicPr>
                  <pic:blipFill>
                    <a:blip r:embed="rId53"/>
                    <a:stretch>
                      <a:fillRect/>
                    </a:stretch>
                  </pic:blipFill>
                  <pic:spPr>
                    <a:xfrm>
                      <a:off x="0" y="0"/>
                      <a:ext cx="5614670" cy="7924800"/>
                    </a:xfrm>
                    <a:prstGeom prst="rect">
                      <a:avLst/>
                    </a:prstGeom>
                    <a:noFill/>
                    <a:ln>
                      <a:noFill/>
                    </a:ln>
                  </pic:spPr>
                </pic:pic>
              </a:graphicData>
            </a:graphic>
          </wp:anchor>
        </w:drawing>
      </w:r>
      <w:r>
        <w:rPr>
          <w:rFonts w:hint="eastAsia" w:ascii="Times New Roman" w:hAnsi="Times New Roman" w:eastAsia="宋体" w:cs="Times New Roman"/>
          <w:b/>
          <w:bCs/>
          <w:color w:val="000000"/>
          <w:sz w:val="32"/>
          <w:szCs w:val="32"/>
        </w:rPr>
        <w:t>关于</w:t>
      </w:r>
      <w:r>
        <w:rPr>
          <w:rFonts w:hint="eastAsia" w:cs="Times New Roman"/>
          <w:b/>
          <w:bCs/>
          <w:color w:val="000000"/>
          <w:sz w:val="32"/>
          <w:szCs w:val="32"/>
          <w:lang w:eastAsia="zh-CN"/>
        </w:rPr>
        <w:t>福清市三合电子科技有限公司年加工铝合金20万套、塑胶件30万套、钣金件10万套项目</w:t>
      </w:r>
      <w:r>
        <w:rPr>
          <w:rFonts w:hint="eastAsia" w:ascii="Times New Roman" w:hAnsi="Times New Roman" w:eastAsia="宋体" w:cs="Times New Roman"/>
          <w:b/>
          <w:bCs/>
          <w:color w:val="000000"/>
          <w:sz w:val="32"/>
          <w:szCs w:val="32"/>
        </w:rPr>
        <w:t>的环境影响评价报告表公开文本删除内容、删除依据的说明</w:t>
      </w:r>
    </w:p>
    <w:p w14:paraId="6A60F6D6">
      <w:pPr>
        <w:tabs>
          <w:tab w:val="left" w:pos="5920"/>
        </w:tabs>
        <w:spacing w:line="480" w:lineRule="auto"/>
        <w:ind w:firstLine="482" w:firstLineChars="200"/>
        <w:rPr>
          <w:b/>
          <w:bCs w:val="0"/>
          <w:iCs w:val="0"/>
          <w:color w:val="auto"/>
        </w:rPr>
      </w:pPr>
    </w:p>
    <w:p w14:paraId="20F5079C">
      <w:pPr>
        <w:tabs>
          <w:tab w:val="left" w:pos="5920"/>
        </w:tabs>
        <w:spacing w:line="480" w:lineRule="auto"/>
        <w:ind w:firstLine="560" w:firstLineChars="200"/>
        <w:rPr>
          <w:b w:val="0"/>
          <w:bCs/>
          <w:iCs w:val="0"/>
          <w:color w:val="auto"/>
          <w:sz w:val="28"/>
          <w:szCs w:val="28"/>
        </w:rPr>
      </w:pPr>
      <w:r>
        <w:rPr>
          <w:rFonts w:hint="eastAsia"/>
          <w:b w:val="0"/>
          <w:bCs/>
          <w:iCs w:val="0"/>
          <w:color w:val="auto"/>
          <w:sz w:val="28"/>
          <w:szCs w:val="28"/>
        </w:rPr>
        <w:t>我司</w:t>
      </w:r>
      <w:r>
        <w:rPr>
          <w:rFonts w:hint="eastAsia"/>
          <w:b w:val="0"/>
          <w:bCs/>
          <w:iCs w:val="0"/>
          <w:color w:val="auto"/>
          <w:sz w:val="28"/>
          <w:szCs w:val="28"/>
          <w:lang w:eastAsia="zh-CN"/>
        </w:rPr>
        <w:t>福清市三合电子科技有限公司年加工铝合金20万套、塑胶件30万套、钣金件10万套项目</w:t>
      </w:r>
      <w:r>
        <w:rPr>
          <w:rFonts w:hint="eastAsia"/>
          <w:b w:val="0"/>
          <w:bCs/>
          <w:iCs w:val="0"/>
          <w:color w:val="auto"/>
          <w:sz w:val="28"/>
          <w:szCs w:val="28"/>
        </w:rPr>
        <w:t>的环境影响评价报告表部分内容涉及国家秘密、商业秘密、个人隐私等内容，我司删除了环境影响评价报告表中相应内容具体删除内容和删除依据如下：</w:t>
      </w:r>
    </w:p>
    <w:p w14:paraId="6859F716">
      <w:pPr>
        <w:tabs>
          <w:tab w:val="left" w:pos="5920"/>
        </w:tabs>
        <w:spacing w:line="480" w:lineRule="auto"/>
        <w:ind w:firstLine="560" w:firstLineChars="200"/>
        <w:rPr>
          <w:b w:val="0"/>
          <w:bCs/>
          <w:iCs w:val="0"/>
          <w:color w:val="auto"/>
          <w:sz w:val="28"/>
          <w:szCs w:val="28"/>
        </w:rPr>
      </w:pPr>
      <w:r>
        <w:rPr>
          <w:rFonts w:hint="eastAsia"/>
          <w:b w:val="0"/>
          <w:bCs/>
          <w:iCs w:val="0"/>
          <w:color w:val="auto"/>
          <w:sz w:val="28"/>
          <w:szCs w:val="28"/>
        </w:rPr>
        <w:t>1、删除附图、附件部分，删除理由：涉及商业秘密及个人隐私；</w:t>
      </w:r>
    </w:p>
    <w:p w14:paraId="0DA32519">
      <w:pPr>
        <w:tabs>
          <w:tab w:val="left" w:pos="5920"/>
        </w:tabs>
        <w:spacing w:line="480" w:lineRule="auto"/>
        <w:ind w:firstLine="560" w:firstLineChars="200"/>
        <w:rPr>
          <w:b w:val="0"/>
          <w:bCs/>
          <w:iCs w:val="0"/>
          <w:color w:val="auto"/>
          <w:sz w:val="28"/>
          <w:szCs w:val="28"/>
        </w:rPr>
      </w:pPr>
      <w:r>
        <w:rPr>
          <w:rFonts w:hint="eastAsia"/>
          <w:b w:val="0"/>
          <w:bCs/>
          <w:iCs w:val="0"/>
          <w:color w:val="auto"/>
          <w:sz w:val="28"/>
          <w:szCs w:val="28"/>
        </w:rPr>
        <w:t>2、删除建设单位联系方式，删除理由：涉及个人隐私；</w:t>
      </w:r>
    </w:p>
    <w:p w14:paraId="263071A3">
      <w:pPr>
        <w:tabs>
          <w:tab w:val="left" w:pos="5920"/>
        </w:tabs>
        <w:spacing w:line="480" w:lineRule="auto"/>
        <w:ind w:firstLine="560" w:firstLineChars="200"/>
        <w:rPr>
          <w:b w:val="0"/>
          <w:bCs/>
          <w:iCs w:val="0"/>
          <w:color w:val="auto"/>
          <w:sz w:val="28"/>
          <w:szCs w:val="28"/>
        </w:rPr>
      </w:pPr>
      <w:r>
        <w:rPr>
          <w:rFonts w:hint="eastAsia"/>
          <w:b w:val="0"/>
          <w:bCs/>
          <w:iCs w:val="0"/>
          <w:color w:val="auto"/>
          <w:sz w:val="28"/>
          <w:szCs w:val="28"/>
        </w:rPr>
        <w:t>3、删除项目编制单位统一社会信用代码及编制主持人证书编号、信用编号等，删除理由：涉及商业秘密及个人隐私。</w:t>
      </w:r>
    </w:p>
    <w:p w14:paraId="7A9E90BA">
      <w:pPr>
        <w:tabs>
          <w:tab w:val="left" w:pos="5920"/>
        </w:tabs>
        <w:spacing w:line="480" w:lineRule="auto"/>
        <w:ind w:firstLine="482" w:firstLineChars="200"/>
        <w:rPr>
          <w:b/>
          <w:bCs w:val="0"/>
          <w:iCs w:val="0"/>
          <w:color w:val="auto"/>
        </w:rPr>
      </w:pPr>
    </w:p>
    <w:p w14:paraId="733D6DD2">
      <w:pPr>
        <w:tabs>
          <w:tab w:val="left" w:pos="5920"/>
        </w:tabs>
        <w:spacing w:line="480" w:lineRule="auto"/>
        <w:ind w:firstLine="482" w:firstLineChars="200"/>
        <w:rPr>
          <w:b/>
          <w:bCs w:val="0"/>
          <w:iCs w:val="0"/>
          <w:color w:val="auto"/>
        </w:rPr>
      </w:pPr>
    </w:p>
    <w:p w14:paraId="6F74F66E">
      <w:pPr>
        <w:tabs>
          <w:tab w:val="left" w:pos="5920"/>
        </w:tabs>
        <w:spacing w:line="480" w:lineRule="auto"/>
        <w:jc w:val="right"/>
        <w:rPr>
          <w:b/>
          <w:bCs w:val="0"/>
          <w:iCs w:val="0"/>
          <w:color w:val="auto"/>
        </w:rPr>
      </w:pPr>
      <w:r>
        <w:rPr>
          <w:rFonts w:hint="eastAsia"/>
          <w:b/>
          <w:bCs w:val="0"/>
          <w:iCs w:val="0"/>
          <w:color w:val="auto"/>
        </w:rPr>
        <w:t>单位盖章</w:t>
      </w:r>
    </w:p>
    <w:p w14:paraId="73222FD6">
      <w:pPr>
        <w:tabs>
          <w:tab w:val="left" w:pos="5920"/>
        </w:tabs>
        <w:spacing w:line="480" w:lineRule="auto"/>
        <w:jc w:val="right"/>
        <w:rPr>
          <w:rFonts w:hint="default" w:ascii="Times New Roman" w:hAnsi="Times New Roman" w:eastAsia="宋体" w:cs="Times New Roman"/>
          <w:b/>
          <w:bCs/>
          <w:color w:val="auto"/>
          <w:kern w:val="2"/>
          <w:sz w:val="32"/>
          <w:szCs w:val="32"/>
          <w:lang w:val="en-US" w:eastAsia="zh-CN" w:bidi="ar-SA"/>
        </w:rPr>
      </w:pPr>
      <w:r>
        <w:rPr>
          <w:rFonts w:hint="eastAsia"/>
          <w:b/>
          <w:bCs w:val="0"/>
          <w:iCs w:val="0"/>
          <w:color w:val="auto"/>
          <w:lang w:eastAsia="zh-CN"/>
        </w:rPr>
        <w:t>2026年1月</w:t>
      </w:r>
    </w:p>
    <w:sectPr>
      <w:headerReference r:id="rId10" w:type="default"/>
      <w:pgSz w:w="11906" w:h="16838"/>
      <w:pgMar w:top="1418"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A3126">
    <w:pPr>
      <w:tabs>
        <w:tab w:val="center" w:pos="4153"/>
        <w:tab w:val="right" w:pos="8306"/>
      </w:tabs>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12DA6">
    <w:pPr>
      <w:tabs>
        <w:tab w:val="center" w:pos="4153"/>
        <w:tab w:val="right" w:pos="8306"/>
      </w:tabs>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765BC3">
                          <w:pPr>
                            <w:tabs>
                              <w:tab w:val="center" w:pos="4153"/>
                              <w:tab w:val="right" w:pos="8306"/>
                            </w:tabs>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Style w:val="33"/>
                              <w:rFonts w:ascii="宋体" w:hAnsi="宋体"/>
                              <w:sz w:val="26"/>
                              <w:szCs w:val="26"/>
                            </w:rPr>
                            <w:fldChar w:fldCharType="begin"/>
                          </w:r>
                          <w:r>
                            <w:rPr>
                              <w:rStyle w:val="33"/>
                              <w:rFonts w:ascii="宋体" w:hAnsi="宋体"/>
                              <w:sz w:val="26"/>
                              <w:szCs w:val="26"/>
                            </w:rPr>
                            <w:instrText xml:space="preserve">PAGE  </w:instrText>
                          </w:r>
                          <w:r>
                            <w:rPr>
                              <w:rStyle w:val="33"/>
                              <w:rFonts w:ascii="宋体" w:hAnsi="宋体"/>
                              <w:sz w:val="26"/>
                              <w:szCs w:val="26"/>
                            </w:rPr>
                            <w:fldChar w:fldCharType="separate"/>
                          </w:r>
                          <w:r>
                            <w:rPr>
                              <w:rStyle w:val="33"/>
                              <w:rFonts w:ascii="宋体" w:hAnsi="宋体"/>
                              <w:sz w:val="26"/>
                              <w:szCs w:val="26"/>
                            </w:rPr>
                            <w:t>42</w:t>
                          </w:r>
                          <w:r>
                            <w:rPr>
                              <w:rStyle w:val="33"/>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wps:txbx>
                    <wps:bodyPr wrap="none" lIns="0" tIns="0" rIns="0" bIns="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1RLQazAEAAJ4DAAAOAAAAAAAAAAEAIAAAAB4BAABkcnMvZTJv&#10;RG9jLnhtbFBLBQYAAAAABgAGAFkBAABcBQAAAAA=&#10;">
              <v:fill on="f" focussize="0,0"/>
              <v:stroke on="f"/>
              <v:imagedata o:title=""/>
              <o:lock v:ext="edit" aspectratio="f"/>
              <v:textbox inset="0mm,0mm,0mm,0mm" style="mso-fit-shape-to-text:t;">
                <w:txbxContent>
                  <w:p w14:paraId="1B765BC3">
                    <w:pPr>
                      <w:tabs>
                        <w:tab w:val="center" w:pos="4153"/>
                        <w:tab w:val="right" w:pos="8306"/>
                      </w:tabs>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Style w:val="33"/>
                        <w:rFonts w:ascii="宋体" w:hAnsi="宋体"/>
                        <w:sz w:val="26"/>
                        <w:szCs w:val="26"/>
                      </w:rPr>
                      <w:fldChar w:fldCharType="begin"/>
                    </w:r>
                    <w:r>
                      <w:rPr>
                        <w:rStyle w:val="33"/>
                        <w:rFonts w:ascii="宋体" w:hAnsi="宋体"/>
                        <w:sz w:val="26"/>
                        <w:szCs w:val="26"/>
                      </w:rPr>
                      <w:instrText xml:space="preserve">PAGE  </w:instrText>
                    </w:r>
                    <w:r>
                      <w:rPr>
                        <w:rStyle w:val="33"/>
                        <w:rFonts w:ascii="宋体" w:hAnsi="宋体"/>
                        <w:sz w:val="26"/>
                        <w:szCs w:val="26"/>
                      </w:rPr>
                      <w:fldChar w:fldCharType="separate"/>
                    </w:r>
                    <w:r>
                      <w:rPr>
                        <w:rStyle w:val="33"/>
                        <w:rFonts w:ascii="宋体" w:hAnsi="宋体"/>
                        <w:sz w:val="26"/>
                        <w:szCs w:val="26"/>
                      </w:rPr>
                      <w:t>42</w:t>
                    </w:r>
                    <w:r>
                      <w:rPr>
                        <w:rStyle w:val="33"/>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84642">
    <w:pPr>
      <w:tabs>
        <w:tab w:val="center" w:pos="4153"/>
        <w:tab w:val="right" w:pos="8306"/>
      </w:tabs>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D313EE">
                          <w:pPr>
                            <w:tabs>
                              <w:tab w:val="center" w:pos="4153"/>
                              <w:tab w:val="right" w:pos="8306"/>
                            </w:tabs>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Style w:val="33"/>
                              <w:rFonts w:ascii="宋体" w:hAnsi="宋体"/>
                              <w:sz w:val="26"/>
                              <w:szCs w:val="26"/>
                            </w:rPr>
                            <w:fldChar w:fldCharType="begin"/>
                          </w:r>
                          <w:r>
                            <w:rPr>
                              <w:rStyle w:val="33"/>
                              <w:rFonts w:ascii="宋体" w:hAnsi="宋体"/>
                              <w:sz w:val="26"/>
                              <w:szCs w:val="26"/>
                            </w:rPr>
                            <w:instrText xml:space="preserve">PAGE  </w:instrText>
                          </w:r>
                          <w:r>
                            <w:rPr>
                              <w:rStyle w:val="33"/>
                              <w:rFonts w:ascii="宋体" w:hAnsi="宋体"/>
                              <w:sz w:val="26"/>
                              <w:szCs w:val="26"/>
                            </w:rPr>
                            <w:fldChar w:fldCharType="separate"/>
                          </w:r>
                          <w:r>
                            <w:rPr>
                              <w:rStyle w:val="33"/>
                              <w:rFonts w:ascii="宋体" w:hAnsi="宋体"/>
                              <w:sz w:val="26"/>
                              <w:szCs w:val="26"/>
                            </w:rPr>
                            <w:t>50</w:t>
                          </w:r>
                          <w:r>
                            <w:rPr>
                              <w:rStyle w:val="33"/>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HWbur4QEAAMMDAAAOAAAA&#10;AAAAAAEAIAAAAB4BAABkcnMvZTJvRG9jLnhtbFBLBQYAAAAABgAGAFkBAABxBQAAAAA=&#10;">
              <v:fill on="f" focussize="0,0"/>
              <v:stroke on="f"/>
              <v:imagedata o:title=""/>
              <o:lock v:ext="edit" aspectratio="f"/>
              <v:textbox inset="0mm,0mm,0mm,0mm" style="mso-fit-shape-to-text:t;">
                <w:txbxContent>
                  <w:p w14:paraId="5CD313EE">
                    <w:pPr>
                      <w:tabs>
                        <w:tab w:val="center" w:pos="4153"/>
                        <w:tab w:val="right" w:pos="8306"/>
                      </w:tabs>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Style w:val="33"/>
                        <w:rFonts w:ascii="宋体" w:hAnsi="宋体"/>
                        <w:sz w:val="26"/>
                        <w:szCs w:val="26"/>
                      </w:rPr>
                      <w:fldChar w:fldCharType="begin"/>
                    </w:r>
                    <w:r>
                      <w:rPr>
                        <w:rStyle w:val="33"/>
                        <w:rFonts w:ascii="宋体" w:hAnsi="宋体"/>
                        <w:sz w:val="26"/>
                        <w:szCs w:val="26"/>
                      </w:rPr>
                      <w:instrText xml:space="preserve">PAGE  </w:instrText>
                    </w:r>
                    <w:r>
                      <w:rPr>
                        <w:rStyle w:val="33"/>
                        <w:rFonts w:ascii="宋体" w:hAnsi="宋体"/>
                        <w:sz w:val="26"/>
                        <w:szCs w:val="26"/>
                      </w:rPr>
                      <w:fldChar w:fldCharType="separate"/>
                    </w:r>
                    <w:r>
                      <w:rPr>
                        <w:rStyle w:val="33"/>
                        <w:rFonts w:ascii="宋体" w:hAnsi="宋体"/>
                        <w:sz w:val="26"/>
                        <w:szCs w:val="26"/>
                      </w:rPr>
                      <w:t>50</w:t>
                    </w:r>
                    <w:r>
                      <w:rPr>
                        <w:rStyle w:val="33"/>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69F07">
    <w:pPr>
      <w:tabs>
        <w:tab w:val="center" w:pos="4153"/>
        <w:tab w:val="right" w:pos="8306"/>
      </w:tabs>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 name="文本框 2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659611">
                          <w:pPr>
                            <w:tabs>
                              <w:tab w:val="center" w:pos="4153"/>
                              <w:tab w:val="right" w:pos="8306"/>
                            </w:tabs>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Style w:val="33"/>
                              <w:rFonts w:ascii="宋体" w:hAnsi="宋体"/>
                              <w:sz w:val="26"/>
                              <w:szCs w:val="26"/>
                            </w:rPr>
                            <w:fldChar w:fldCharType="begin"/>
                          </w:r>
                          <w:r>
                            <w:rPr>
                              <w:rStyle w:val="33"/>
                              <w:rFonts w:ascii="宋体" w:hAnsi="宋体"/>
                              <w:sz w:val="26"/>
                              <w:szCs w:val="26"/>
                            </w:rPr>
                            <w:instrText xml:space="preserve">PAGE  </w:instrText>
                          </w:r>
                          <w:r>
                            <w:rPr>
                              <w:rStyle w:val="33"/>
                              <w:rFonts w:ascii="宋体" w:hAnsi="宋体"/>
                              <w:sz w:val="26"/>
                              <w:szCs w:val="26"/>
                            </w:rPr>
                            <w:fldChar w:fldCharType="separate"/>
                          </w:r>
                          <w:r>
                            <w:rPr>
                              <w:rStyle w:val="33"/>
                              <w:rFonts w:ascii="宋体" w:hAnsi="宋体"/>
                              <w:sz w:val="26"/>
                              <w:szCs w:val="26"/>
                            </w:rPr>
                            <w:t>69</w:t>
                          </w:r>
                          <w:r>
                            <w:rPr>
                              <w:rStyle w:val="33"/>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05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1hLwouIBAADDAwAADgAA&#10;AAAAAAABACAAAAAeAQAAZHJzL2Uyb0RvYy54bWxQSwUGAAAAAAYABgBZAQAAcgUAAAAA&#10;">
              <v:fill on="f" focussize="0,0"/>
              <v:stroke on="f"/>
              <v:imagedata o:title=""/>
              <o:lock v:ext="edit" aspectratio="f"/>
              <v:textbox inset="0mm,0mm,0mm,0mm" style="mso-fit-shape-to-text:t;">
                <w:txbxContent>
                  <w:p w14:paraId="72659611">
                    <w:pPr>
                      <w:tabs>
                        <w:tab w:val="center" w:pos="4153"/>
                        <w:tab w:val="right" w:pos="8306"/>
                      </w:tabs>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Style w:val="33"/>
                        <w:rFonts w:ascii="宋体" w:hAnsi="宋体"/>
                        <w:sz w:val="26"/>
                        <w:szCs w:val="26"/>
                      </w:rPr>
                      <w:fldChar w:fldCharType="begin"/>
                    </w:r>
                    <w:r>
                      <w:rPr>
                        <w:rStyle w:val="33"/>
                        <w:rFonts w:ascii="宋体" w:hAnsi="宋体"/>
                        <w:sz w:val="26"/>
                        <w:szCs w:val="26"/>
                      </w:rPr>
                      <w:instrText xml:space="preserve">PAGE  </w:instrText>
                    </w:r>
                    <w:r>
                      <w:rPr>
                        <w:rStyle w:val="33"/>
                        <w:rFonts w:ascii="宋体" w:hAnsi="宋体"/>
                        <w:sz w:val="26"/>
                        <w:szCs w:val="26"/>
                      </w:rPr>
                      <w:fldChar w:fldCharType="separate"/>
                    </w:r>
                    <w:r>
                      <w:rPr>
                        <w:rStyle w:val="33"/>
                        <w:rFonts w:ascii="宋体" w:hAnsi="宋体"/>
                        <w:sz w:val="26"/>
                        <w:szCs w:val="26"/>
                      </w:rPr>
                      <w:t>69</w:t>
                    </w:r>
                    <w:r>
                      <w:rPr>
                        <w:rStyle w:val="33"/>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815F6">
    <w:pPr>
      <w:pBdr>
        <w:bottom w:val="none" w:color="auto" w:sz="0" w:space="0"/>
      </w:pBdr>
      <w:tabs>
        <w:tab w:val="center" w:pos="4153"/>
        <w:tab w:val="right"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23236">
    <w:pPr>
      <w:pBdr>
        <w:bottom w:val="none" w:color="auto" w:sz="0" w:space="0"/>
      </w:pBdr>
      <w:tabs>
        <w:tab w:val="center" w:pos="4153"/>
        <w:tab w:val="right"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DED8F0"/>
    <w:multiLevelType w:val="multilevel"/>
    <w:tmpl w:val="CDDED8F0"/>
    <w:lvl w:ilvl="0" w:tentative="0">
      <w:start w:val="1"/>
      <w:numFmt w:val="chineseCounting"/>
      <w:pStyle w:val="2"/>
      <w:suff w:val="space"/>
      <w:lvlText w:val="%1、"/>
      <w:lvlJc w:val="center"/>
      <w:pPr>
        <w:tabs>
          <w:tab w:val="left" w:pos="420"/>
        </w:tabs>
        <w:ind w:left="0" w:leftChars="0" w:firstLine="0" w:firstLineChars="0"/>
      </w:pPr>
      <w:rPr>
        <w:rFonts w:hint="eastAsia"/>
      </w:rPr>
    </w:lvl>
    <w:lvl w:ilvl="1" w:tentative="0">
      <w:start w:val="1"/>
      <w:numFmt w:val="decimal"/>
      <w:pStyle w:val="3"/>
      <w:isLgl/>
      <w:suff w:val="space"/>
      <w:lvlText w:val="%1.%2."/>
      <w:lvlJc w:val="left"/>
      <w:pPr>
        <w:tabs>
          <w:tab w:val="left" w:pos="420"/>
        </w:tabs>
        <w:ind w:left="0" w:leftChars="0" w:firstLine="0" w:firstLineChars="0"/>
      </w:pPr>
      <w:rPr>
        <w:rFonts w:hint="eastAsia"/>
      </w:rPr>
    </w:lvl>
    <w:lvl w:ilvl="2" w:tentative="0">
      <w:start w:val="1"/>
      <w:numFmt w:val="decimal"/>
      <w:pStyle w:val="4"/>
      <w:isLgl/>
      <w:suff w:val="space"/>
      <w:lvlText w:val="%1.%2.%3."/>
      <w:lvlJc w:val="left"/>
      <w:pPr>
        <w:tabs>
          <w:tab w:val="left" w:pos="420"/>
        </w:tabs>
        <w:ind w:left="0" w:leftChars="0" w:firstLine="0" w:firstLineChars="0"/>
      </w:pPr>
      <w:rPr>
        <w:rFonts w:hint="eastAsia"/>
      </w:rPr>
    </w:lvl>
    <w:lvl w:ilvl="3" w:tentative="0">
      <w:start w:val="1"/>
      <w:numFmt w:val="decimal"/>
      <w:pStyle w:val="5"/>
      <w:isLgl/>
      <w:suff w:val="space"/>
      <w:lvlText w:val="%1.%2.%3.%4."/>
      <w:lvlJc w:val="left"/>
      <w:pPr>
        <w:tabs>
          <w:tab w:val="left" w:pos="420"/>
        </w:tabs>
        <w:ind w:left="0" w:leftChars="0" w:firstLine="0" w:firstLineChars="0"/>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1" w:hanging="1151"/>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3" w:hanging="1583"/>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JkNThmZjUxOTU1N2YzNDYxZGEyYTVlOTE5ODBlNjMifQ=="/>
  </w:docVars>
  <w:rsids>
    <w:rsidRoot w:val="00A14947"/>
    <w:rsid w:val="0000199A"/>
    <w:rsid w:val="000060B3"/>
    <w:rsid w:val="000114F5"/>
    <w:rsid w:val="0001247C"/>
    <w:rsid w:val="0002117A"/>
    <w:rsid w:val="00030C12"/>
    <w:rsid w:val="00036739"/>
    <w:rsid w:val="0004364B"/>
    <w:rsid w:val="00051D49"/>
    <w:rsid w:val="00053469"/>
    <w:rsid w:val="000542AE"/>
    <w:rsid w:val="00055863"/>
    <w:rsid w:val="000568CA"/>
    <w:rsid w:val="00061B1F"/>
    <w:rsid w:val="00067AFC"/>
    <w:rsid w:val="000733C4"/>
    <w:rsid w:val="00074783"/>
    <w:rsid w:val="000767FF"/>
    <w:rsid w:val="0008070B"/>
    <w:rsid w:val="000810AC"/>
    <w:rsid w:val="00081A02"/>
    <w:rsid w:val="00082231"/>
    <w:rsid w:val="00085BF9"/>
    <w:rsid w:val="00092D38"/>
    <w:rsid w:val="0009377B"/>
    <w:rsid w:val="00094BF4"/>
    <w:rsid w:val="000A20C9"/>
    <w:rsid w:val="000B0385"/>
    <w:rsid w:val="000B058F"/>
    <w:rsid w:val="000B0E7A"/>
    <w:rsid w:val="000B348A"/>
    <w:rsid w:val="000B4467"/>
    <w:rsid w:val="000B4DB9"/>
    <w:rsid w:val="000C09AC"/>
    <w:rsid w:val="000C2DD0"/>
    <w:rsid w:val="000C5BA7"/>
    <w:rsid w:val="000C767F"/>
    <w:rsid w:val="000D0B87"/>
    <w:rsid w:val="000D5A44"/>
    <w:rsid w:val="000D61D1"/>
    <w:rsid w:val="000E0BE2"/>
    <w:rsid w:val="000E3ED2"/>
    <w:rsid w:val="000E58D2"/>
    <w:rsid w:val="000F3CA0"/>
    <w:rsid w:val="000F5319"/>
    <w:rsid w:val="000F59B7"/>
    <w:rsid w:val="00100CB3"/>
    <w:rsid w:val="001043CB"/>
    <w:rsid w:val="0012173C"/>
    <w:rsid w:val="00123E51"/>
    <w:rsid w:val="001269C3"/>
    <w:rsid w:val="00131F42"/>
    <w:rsid w:val="001357F1"/>
    <w:rsid w:val="00135EFD"/>
    <w:rsid w:val="00140FA8"/>
    <w:rsid w:val="00142FEB"/>
    <w:rsid w:val="00143A2D"/>
    <w:rsid w:val="00144649"/>
    <w:rsid w:val="00145A41"/>
    <w:rsid w:val="00151675"/>
    <w:rsid w:val="00152CD9"/>
    <w:rsid w:val="00157435"/>
    <w:rsid w:val="001669D4"/>
    <w:rsid w:val="00173DD5"/>
    <w:rsid w:val="0017504D"/>
    <w:rsid w:val="0017594B"/>
    <w:rsid w:val="001759E2"/>
    <w:rsid w:val="0017671A"/>
    <w:rsid w:val="00177422"/>
    <w:rsid w:val="0018103D"/>
    <w:rsid w:val="0018166E"/>
    <w:rsid w:val="0018321C"/>
    <w:rsid w:val="001842F5"/>
    <w:rsid w:val="001843C1"/>
    <w:rsid w:val="00184590"/>
    <w:rsid w:val="001870D1"/>
    <w:rsid w:val="0018781E"/>
    <w:rsid w:val="0019105C"/>
    <w:rsid w:val="0019262D"/>
    <w:rsid w:val="001936DE"/>
    <w:rsid w:val="001A1B35"/>
    <w:rsid w:val="001A48A2"/>
    <w:rsid w:val="001A6F61"/>
    <w:rsid w:val="001B6748"/>
    <w:rsid w:val="001B72B8"/>
    <w:rsid w:val="001C5CAE"/>
    <w:rsid w:val="001C69B3"/>
    <w:rsid w:val="001C6A55"/>
    <w:rsid w:val="001D0FE1"/>
    <w:rsid w:val="001D2062"/>
    <w:rsid w:val="001D5595"/>
    <w:rsid w:val="001D7874"/>
    <w:rsid w:val="001D79E4"/>
    <w:rsid w:val="001D7F22"/>
    <w:rsid w:val="001E7F9E"/>
    <w:rsid w:val="001F0F17"/>
    <w:rsid w:val="001F3347"/>
    <w:rsid w:val="001F3D44"/>
    <w:rsid w:val="001F4CAA"/>
    <w:rsid w:val="001F69E4"/>
    <w:rsid w:val="00200A45"/>
    <w:rsid w:val="00204113"/>
    <w:rsid w:val="00205FF4"/>
    <w:rsid w:val="00206696"/>
    <w:rsid w:val="00211806"/>
    <w:rsid w:val="002125B4"/>
    <w:rsid w:val="002155B8"/>
    <w:rsid w:val="00215F0D"/>
    <w:rsid w:val="00224839"/>
    <w:rsid w:val="002249B2"/>
    <w:rsid w:val="00226574"/>
    <w:rsid w:val="002266BE"/>
    <w:rsid w:val="002278EC"/>
    <w:rsid w:val="0023280E"/>
    <w:rsid w:val="00232DAB"/>
    <w:rsid w:val="002377D1"/>
    <w:rsid w:val="00244A4F"/>
    <w:rsid w:val="002506BC"/>
    <w:rsid w:val="00254345"/>
    <w:rsid w:val="00261929"/>
    <w:rsid w:val="00263439"/>
    <w:rsid w:val="00264557"/>
    <w:rsid w:val="00267F1B"/>
    <w:rsid w:val="00276D13"/>
    <w:rsid w:val="00277F41"/>
    <w:rsid w:val="002805AB"/>
    <w:rsid w:val="00281217"/>
    <w:rsid w:val="002838C1"/>
    <w:rsid w:val="00284204"/>
    <w:rsid w:val="00291773"/>
    <w:rsid w:val="00296862"/>
    <w:rsid w:val="00297671"/>
    <w:rsid w:val="002A168C"/>
    <w:rsid w:val="002A1EF1"/>
    <w:rsid w:val="002A3DC7"/>
    <w:rsid w:val="002A655D"/>
    <w:rsid w:val="002A6702"/>
    <w:rsid w:val="002B49E2"/>
    <w:rsid w:val="002B7B00"/>
    <w:rsid w:val="002B7C44"/>
    <w:rsid w:val="002C2B17"/>
    <w:rsid w:val="002D3DD0"/>
    <w:rsid w:val="002D7057"/>
    <w:rsid w:val="002E1BD0"/>
    <w:rsid w:val="002E1EFE"/>
    <w:rsid w:val="002E1F3A"/>
    <w:rsid w:val="002E298A"/>
    <w:rsid w:val="002E3845"/>
    <w:rsid w:val="002E6575"/>
    <w:rsid w:val="002F4FDD"/>
    <w:rsid w:val="00301978"/>
    <w:rsid w:val="0030332C"/>
    <w:rsid w:val="003051C2"/>
    <w:rsid w:val="00312296"/>
    <w:rsid w:val="00314F0E"/>
    <w:rsid w:val="00321D8E"/>
    <w:rsid w:val="00325928"/>
    <w:rsid w:val="00332512"/>
    <w:rsid w:val="00332863"/>
    <w:rsid w:val="00333428"/>
    <w:rsid w:val="0033684D"/>
    <w:rsid w:val="00337B42"/>
    <w:rsid w:val="00341B42"/>
    <w:rsid w:val="0034348F"/>
    <w:rsid w:val="0034722C"/>
    <w:rsid w:val="00356653"/>
    <w:rsid w:val="0035743F"/>
    <w:rsid w:val="00357BE2"/>
    <w:rsid w:val="003606CA"/>
    <w:rsid w:val="0036170C"/>
    <w:rsid w:val="00362CB5"/>
    <w:rsid w:val="003643F6"/>
    <w:rsid w:val="00366E0F"/>
    <w:rsid w:val="00367A6C"/>
    <w:rsid w:val="00372924"/>
    <w:rsid w:val="00381A72"/>
    <w:rsid w:val="00384676"/>
    <w:rsid w:val="00387CC3"/>
    <w:rsid w:val="00390857"/>
    <w:rsid w:val="0039119D"/>
    <w:rsid w:val="003A1AF0"/>
    <w:rsid w:val="003A3AD8"/>
    <w:rsid w:val="003A4BF3"/>
    <w:rsid w:val="003A7AFB"/>
    <w:rsid w:val="003B420D"/>
    <w:rsid w:val="003C03FD"/>
    <w:rsid w:val="003C1000"/>
    <w:rsid w:val="003C67FF"/>
    <w:rsid w:val="003C6C16"/>
    <w:rsid w:val="003D38AF"/>
    <w:rsid w:val="003D794D"/>
    <w:rsid w:val="003E3058"/>
    <w:rsid w:val="003E43AC"/>
    <w:rsid w:val="003E76A9"/>
    <w:rsid w:val="003F0809"/>
    <w:rsid w:val="003F6A8C"/>
    <w:rsid w:val="003F755C"/>
    <w:rsid w:val="00404063"/>
    <w:rsid w:val="00406F01"/>
    <w:rsid w:val="00416D50"/>
    <w:rsid w:val="00416FD5"/>
    <w:rsid w:val="00417772"/>
    <w:rsid w:val="00420E6A"/>
    <w:rsid w:val="0042540D"/>
    <w:rsid w:val="00425A9E"/>
    <w:rsid w:val="00425E35"/>
    <w:rsid w:val="00426D6B"/>
    <w:rsid w:val="00431E6C"/>
    <w:rsid w:val="00433CE7"/>
    <w:rsid w:val="004412B6"/>
    <w:rsid w:val="00442B61"/>
    <w:rsid w:val="004456DF"/>
    <w:rsid w:val="00452738"/>
    <w:rsid w:val="00453B15"/>
    <w:rsid w:val="00453C55"/>
    <w:rsid w:val="00456091"/>
    <w:rsid w:val="00460F99"/>
    <w:rsid w:val="00465B41"/>
    <w:rsid w:val="00466321"/>
    <w:rsid w:val="00470423"/>
    <w:rsid w:val="004739B5"/>
    <w:rsid w:val="004755CD"/>
    <w:rsid w:val="0048461E"/>
    <w:rsid w:val="00484B9B"/>
    <w:rsid w:val="004855F6"/>
    <w:rsid w:val="0048661E"/>
    <w:rsid w:val="00494670"/>
    <w:rsid w:val="004947DD"/>
    <w:rsid w:val="0049549E"/>
    <w:rsid w:val="004A2AF6"/>
    <w:rsid w:val="004A3823"/>
    <w:rsid w:val="004A3BF4"/>
    <w:rsid w:val="004A4952"/>
    <w:rsid w:val="004A57E4"/>
    <w:rsid w:val="004A5E1B"/>
    <w:rsid w:val="004B1FCC"/>
    <w:rsid w:val="004B7914"/>
    <w:rsid w:val="004D0AEA"/>
    <w:rsid w:val="004E569C"/>
    <w:rsid w:val="004E64FE"/>
    <w:rsid w:val="004E6946"/>
    <w:rsid w:val="004E7092"/>
    <w:rsid w:val="004F1AD8"/>
    <w:rsid w:val="004F4418"/>
    <w:rsid w:val="005031BF"/>
    <w:rsid w:val="005039CB"/>
    <w:rsid w:val="0050558F"/>
    <w:rsid w:val="00506286"/>
    <w:rsid w:val="00506B47"/>
    <w:rsid w:val="00510813"/>
    <w:rsid w:val="00510D4F"/>
    <w:rsid w:val="00511990"/>
    <w:rsid w:val="00511DE0"/>
    <w:rsid w:val="00514870"/>
    <w:rsid w:val="00514B9B"/>
    <w:rsid w:val="00515F68"/>
    <w:rsid w:val="00517F02"/>
    <w:rsid w:val="00522525"/>
    <w:rsid w:val="00524303"/>
    <w:rsid w:val="00524EFB"/>
    <w:rsid w:val="005258A2"/>
    <w:rsid w:val="0052747E"/>
    <w:rsid w:val="00530A7E"/>
    <w:rsid w:val="005401AE"/>
    <w:rsid w:val="00542E07"/>
    <w:rsid w:val="00545424"/>
    <w:rsid w:val="00554A7B"/>
    <w:rsid w:val="0055572C"/>
    <w:rsid w:val="00555D04"/>
    <w:rsid w:val="00560AE4"/>
    <w:rsid w:val="0056106A"/>
    <w:rsid w:val="00563B4E"/>
    <w:rsid w:val="005720AE"/>
    <w:rsid w:val="00573434"/>
    <w:rsid w:val="00582F0F"/>
    <w:rsid w:val="00586FEC"/>
    <w:rsid w:val="00594D77"/>
    <w:rsid w:val="005969E4"/>
    <w:rsid w:val="005A06B7"/>
    <w:rsid w:val="005A1759"/>
    <w:rsid w:val="005A63D1"/>
    <w:rsid w:val="005A68A7"/>
    <w:rsid w:val="005B020B"/>
    <w:rsid w:val="005B2720"/>
    <w:rsid w:val="005B2AC7"/>
    <w:rsid w:val="005C20C2"/>
    <w:rsid w:val="005C6AE8"/>
    <w:rsid w:val="005D1D74"/>
    <w:rsid w:val="005D2454"/>
    <w:rsid w:val="005D2D5D"/>
    <w:rsid w:val="005D36AB"/>
    <w:rsid w:val="005D6415"/>
    <w:rsid w:val="005F3911"/>
    <w:rsid w:val="0060344D"/>
    <w:rsid w:val="006049A7"/>
    <w:rsid w:val="00606437"/>
    <w:rsid w:val="006153D8"/>
    <w:rsid w:val="00617CC3"/>
    <w:rsid w:val="00625E0D"/>
    <w:rsid w:val="006377A6"/>
    <w:rsid w:val="00637A3D"/>
    <w:rsid w:val="006411EF"/>
    <w:rsid w:val="006427FA"/>
    <w:rsid w:val="006522F9"/>
    <w:rsid w:val="00662A20"/>
    <w:rsid w:val="00672BDC"/>
    <w:rsid w:val="00673689"/>
    <w:rsid w:val="006748B8"/>
    <w:rsid w:val="006775C3"/>
    <w:rsid w:val="0069290A"/>
    <w:rsid w:val="0069432F"/>
    <w:rsid w:val="00696FF5"/>
    <w:rsid w:val="0069775A"/>
    <w:rsid w:val="00697813"/>
    <w:rsid w:val="006A19DA"/>
    <w:rsid w:val="006A3EE8"/>
    <w:rsid w:val="006A4E8F"/>
    <w:rsid w:val="006A72BF"/>
    <w:rsid w:val="006B03F2"/>
    <w:rsid w:val="006B2E90"/>
    <w:rsid w:val="006B37DC"/>
    <w:rsid w:val="006B4F68"/>
    <w:rsid w:val="006C01D8"/>
    <w:rsid w:val="006C0592"/>
    <w:rsid w:val="006C272E"/>
    <w:rsid w:val="006C5479"/>
    <w:rsid w:val="006C6E94"/>
    <w:rsid w:val="006C77C0"/>
    <w:rsid w:val="006D0479"/>
    <w:rsid w:val="006D13B5"/>
    <w:rsid w:val="006D1BA5"/>
    <w:rsid w:val="006E12FF"/>
    <w:rsid w:val="006E607E"/>
    <w:rsid w:val="006E75F6"/>
    <w:rsid w:val="006F0FAC"/>
    <w:rsid w:val="007019FF"/>
    <w:rsid w:val="00703252"/>
    <w:rsid w:val="00706C5D"/>
    <w:rsid w:val="00711275"/>
    <w:rsid w:val="00713502"/>
    <w:rsid w:val="00713543"/>
    <w:rsid w:val="00732922"/>
    <w:rsid w:val="007356F8"/>
    <w:rsid w:val="00737A29"/>
    <w:rsid w:val="007511F8"/>
    <w:rsid w:val="0075162E"/>
    <w:rsid w:val="00754034"/>
    <w:rsid w:val="00756556"/>
    <w:rsid w:val="007618C4"/>
    <w:rsid w:val="00767980"/>
    <w:rsid w:val="007709D9"/>
    <w:rsid w:val="00770B19"/>
    <w:rsid w:val="0077463F"/>
    <w:rsid w:val="007771A6"/>
    <w:rsid w:val="007836EA"/>
    <w:rsid w:val="00784CDA"/>
    <w:rsid w:val="007906C4"/>
    <w:rsid w:val="007940EA"/>
    <w:rsid w:val="00794E0F"/>
    <w:rsid w:val="007954D3"/>
    <w:rsid w:val="007967E8"/>
    <w:rsid w:val="007A1953"/>
    <w:rsid w:val="007A2170"/>
    <w:rsid w:val="007A22BF"/>
    <w:rsid w:val="007A3323"/>
    <w:rsid w:val="007B4D1C"/>
    <w:rsid w:val="007B5F89"/>
    <w:rsid w:val="007B72B8"/>
    <w:rsid w:val="007B7A58"/>
    <w:rsid w:val="007C21B5"/>
    <w:rsid w:val="007C5164"/>
    <w:rsid w:val="007C52F3"/>
    <w:rsid w:val="007D643C"/>
    <w:rsid w:val="007D6727"/>
    <w:rsid w:val="007E4BD2"/>
    <w:rsid w:val="007E7933"/>
    <w:rsid w:val="007F375C"/>
    <w:rsid w:val="0080088B"/>
    <w:rsid w:val="00801393"/>
    <w:rsid w:val="00802F88"/>
    <w:rsid w:val="00804223"/>
    <w:rsid w:val="0081293E"/>
    <w:rsid w:val="00815465"/>
    <w:rsid w:val="00817E9A"/>
    <w:rsid w:val="008306BD"/>
    <w:rsid w:val="00831A80"/>
    <w:rsid w:val="00833743"/>
    <w:rsid w:val="008340A4"/>
    <w:rsid w:val="0084191A"/>
    <w:rsid w:val="008457A5"/>
    <w:rsid w:val="008465B8"/>
    <w:rsid w:val="0085410E"/>
    <w:rsid w:val="0087135F"/>
    <w:rsid w:val="00872D94"/>
    <w:rsid w:val="00876983"/>
    <w:rsid w:val="00880364"/>
    <w:rsid w:val="00887BB1"/>
    <w:rsid w:val="00891293"/>
    <w:rsid w:val="00891592"/>
    <w:rsid w:val="00891E9E"/>
    <w:rsid w:val="008933AA"/>
    <w:rsid w:val="008A2F68"/>
    <w:rsid w:val="008B0EF2"/>
    <w:rsid w:val="008B2813"/>
    <w:rsid w:val="008B4FA6"/>
    <w:rsid w:val="008B5282"/>
    <w:rsid w:val="008B6756"/>
    <w:rsid w:val="008B7C17"/>
    <w:rsid w:val="008C2D01"/>
    <w:rsid w:val="008C40E6"/>
    <w:rsid w:val="008C45AF"/>
    <w:rsid w:val="008C7767"/>
    <w:rsid w:val="008D0F7A"/>
    <w:rsid w:val="008D68E4"/>
    <w:rsid w:val="008D7E29"/>
    <w:rsid w:val="008E0506"/>
    <w:rsid w:val="008E0CFF"/>
    <w:rsid w:val="008E1911"/>
    <w:rsid w:val="008E5D6B"/>
    <w:rsid w:val="008E76F0"/>
    <w:rsid w:val="008F1176"/>
    <w:rsid w:val="008F15FE"/>
    <w:rsid w:val="008F2D29"/>
    <w:rsid w:val="008F3C35"/>
    <w:rsid w:val="008F5187"/>
    <w:rsid w:val="008F60D8"/>
    <w:rsid w:val="00902727"/>
    <w:rsid w:val="0090312B"/>
    <w:rsid w:val="009049D8"/>
    <w:rsid w:val="00905E90"/>
    <w:rsid w:val="00910EC2"/>
    <w:rsid w:val="00914884"/>
    <w:rsid w:val="0091736D"/>
    <w:rsid w:val="0093037A"/>
    <w:rsid w:val="0094154D"/>
    <w:rsid w:val="00942A68"/>
    <w:rsid w:val="0095155F"/>
    <w:rsid w:val="00954429"/>
    <w:rsid w:val="00956351"/>
    <w:rsid w:val="009563CE"/>
    <w:rsid w:val="00964572"/>
    <w:rsid w:val="00976328"/>
    <w:rsid w:val="0097680D"/>
    <w:rsid w:val="0098238D"/>
    <w:rsid w:val="00982438"/>
    <w:rsid w:val="0098404C"/>
    <w:rsid w:val="00985283"/>
    <w:rsid w:val="00985AD0"/>
    <w:rsid w:val="00995992"/>
    <w:rsid w:val="009A03E5"/>
    <w:rsid w:val="009A0F3B"/>
    <w:rsid w:val="009A1BB4"/>
    <w:rsid w:val="009A23F2"/>
    <w:rsid w:val="009A2628"/>
    <w:rsid w:val="009A3200"/>
    <w:rsid w:val="009B0897"/>
    <w:rsid w:val="009B7BD9"/>
    <w:rsid w:val="009C7DD5"/>
    <w:rsid w:val="009D71A4"/>
    <w:rsid w:val="009E227D"/>
    <w:rsid w:val="009E5019"/>
    <w:rsid w:val="009F074C"/>
    <w:rsid w:val="009F0F1E"/>
    <w:rsid w:val="009F7214"/>
    <w:rsid w:val="00A04E9B"/>
    <w:rsid w:val="00A04F1B"/>
    <w:rsid w:val="00A0501B"/>
    <w:rsid w:val="00A14947"/>
    <w:rsid w:val="00A24475"/>
    <w:rsid w:val="00A32A83"/>
    <w:rsid w:val="00A34E98"/>
    <w:rsid w:val="00A356D4"/>
    <w:rsid w:val="00A368DB"/>
    <w:rsid w:val="00A373F4"/>
    <w:rsid w:val="00A423AA"/>
    <w:rsid w:val="00A50891"/>
    <w:rsid w:val="00A53EC6"/>
    <w:rsid w:val="00A55814"/>
    <w:rsid w:val="00A55C0F"/>
    <w:rsid w:val="00A6212D"/>
    <w:rsid w:val="00A835FE"/>
    <w:rsid w:val="00A8713F"/>
    <w:rsid w:val="00A90B97"/>
    <w:rsid w:val="00A90BA1"/>
    <w:rsid w:val="00A926D1"/>
    <w:rsid w:val="00A95831"/>
    <w:rsid w:val="00A95C47"/>
    <w:rsid w:val="00A97A9A"/>
    <w:rsid w:val="00AA0671"/>
    <w:rsid w:val="00AA2531"/>
    <w:rsid w:val="00AB149E"/>
    <w:rsid w:val="00AB19F7"/>
    <w:rsid w:val="00AB1E09"/>
    <w:rsid w:val="00AB5330"/>
    <w:rsid w:val="00AB630F"/>
    <w:rsid w:val="00AB6D6C"/>
    <w:rsid w:val="00AB7747"/>
    <w:rsid w:val="00AC14CE"/>
    <w:rsid w:val="00AC2A56"/>
    <w:rsid w:val="00AC758F"/>
    <w:rsid w:val="00AD055E"/>
    <w:rsid w:val="00AD3AF9"/>
    <w:rsid w:val="00AD47A7"/>
    <w:rsid w:val="00AE08B5"/>
    <w:rsid w:val="00AF0CBF"/>
    <w:rsid w:val="00AF257F"/>
    <w:rsid w:val="00AF33CF"/>
    <w:rsid w:val="00AF4D50"/>
    <w:rsid w:val="00AF6179"/>
    <w:rsid w:val="00AF7CCC"/>
    <w:rsid w:val="00B007DB"/>
    <w:rsid w:val="00B012EB"/>
    <w:rsid w:val="00B019DD"/>
    <w:rsid w:val="00B11487"/>
    <w:rsid w:val="00B1295A"/>
    <w:rsid w:val="00B131EC"/>
    <w:rsid w:val="00B20506"/>
    <w:rsid w:val="00B20A45"/>
    <w:rsid w:val="00B22BA0"/>
    <w:rsid w:val="00B22C5C"/>
    <w:rsid w:val="00B24F30"/>
    <w:rsid w:val="00B30B1D"/>
    <w:rsid w:val="00B316D2"/>
    <w:rsid w:val="00B31ABF"/>
    <w:rsid w:val="00B33BE3"/>
    <w:rsid w:val="00B403CF"/>
    <w:rsid w:val="00B51008"/>
    <w:rsid w:val="00B53B5D"/>
    <w:rsid w:val="00B6055E"/>
    <w:rsid w:val="00B6283F"/>
    <w:rsid w:val="00B6317D"/>
    <w:rsid w:val="00B728E7"/>
    <w:rsid w:val="00B73B45"/>
    <w:rsid w:val="00B77001"/>
    <w:rsid w:val="00B7723F"/>
    <w:rsid w:val="00B80534"/>
    <w:rsid w:val="00B8433C"/>
    <w:rsid w:val="00B844F6"/>
    <w:rsid w:val="00B87318"/>
    <w:rsid w:val="00B87491"/>
    <w:rsid w:val="00B90267"/>
    <w:rsid w:val="00BA29E9"/>
    <w:rsid w:val="00BA5CC5"/>
    <w:rsid w:val="00BA7142"/>
    <w:rsid w:val="00BB237C"/>
    <w:rsid w:val="00BB41A3"/>
    <w:rsid w:val="00BC32DC"/>
    <w:rsid w:val="00BC35B6"/>
    <w:rsid w:val="00BC3EB3"/>
    <w:rsid w:val="00BD1B51"/>
    <w:rsid w:val="00BD4596"/>
    <w:rsid w:val="00BE1405"/>
    <w:rsid w:val="00BE23FA"/>
    <w:rsid w:val="00BE312D"/>
    <w:rsid w:val="00BF1C20"/>
    <w:rsid w:val="00BF5CBC"/>
    <w:rsid w:val="00C10578"/>
    <w:rsid w:val="00C11C8C"/>
    <w:rsid w:val="00C135BC"/>
    <w:rsid w:val="00C15C95"/>
    <w:rsid w:val="00C256B4"/>
    <w:rsid w:val="00C2596A"/>
    <w:rsid w:val="00C27537"/>
    <w:rsid w:val="00C27E1B"/>
    <w:rsid w:val="00C328FE"/>
    <w:rsid w:val="00C33507"/>
    <w:rsid w:val="00C4409D"/>
    <w:rsid w:val="00C44E72"/>
    <w:rsid w:val="00C45A06"/>
    <w:rsid w:val="00C45D81"/>
    <w:rsid w:val="00C47E5B"/>
    <w:rsid w:val="00C5334A"/>
    <w:rsid w:val="00C61E4B"/>
    <w:rsid w:val="00C64BFF"/>
    <w:rsid w:val="00C704E9"/>
    <w:rsid w:val="00C72EEF"/>
    <w:rsid w:val="00C763C9"/>
    <w:rsid w:val="00C80057"/>
    <w:rsid w:val="00C82232"/>
    <w:rsid w:val="00C82913"/>
    <w:rsid w:val="00C87858"/>
    <w:rsid w:val="00C972B1"/>
    <w:rsid w:val="00CA2CCE"/>
    <w:rsid w:val="00CA43FD"/>
    <w:rsid w:val="00CA6E49"/>
    <w:rsid w:val="00CA7EF8"/>
    <w:rsid w:val="00CB04E8"/>
    <w:rsid w:val="00CB1C14"/>
    <w:rsid w:val="00CB4676"/>
    <w:rsid w:val="00CC489B"/>
    <w:rsid w:val="00CC7ED9"/>
    <w:rsid w:val="00CD2BCD"/>
    <w:rsid w:val="00CD3A4C"/>
    <w:rsid w:val="00CD75D9"/>
    <w:rsid w:val="00CE10E9"/>
    <w:rsid w:val="00CE2910"/>
    <w:rsid w:val="00CE5393"/>
    <w:rsid w:val="00CF365D"/>
    <w:rsid w:val="00CF36BE"/>
    <w:rsid w:val="00CF39E5"/>
    <w:rsid w:val="00CF3E50"/>
    <w:rsid w:val="00CF5873"/>
    <w:rsid w:val="00CF6000"/>
    <w:rsid w:val="00D003F3"/>
    <w:rsid w:val="00D0364F"/>
    <w:rsid w:val="00D04504"/>
    <w:rsid w:val="00D06834"/>
    <w:rsid w:val="00D10810"/>
    <w:rsid w:val="00D225EC"/>
    <w:rsid w:val="00D2543C"/>
    <w:rsid w:val="00D2683A"/>
    <w:rsid w:val="00D27394"/>
    <w:rsid w:val="00D308ED"/>
    <w:rsid w:val="00D36D86"/>
    <w:rsid w:val="00D41FE8"/>
    <w:rsid w:val="00D428AA"/>
    <w:rsid w:val="00D4663B"/>
    <w:rsid w:val="00D50A34"/>
    <w:rsid w:val="00D51B5C"/>
    <w:rsid w:val="00D53EFA"/>
    <w:rsid w:val="00D5653E"/>
    <w:rsid w:val="00D57055"/>
    <w:rsid w:val="00D7795F"/>
    <w:rsid w:val="00D94A7C"/>
    <w:rsid w:val="00D95896"/>
    <w:rsid w:val="00DB2983"/>
    <w:rsid w:val="00DB500F"/>
    <w:rsid w:val="00DC1257"/>
    <w:rsid w:val="00DC3DC0"/>
    <w:rsid w:val="00DC5B2B"/>
    <w:rsid w:val="00DC652E"/>
    <w:rsid w:val="00DD318D"/>
    <w:rsid w:val="00DD4BC8"/>
    <w:rsid w:val="00DF19A0"/>
    <w:rsid w:val="00DF2E12"/>
    <w:rsid w:val="00DF514A"/>
    <w:rsid w:val="00DF6690"/>
    <w:rsid w:val="00DF6804"/>
    <w:rsid w:val="00E0358D"/>
    <w:rsid w:val="00E04323"/>
    <w:rsid w:val="00E070A2"/>
    <w:rsid w:val="00E1722E"/>
    <w:rsid w:val="00E2656A"/>
    <w:rsid w:val="00E33176"/>
    <w:rsid w:val="00E412D0"/>
    <w:rsid w:val="00E454A5"/>
    <w:rsid w:val="00E55D64"/>
    <w:rsid w:val="00E56322"/>
    <w:rsid w:val="00E60982"/>
    <w:rsid w:val="00E62C62"/>
    <w:rsid w:val="00E63567"/>
    <w:rsid w:val="00E65448"/>
    <w:rsid w:val="00E654C1"/>
    <w:rsid w:val="00E65D97"/>
    <w:rsid w:val="00E6749C"/>
    <w:rsid w:val="00E72A5A"/>
    <w:rsid w:val="00E72F76"/>
    <w:rsid w:val="00E73354"/>
    <w:rsid w:val="00E9242D"/>
    <w:rsid w:val="00EA7066"/>
    <w:rsid w:val="00EB3AD0"/>
    <w:rsid w:val="00EB5255"/>
    <w:rsid w:val="00EB5C47"/>
    <w:rsid w:val="00EC69E9"/>
    <w:rsid w:val="00EC719C"/>
    <w:rsid w:val="00ED0639"/>
    <w:rsid w:val="00EF380A"/>
    <w:rsid w:val="00EF4755"/>
    <w:rsid w:val="00EF7135"/>
    <w:rsid w:val="00F027DB"/>
    <w:rsid w:val="00F041D4"/>
    <w:rsid w:val="00F0534C"/>
    <w:rsid w:val="00F11008"/>
    <w:rsid w:val="00F125A1"/>
    <w:rsid w:val="00F14A7A"/>
    <w:rsid w:val="00F22985"/>
    <w:rsid w:val="00F310E5"/>
    <w:rsid w:val="00F3383E"/>
    <w:rsid w:val="00F34454"/>
    <w:rsid w:val="00F458BC"/>
    <w:rsid w:val="00F465A7"/>
    <w:rsid w:val="00F50B7C"/>
    <w:rsid w:val="00F550E6"/>
    <w:rsid w:val="00F57509"/>
    <w:rsid w:val="00F74345"/>
    <w:rsid w:val="00F7465F"/>
    <w:rsid w:val="00F80A0A"/>
    <w:rsid w:val="00F82B19"/>
    <w:rsid w:val="00F9212D"/>
    <w:rsid w:val="00F965DA"/>
    <w:rsid w:val="00FA1345"/>
    <w:rsid w:val="00FA406A"/>
    <w:rsid w:val="00FA5AA4"/>
    <w:rsid w:val="00FB503A"/>
    <w:rsid w:val="00FB516C"/>
    <w:rsid w:val="00FD0236"/>
    <w:rsid w:val="00FD18F4"/>
    <w:rsid w:val="00FD54DB"/>
    <w:rsid w:val="00FD619F"/>
    <w:rsid w:val="00FE3C4C"/>
    <w:rsid w:val="00FF204F"/>
    <w:rsid w:val="00FF2EEA"/>
    <w:rsid w:val="00FF527C"/>
    <w:rsid w:val="00FF71E2"/>
    <w:rsid w:val="010333FC"/>
    <w:rsid w:val="010E7C0D"/>
    <w:rsid w:val="01192C1F"/>
    <w:rsid w:val="01290F7E"/>
    <w:rsid w:val="015B4FE6"/>
    <w:rsid w:val="015D1E09"/>
    <w:rsid w:val="01791EC0"/>
    <w:rsid w:val="01934780"/>
    <w:rsid w:val="019B3879"/>
    <w:rsid w:val="01C963F3"/>
    <w:rsid w:val="022C2324"/>
    <w:rsid w:val="0240799E"/>
    <w:rsid w:val="02697903"/>
    <w:rsid w:val="029B4859"/>
    <w:rsid w:val="02AE7397"/>
    <w:rsid w:val="02C00E90"/>
    <w:rsid w:val="02DE7F81"/>
    <w:rsid w:val="02F96569"/>
    <w:rsid w:val="02FE7140"/>
    <w:rsid w:val="03314144"/>
    <w:rsid w:val="03581D84"/>
    <w:rsid w:val="03924FBB"/>
    <w:rsid w:val="03C726D3"/>
    <w:rsid w:val="03CC6D06"/>
    <w:rsid w:val="03EA7B21"/>
    <w:rsid w:val="03F015A1"/>
    <w:rsid w:val="03F6739B"/>
    <w:rsid w:val="04285B7E"/>
    <w:rsid w:val="043F6449"/>
    <w:rsid w:val="044D40A9"/>
    <w:rsid w:val="044E20A2"/>
    <w:rsid w:val="04D10827"/>
    <w:rsid w:val="04D74983"/>
    <w:rsid w:val="04D74C16"/>
    <w:rsid w:val="05295A5E"/>
    <w:rsid w:val="052F2A1F"/>
    <w:rsid w:val="058377C4"/>
    <w:rsid w:val="058F3C48"/>
    <w:rsid w:val="059C797B"/>
    <w:rsid w:val="059D3F45"/>
    <w:rsid w:val="05A26ED6"/>
    <w:rsid w:val="05BD0332"/>
    <w:rsid w:val="05C75664"/>
    <w:rsid w:val="05F83EAE"/>
    <w:rsid w:val="060F03FE"/>
    <w:rsid w:val="06175254"/>
    <w:rsid w:val="0619625A"/>
    <w:rsid w:val="061B2F96"/>
    <w:rsid w:val="061C3F4A"/>
    <w:rsid w:val="06304C93"/>
    <w:rsid w:val="063E7D85"/>
    <w:rsid w:val="06850900"/>
    <w:rsid w:val="068E69AA"/>
    <w:rsid w:val="06A50AB1"/>
    <w:rsid w:val="06A6371A"/>
    <w:rsid w:val="06AB60C8"/>
    <w:rsid w:val="06DA4BFF"/>
    <w:rsid w:val="06DC2889"/>
    <w:rsid w:val="06F32E73"/>
    <w:rsid w:val="06FB43DF"/>
    <w:rsid w:val="07293586"/>
    <w:rsid w:val="07295285"/>
    <w:rsid w:val="07464894"/>
    <w:rsid w:val="07636392"/>
    <w:rsid w:val="07770C56"/>
    <w:rsid w:val="0795047E"/>
    <w:rsid w:val="07CD7D59"/>
    <w:rsid w:val="0802440D"/>
    <w:rsid w:val="08064BBD"/>
    <w:rsid w:val="080C7DE7"/>
    <w:rsid w:val="082641D3"/>
    <w:rsid w:val="084D42F2"/>
    <w:rsid w:val="086E1AA3"/>
    <w:rsid w:val="087644C7"/>
    <w:rsid w:val="088B78E9"/>
    <w:rsid w:val="0891281A"/>
    <w:rsid w:val="08D8372E"/>
    <w:rsid w:val="08FC322B"/>
    <w:rsid w:val="092217DD"/>
    <w:rsid w:val="0928110D"/>
    <w:rsid w:val="093A7294"/>
    <w:rsid w:val="095E01D4"/>
    <w:rsid w:val="098B336E"/>
    <w:rsid w:val="09A137B2"/>
    <w:rsid w:val="09B1399A"/>
    <w:rsid w:val="09DE1759"/>
    <w:rsid w:val="09E82F56"/>
    <w:rsid w:val="09EF43EF"/>
    <w:rsid w:val="0A263993"/>
    <w:rsid w:val="0A2D3AC2"/>
    <w:rsid w:val="0A6429F3"/>
    <w:rsid w:val="0A943317"/>
    <w:rsid w:val="0AA17F77"/>
    <w:rsid w:val="0AA6102D"/>
    <w:rsid w:val="0AA755DF"/>
    <w:rsid w:val="0AB42E07"/>
    <w:rsid w:val="0AB45767"/>
    <w:rsid w:val="0AB949DA"/>
    <w:rsid w:val="0ADB7197"/>
    <w:rsid w:val="0AE25555"/>
    <w:rsid w:val="0AF14009"/>
    <w:rsid w:val="0B0B35D9"/>
    <w:rsid w:val="0B120D44"/>
    <w:rsid w:val="0B386398"/>
    <w:rsid w:val="0B391D91"/>
    <w:rsid w:val="0B472137"/>
    <w:rsid w:val="0B4765DB"/>
    <w:rsid w:val="0B5964AA"/>
    <w:rsid w:val="0B861D13"/>
    <w:rsid w:val="0B9C73B1"/>
    <w:rsid w:val="0BA23811"/>
    <w:rsid w:val="0BD27BF6"/>
    <w:rsid w:val="0C216C91"/>
    <w:rsid w:val="0C3721AC"/>
    <w:rsid w:val="0C39661E"/>
    <w:rsid w:val="0C3B3C7D"/>
    <w:rsid w:val="0C4F5747"/>
    <w:rsid w:val="0C992E66"/>
    <w:rsid w:val="0CAB2EAE"/>
    <w:rsid w:val="0CF21543"/>
    <w:rsid w:val="0CF77927"/>
    <w:rsid w:val="0D467216"/>
    <w:rsid w:val="0D5E1582"/>
    <w:rsid w:val="0D621C7D"/>
    <w:rsid w:val="0D671982"/>
    <w:rsid w:val="0D735465"/>
    <w:rsid w:val="0D86163D"/>
    <w:rsid w:val="0DEB5944"/>
    <w:rsid w:val="0E1815A2"/>
    <w:rsid w:val="0E6B0BD5"/>
    <w:rsid w:val="0E73034D"/>
    <w:rsid w:val="0E8B6E90"/>
    <w:rsid w:val="0EA55AF2"/>
    <w:rsid w:val="0ED10695"/>
    <w:rsid w:val="0EE02463"/>
    <w:rsid w:val="0EEF56B5"/>
    <w:rsid w:val="0F13775A"/>
    <w:rsid w:val="0F1B11A8"/>
    <w:rsid w:val="0F451083"/>
    <w:rsid w:val="0F4D6BFC"/>
    <w:rsid w:val="0F525C51"/>
    <w:rsid w:val="0F5F45FE"/>
    <w:rsid w:val="0F7808AD"/>
    <w:rsid w:val="0F86422D"/>
    <w:rsid w:val="0F9A112B"/>
    <w:rsid w:val="0FA05B46"/>
    <w:rsid w:val="0FA97864"/>
    <w:rsid w:val="0FB52DAD"/>
    <w:rsid w:val="0FC50D03"/>
    <w:rsid w:val="0FE31D1E"/>
    <w:rsid w:val="0FFA7511"/>
    <w:rsid w:val="10117298"/>
    <w:rsid w:val="1034712E"/>
    <w:rsid w:val="103510F8"/>
    <w:rsid w:val="10367AE9"/>
    <w:rsid w:val="104D6442"/>
    <w:rsid w:val="105860C2"/>
    <w:rsid w:val="105D7281"/>
    <w:rsid w:val="106B5E5E"/>
    <w:rsid w:val="106D2F64"/>
    <w:rsid w:val="10A26481"/>
    <w:rsid w:val="10AF0EAA"/>
    <w:rsid w:val="10B63710"/>
    <w:rsid w:val="10EA0A05"/>
    <w:rsid w:val="10F10820"/>
    <w:rsid w:val="111C2F7A"/>
    <w:rsid w:val="112B6488"/>
    <w:rsid w:val="11327CEC"/>
    <w:rsid w:val="11472687"/>
    <w:rsid w:val="115455AE"/>
    <w:rsid w:val="11665CA1"/>
    <w:rsid w:val="117C45F2"/>
    <w:rsid w:val="118506A3"/>
    <w:rsid w:val="11F64BCE"/>
    <w:rsid w:val="12036FB4"/>
    <w:rsid w:val="121E0096"/>
    <w:rsid w:val="123000E1"/>
    <w:rsid w:val="128C6E78"/>
    <w:rsid w:val="128F7E52"/>
    <w:rsid w:val="12F86B39"/>
    <w:rsid w:val="137361BF"/>
    <w:rsid w:val="13951726"/>
    <w:rsid w:val="13B567D8"/>
    <w:rsid w:val="13BA1147"/>
    <w:rsid w:val="13D6674E"/>
    <w:rsid w:val="13F05194"/>
    <w:rsid w:val="140A0AC3"/>
    <w:rsid w:val="141D63BC"/>
    <w:rsid w:val="14396509"/>
    <w:rsid w:val="14553B17"/>
    <w:rsid w:val="148A076E"/>
    <w:rsid w:val="14A24CDE"/>
    <w:rsid w:val="14DD2C3C"/>
    <w:rsid w:val="14E919E1"/>
    <w:rsid w:val="14F96378"/>
    <w:rsid w:val="15120875"/>
    <w:rsid w:val="1513191C"/>
    <w:rsid w:val="15140336"/>
    <w:rsid w:val="156008E3"/>
    <w:rsid w:val="158F199C"/>
    <w:rsid w:val="1596722A"/>
    <w:rsid w:val="15BA60C3"/>
    <w:rsid w:val="15EC2259"/>
    <w:rsid w:val="16087E1D"/>
    <w:rsid w:val="16113BC8"/>
    <w:rsid w:val="16123F83"/>
    <w:rsid w:val="161B6634"/>
    <w:rsid w:val="161D4EA1"/>
    <w:rsid w:val="163A2FC4"/>
    <w:rsid w:val="16493207"/>
    <w:rsid w:val="16541A37"/>
    <w:rsid w:val="169F0566"/>
    <w:rsid w:val="16A73138"/>
    <w:rsid w:val="16B34B25"/>
    <w:rsid w:val="170151A8"/>
    <w:rsid w:val="17033CFE"/>
    <w:rsid w:val="17355807"/>
    <w:rsid w:val="174014CD"/>
    <w:rsid w:val="17602EFE"/>
    <w:rsid w:val="17701D14"/>
    <w:rsid w:val="17735226"/>
    <w:rsid w:val="17C112A1"/>
    <w:rsid w:val="17E8608F"/>
    <w:rsid w:val="17FB769F"/>
    <w:rsid w:val="18004A42"/>
    <w:rsid w:val="180416BA"/>
    <w:rsid w:val="18100804"/>
    <w:rsid w:val="182932F0"/>
    <w:rsid w:val="184E694B"/>
    <w:rsid w:val="185E1FEE"/>
    <w:rsid w:val="187D53EA"/>
    <w:rsid w:val="188D3413"/>
    <w:rsid w:val="189F624C"/>
    <w:rsid w:val="18AD2173"/>
    <w:rsid w:val="18B21538"/>
    <w:rsid w:val="18B43502"/>
    <w:rsid w:val="18C272A1"/>
    <w:rsid w:val="19016A7F"/>
    <w:rsid w:val="190A2AF7"/>
    <w:rsid w:val="193432B1"/>
    <w:rsid w:val="198A6011"/>
    <w:rsid w:val="19A846E9"/>
    <w:rsid w:val="19D1362D"/>
    <w:rsid w:val="19DB7D9B"/>
    <w:rsid w:val="19EE48EF"/>
    <w:rsid w:val="19F05074"/>
    <w:rsid w:val="19F54FD2"/>
    <w:rsid w:val="1A0A7B7F"/>
    <w:rsid w:val="1A0F29BA"/>
    <w:rsid w:val="1A11040C"/>
    <w:rsid w:val="1A1C66C0"/>
    <w:rsid w:val="1A206975"/>
    <w:rsid w:val="1A2E2E40"/>
    <w:rsid w:val="1A3A7A37"/>
    <w:rsid w:val="1A42393B"/>
    <w:rsid w:val="1A4F2DB6"/>
    <w:rsid w:val="1A772B45"/>
    <w:rsid w:val="1A9430D0"/>
    <w:rsid w:val="1A9829AF"/>
    <w:rsid w:val="1AA37490"/>
    <w:rsid w:val="1AAD45DE"/>
    <w:rsid w:val="1AB552BA"/>
    <w:rsid w:val="1ACB7B91"/>
    <w:rsid w:val="1AD01555"/>
    <w:rsid w:val="1B046F80"/>
    <w:rsid w:val="1B1F0B0A"/>
    <w:rsid w:val="1B3267B5"/>
    <w:rsid w:val="1B40161D"/>
    <w:rsid w:val="1B441859"/>
    <w:rsid w:val="1B6606B1"/>
    <w:rsid w:val="1B700C2F"/>
    <w:rsid w:val="1B871D66"/>
    <w:rsid w:val="1B8F2996"/>
    <w:rsid w:val="1B9F28ED"/>
    <w:rsid w:val="1BA334FB"/>
    <w:rsid w:val="1BD21EF1"/>
    <w:rsid w:val="1BD73063"/>
    <w:rsid w:val="1BE20386"/>
    <w:rsid w:val="1C0E6FF5"/>
    <w:rsid w:val="1C4076E9"/>
    <w:rsid w:val="1C5E7925"/>
    <w:rsid w:val="1C675EF1"/>
    <w:rsid w:val="1C8C6544"/>
    <w:rsid w:val="1CB93BC8"/>
    <w:rsid w:val="1CFD070F"/>
    <w:rsid w:val="1D5F6196"/>
    <w:rsid w:val="1D6132A5"/>
    <w:rsid w:val="1D7005FE"/>
    <w:rsid w:val="1D8E56D5"/>
    <w:rsid w:val="1D94745E"/>
    <w:rsid w:val="1DB42596"/>
    <w:rsid w:val="1DBF36D7"/>
    <w:rsid w:val="1DD45D17"/>
    <w:rsid w:val="1DEC63EB"/>
    <w:rsid w:val="1DFA1A6E"/>
    <w:rsid w:val="1DFA762E"/>
    <w:rsid w:val="1E101D19"/>
    <w:rsid w:val="1E293CE7"/>
    <w:rsid w:val="1E37428D"/>
    <w:rsid w:val="1E7A43DA"/>
    <w:rsid w:val="1E8117D1"/>
    <w:rsid w:val="1E926956"/>
    <w:rsid w:val="1E9D2342"/>
    <w:rsid w:val="1EA83F08"/>
    <w:rsid w:val="1EAF3254"/>
    <w:rsid w:val="1EB3600A"/>
    <w:rsid w:val="1EBB0A1A"/>
    <w:rsid w:val="1EDA3596"/>
    <w:rsid w:val="1EDF6DFF"/>
    <w:rsid w:val="1EE77A61"/>
    <w:rsid w:val="1EF06916"/>
    <w:rsid w:val="1F122EBD"/>
    <w:rsid w:val="1F1F544D"/>
    <w:rsid w:val="1F4B7FF0"/>
    <w:rsid w:val="1F666BD8"/>
    <w:rsid w:val="1F890B18"/>
    <w:rsid w:val="1FA56290"/>
    <w:rsid w:val="1FBD23A3"/>
    <w:rsid w:val="1FE7539E"/>
    <w:rsid w:val="200B1181"/>
    <w:rsid w:val="20384245"/>
    <w:rsid w:val="203B2300"/>
    <w:rsid w:val="20671BE0"/>
    <w:rsid w:val="20881D31"/>
    <w:rsid w:val="20897C83"/>
    <w:rsid w:val="20963CB8"/>
    <w:rsid w:val="2099122F"/>
    <w:rsid w:val="209A7B04"/>
    <w:rsid w:val="20A81A1B"/>
    <w:rsid w:val="20B07FB6"/>
    <w:rsid w:val="20B646FB"/>
    <w:rsid w:val="20C31E08"/>
    <w:rsid w:val="20C412B9"/>
    <w:rsid w:val="20FB5A46"/>
    <w:rsid w:val="213367B8"/>
    <w:rsid w:val="213B74B1"/>
    <w:rsid w:val="215545E9"/>
    <w:rsid w:val="21593573"/>
    <w:rsid w:val="215A2310"/>
    <w:rsid w:val="217A04FD"/>
    <w:rsid w:val="21983295"/>
    <w:rsid w:val="219C2D85"/>
    <w:rsid w:val="21CD73E2"/>
    <w:rsid w:val="21DE318A"/>
    <w:rsid w:val="21EF5B80"/>
    <w:rsid w:val="220F17A9"/>
    <w:rsid w:val="22576990"/>
    <w:rsid w:val="22833F45"/>
    <w:rsid w:val="22CE1BFC"/>
    <w:rsid w:val="22E22A19"/>
    <w:rsid w:val="22E6408F"/>
    <w:rsid w:val="22F47480"/>
    <w:rsid w:val="23030B29"/>
    <w:rsid w:val="23307C29"/>
    <w:rsid w:val="23453342"/>
    <w:rsid w:val="235E19A3"/>
    <w:rsid w:val="235F2283"/>
    <w:rsid w:val="236553F8"/>
    <w:rsid w:val="236B7C30"/>
    <w:rsid w:val="23701168"/>
    <w:rsid w:val="238166D6"/>
    <w:rsid w:val="238476D4"/>
    <w:rsid w:val="23B81D01"/>
    <w:rsid w:val="23C72304"/>
    <w:rsid w:val="23C93BD9"/>
    <w:rsid w:val="23D04F68"/>
    <w:rsid w:val="23DE1C48"/>
    <w:rsid w:val="240210CD"/>
    <w:rsid w:val="24220153"/>
    <w:rsid w:val="242A60B4"/>
    <w:rsid w:val="24443260"/>
    <w:rsid w:val="24782529"/>
    <w:rsid w:val="24A22229"/>
    <w:rsid w:val="24A563F4"/>
    <w:rsid w:val="24BF09F7"/>
    <w:rsid w:val="24D2349B"/>
    <w:rsid w:val="24FD7FDE"/>
    <w:rsid w:val="25196BCA"/>
    <w:rsid w:val="252D53FE"/>
    <w:rsid w:val="25330473"/>
    <w:rsid w:val="253908EB"/>
    <w:rsid w:val="253D17FD"/>
    <w:rsid w:val="2571687C"/>
    <w:rsid w:val="25E90563"/>
    <w:rsid w:val="25EC2D81"/>
    <w:rsid w:val="2604539D"/>
    <w:rsid w:val="26153106"/>
    <w:rsid w:val="26162C02"/>
    <w:rsid w:val="26410EC7"/>
    <w:rsid w:val="26553F90"/>
    <w:rsid w:val="266E08B1"/>
    <w:rsid w:val="274C2B57"/>
    <w:rsid w:val="274E2D73"/>
    <w:rsid w:val="276952BC"/>
    <w:rsid w:val="277057A2"/>
    <w:rsid w:val="27AB3114"/>
    <w:rsid w:val="27AC64E8"/>
    <w:rsid w:val="27D86AE1"/>
    <w:rsid w:val="28043432"/>
    <w:rsid w:val="28697739"/>
    <w:rsid w:val="286A4636"/>
    <w:rsid w:val="286C2D0B"/>
    <w:rsid w:val="28762777"/>
    <w:rsid w:val="28954EF4"/>
    <w:rsid w:val="28A54C15"/>
    <w:rsid w:val="28AD02CF"/>
    <w:rsid w:val="28AF7C79"/>
    <w:rsid w:val="28F22113"/>
    <w:rsid w:val="28F434A6"/>
    <w:rsid w:val="290512CB"/>
    <w:rsid w:val="29206EB8"/>
    <w:rsid w:val="29471E48"/>
    <w:rsid w:val="29595666"/>
    <w:rsid w:val="29874881"/>
    <w:rsid w:val="298F3FE5"/>
    <w:rsid w:val="29932CBF"/>
    <w:rsid w:val="29E325E0"/>
    <w:rsid w:val="2A00087D"/>
    <w:rsid w:val="2A0019A0"/>
    <w:rsid w:val="2A002388"/>
    <w:rsid w:val="2A386542"/>
    <w:rsid w:val="2A452503"/>
    <w:rsid w:val="2ABA4E9A"/>
    <w:rsid w:val="2AC96722"/>
    <w:rsid w:val="2AE8703B"/>
    <w:rsid w:val="2AF36D7E"/>
    <w:rsid w:val="2B375B2B"/>
    <w:rsid w:val="2B864A25"/>
    <w:rsid w:val="2B8F74B6"/>
    <w:rsid w:val="2B9912A2"/>
    <w:rsid w:val="2B9920E3"/>
    <w:rsid w:val="2BA936A8"/>
    <w:rsid w:val="2BDE12E3"/>
    <w:rsid w:val="2C027C88"/>
    <w:rsid w:val="2C315A5A"/>
    <w:rsid w:val="2C3E21E8"/>
    <w:rsid w:val="2C4A5DA1"/>
    <w:rsid w:val="2C4B1C25"/>
    <w:rsid w:val="2C4B33FE"/>
    <w:rsid w:val="2C56507C"/>
    <w:rsid w:val="2C714F6B"/>
    <w:rsid w:val="2C730B86"/>
    <w:rsid w:val="2C762C11"/>
    <w:rsid w:val="2C772A3F"/>
    <w:rsid w:val="2CC05A21"/>
    <w:rsid w:val="2CCC18C4"/>
    <w:rsid w:val="2CD73FCD"/>
    <w:rsid w:val="2D3E1F49"/>
    <w:rsid w:val="2D4748BC"/>
    <w:rsid w:val="2D595FCE"/>
    <w:rsid w:val="2D5F174B"/>
    <w:rsid w:val="2D607DBC"/>
    <w:rsid w:val="2D667AF4"/>
    <w:rsid w:val="2D696B06"/>
    <w:rsid w:val="2D6A1F89"/>
    <w:rsid w:val="2D9E56F5"/>
    <w:rsid w:val="2DFF1040"/>
    <w:rsid w:val="2E06410A"/>
    <w:rsid w:val="2E1E4B22"/>
    <w:rsid w:val="2E2246B3"/>
    <w:rsid w:val="2E3D31FA"/>
    <w:rsid w:val="2E5829F5"/>
    <w:rsid w:val="2E625502"/>
    <w:rsid w:val="2E667F96"/>
    <w:rsid w:val="2E8048D8"/>
    <w:rsid w:val="2E8226AB"/>
    <w:rsid w:val="2EAC6B99"/>
    <w:rsid w:val="2EAD4823"/>
    <w:rsid w:val="2ED229F4"/>
    <w:rsid w:val="2EF67EC2"/>
    <w:rsid w:val="2F2D326E"/>
    <w:rsid w:val="2F31572F"/>
    <w:rsid w:val="2F4E37DB"/>
    <w:rsid w:val="2F725125"/>
    <w:rsid w:val="2F7C08E8"/>
    <w:rsid w:val="2F9A3AF9"/>
    <w:rsid w:val="2FBB1C84"/>
    <w:rsid w:val="2FC040E2"/>
    <w:rsid w:val="2FC55B9D"/>
    <w:rsid w:val="2FC74EA6"/>
    <w:rsid w:val="2FD065E6"/>
    <w:rsid w:val="2FD96870"/>
    <w:rsid w:val="2FDE5D01"/>
    <w:rsid w:val="2FED29FE"/>
    <w:rsid w:val="303E362B"/>
    <w:rsid w:val="30403475"/>
    <w:rsid w:val="30412826"/>
    <w:rsid w:val="304F36B8"/>
    <w:rsid w:val="30580BC9"/>
    <w:rsid w:val="3103697D"/>
    <w:rsid w:val="310B75E3"/>
    <w:rsid w:val="311E2ED7"/>
    <w:rsid w:val="311F6EDC"/>
    <w:rsid w:val="31344D88"/>
    <w:rsid w:val="31427455"/>
    <w:rsid w:val="315619EE"/>
    <w:rsid w:val="315B3828"/>
    <w:rsid w:val="315C449C"/>
    <w:rsid w:val="315C470D"/>
    <w:rsid w:val="31605A6B"/>
    <w:rsid w:val="316F3B31"/>
    <w:rsid w:val="318C3907"/>
    <w:rsid w:val="31904157"/>
    <w:rsid w:val="319F049E"/>
    <w:rsid w:val="31B82709"/>
    <w:rsid w:val="31CA749A"/>
    <w:rsid w:val="31D05482"/>
    <w:rsid w:val="31DB3455"/>
    <w:rsid w:val="31FF0327"/>
    <w:rsid w:val="320C1861"/>
    <w:rsid w:val="320C4364"/>
    <w:rsid w:val="320F04F0"/>
    <w:rsid w:val="3238754E"/>
    <w:rsid w:val="32400B34"/>
    <w:rsid w:val="326300E8"/>
    <w:rsid w:val="326A1422"/>
    <w:rsid w:val="329E6876"/>
    <w:rsid w:val="32D103B5"/>
    <w:rsid w:val="331229FA"/>
    <w:rsid w:val="333015F2"/>
    <w:rsid w:val="33396EC7"/>
    <w:rsid w:val="334735D5"/>
    <w:rsid w:val="334B6320"/>
    <w:rsid w:val="33507242"/>
    <w:rsid w:val="335833CC"/>
    <w:rsid w:val="336638B2"/>
    <w:rsid w:val="33853CB5"/>
    <w:rsid w:val="33CD5888"/>
    <w:rsid w:val="33D934D4"/>
    <w:rsid w:val="33DF3C8C"/>
    <w:rsid w:val="33EB0402"/>
    <w:rsid w:val="33FE2F6A"/>
    <w:rsid w:val="340E07E5"/>
    <w:rsid w:val="34235BF7"/>
    <w:rsid w:val="342F5312"/>
    <w:rsid w:val="346B043A"/>
    <w:rsid w:val="346D6A00"/>
    <w:rsid w:val="34732B28"/>
    <w:rsid w:val="34AF1912"/>
    <w:rsid w:val="34B85CD0"/>
    <w:rsid w:val="34C74165"/>
    <w:rsid w:val="35040FC1"/>
    <w:rsid w:val="35045C40"/>
    <w:rsid w:val="353266A5"/>
    <w:rsid w:val="35496928"/>
    <w:rsid w:val="358C5FA8"/>
    <w:rsid w:val="359009FB"/>
    <w:rsid w:val="359F0C3E"/>
    <w:rsid w:val="35BF2E57"/>
    <w:rsid w:val="35C15DF1"/>
    <w:rsid w:val="35CB4A2B"/>
    <w:rsid w:val="35CD60D9"/>
    <w:rsid w:val="35E234DE"/>
    <w:rsid w:val="3602274C"/>
    <w:rsid w:val="36074A7F"/>
    <w:rsid w:val="36126734"/>
    <w:rsid w:val="367B3B26"/>
    <w:rsid w:val="36923549"/>
    <w:rsid w:val="36B75FBF"/>
    <w:rsid w:val="36BD0C45"/>
    <w:rsid w:val="36C650C3"/>
    <w:rsid w:val="36E061C9"/>
    <w:rsid w:val="36FD34CA"/>
    <w:rsid w:val="370C5E5F"/>
    <w:rsid w:val="37133202"/>
    <w:rsid w:val="3716055B"/>
    <w:rsid w:val="37160A8C"/>
    <w:rsid w:val="37246E82"/>
    <w:rsid w:val="375B0906"/>
    <w:rsid w:val="376D2C86"/>
    <w:rsid w:val="377F7423"/>
    <w:rsid w:val="379D3A55"/>
    <w:rsid w:val="37B54749"/>
    <w:rsid w:val="37E00298"/>
    <w:rsid w:val="37E40B8A"/>
    <w:rsid w:val="381C20D2"/>
    <w:rsid w:val="3821593A"/>
    <w:rsid w:val="38216883"/>
    <w:rsid w:val="3843350F"/>
    <w:rsid w:val="38606463"/>
    <w:rsid w:val="38B302F9"/>
    <w:rsid w:val="38F12CD3"/>
    <w:rsid w:val="38F94775"/>
    <w:rsid w:val="39000325"/>
    <w:rsid w:val="391505E2"/>
    <w:rsid w:val="391C3E52"/>
    <w:rsid w:val="39215D79"/>
    <w:rsid w:val="39291289"/>
    <w:rsid w:val="392971ED"/>
    <w:rsid w:val="39325651"/>
    <w:rsid w:val="398529C0"/>
    <w:rsid w:val="39D21B51"/>
    <w:rsid w:val="3A173EB4"/>
    <w:rsid w:val="3A2D6818"/>
    <w:rsid w:val="3A741333"/>
    <w:rsid w:val="3A7D728D"/>
    <w:rsid w:val="3A872856"/>
    <w:rsid w:val="3A8E3210"/>
    <w:rsid w:val="3AB51261"/>
    <w:rsid w:val="3AB64A60"/>
    <w:rsid w:val="3ABC3831"/>
    <w:rsid w:val="3ABD721A"/>
    <w:rsid w:val="3AF17846"/>
    <w:rsid w:val="3B077069"/>
    <w:rsid w:val="3B1726FC"/>
    <w:rsid w:val="3B1E676A"/>
    <w:rsid w:val="3B3763D1"/>
    <w:rsid w:val="3B381919"/>
    <w:rsid w:val="3B413138"/>
    <w:rsid w:val="3BCA64A2"/>
    <w:rsid w:val="3BF91372"/>
    <w:rsid w:val="3C2F6E1E"/>
    <w:rsid w:val="3C4449AF"/>
    <w:rsid w:val="3C4D13F4"/>
    <w:rsid w:val="3C4F64BA"/>
    <w:rsid w:val="3C7C2B90"/>
    <w:rsid w:val="3C856C26"/>
    <w:rsid w:val="3C9D2543"/>
    <w:rsid w:val="3CA45516"/>
    <w:rsid w:val="3CC23A44"/>
    <w:rsid w:val="3CDA245A"/>
    <w:rsid w:val="3CDE3DFA"/>
    <w:rsid w:val="3CE07B72"/>
    <w:rsid w:val="3CE37662"/>
    <w:rsid w:val="3CEC4769"/>
    <w:rsid w:val="3CFD1034"/>
    <w:rsid w:val="3D1E06B7"/>
    <w:rsid w:val="3D2C2169"/>
    <w:rsid w:val="3D50494E"/>
    <w:rsid w:val="3D6B7B96"/>
    <w:rsid w:val="3DA16634"/>
    <w:rsid w:val="3DAE5EC2"/>
    <w:rsid w:val="3DD0408A"/>
    <w:rsid w:val="3DFE4BF7"/>
    <w:rsid w:val="3E0755D2"/>
    <w:rsid w:val="3E375EB7"/>
    <w:rsid w:val="3E4B4208"/>
    <w:rsid w:val="3E95464E"/>
    <w:rsid w:val="3E9C1589"/>
    <w:rsid w:val="3EB04831"/>
    <w:rsid w:val="3EB654DA"/>
    <w:rsid w:val="3EDA0523"/>
    <w:rsid w:val="3EDE06FD"/>
    <w:rsid w:val="3EE85404"/>
    <w:rsid w:val="3F295B7E"/>
    <w:rsid w:val="3F487196"/>
    <w:rsid w:val="3F670343"/>
    <w:rsid w:val="3F9C04FB"/>
    <w:rsid w:val="3FC82B68"/>
    <w:rsid w:val="3FE94F8F"/>
    <w:rsid w:val="3FEC2CD2"/>
    <w:rsid w:val="3FF80664"/>
    <w:rsid w:val="3FFA0FFC"/>
    <w:rsid w:val="40041DC9"/>
    <w:rsid w:val="400D48C5"/>
    <w:rsid w:val="400F17BA"/>
    <w:rsid w:val="404B5C4A"/>
    <w:rsid w:val="40597547"/>
    <w:rsid w:val="406D5BC1"/>
    <w:rsid w:val="407A6407"/>
    <w:rsid w:val="407C5194"/>
    <w:rsid w:val="409C0254"/>
    <w:rsid w:val="40A37834"/>
    <w:rsid w:val="40D95004"/>
    <w:rsid w:val="40EC022B"/>
    <w:rsid w:val="40F005A0"/>
    <w:rsid w:val="40FE518C"/>
    <w:rsid w:val="41263DF8"/>
    <w:rsid w:val="41281AE7"/>
    <w:rsid w:val="41313092"/>
    <w:rsid w:val="41384C8F"/>
    <w:rsid w:val="41450811"/>
    <w:rsid w:val="4164341C"/>
    <w:rsid w:val="41A03A5E"/>
    <w:rsid w:val="41AB44E7"/>
    <w:rsid w:val="41B036E3"/>
    <w:rsid w:val="41DB142F"/>
    <w:rsid w:val="4200449D"/>
    <w:rsid w:val="42200B6E"/>
    <w:rsid w:val="42277FF1"/>
    <w:rsid w:val="4233158B"/>
    <w:rsid w:val="423A3BCC"/>
    <w:rsid w:val="424E57D2"/>
    <w:rsid w:val="427B69CF"/>
    <w:rsid w:val="428D34CD"/>
    <w:rsid w:val="42A17DA3"/>
    <w:rsid w:val="42A5457A"/>
    <w:rsid w:val="42A63681"/>
    <w:rsid w:val="42AE2B53"/>
    <w:rsid w:val="42B26C49"/>
    <w:rsid w:val="42D24093"/>
    <w:rsid w:val="42FB2EDE"/>
    <w:rsid w:val="43014CE6"/>
    <w:rsid w:val="43093EAF"/>
    <w:rsid w:val="43102132"/>
    <w:rsid w:val="43217136"/>
    <w:rsid w:val="432F1853"/>
    <w:rsid w:val="433A1F52"/>
    <w:rsid w:val="433A6FE6"/>
    <w:rsid w:val="43480868"/>
    <w:rsid w:val="4350713C"/>
    <w:rsid w:val="436653E0"/>
    <w:rsid w:val="437159C8"/>
    <w:rsid w:val="43783A44"/>
    <w:rsid w:val="43AB44CD"/>
    <w:rsid w:val="43C02C41"/>
    <w:rsid w:val="43C4431A"/>
    <w:rsid w:val="43D20EE8"/>
    <w:rsid w:val="43DB178F"/>
    <w:rsid w:val="43FB727A"/>
    <w:rsid w:val="442E3900"/>
    <w:rsid w:val="44AC7B54"/>
    <w:rsid w:val="44B951CC"/>
    <w:rsid w:val="44C63A26"/>
    <w:rsid w:val="44CB27D2"/>
    <w:rsid w:val="44CD14E0"/>
    <w:rsid w:val="44D16614"/>
    <w:rsid w:val="44D43279"/>
    <w:rsid w:val="44F20B0B"/>
    <w:rsid w:val="44FC5765"/>
    <w:rsid w:val="45102FBE"/>
    <w:rsid w:val="4510769E"/>
    <w:rsid w:val="451731DD"/>
    <w:rsid w:val="452E5F4C"/>
    <w:rsid w:val="453C48A8"/>
    <w:rsid w:val="454D5C68"/>
    <w:rsid w:val="45612018"/>
    <w:rsid w:val="457C3150"/>
    <w:rsid w:val="458852AF"/>
    <w:rsid w:val="45887BD2"/>
    <w:rsid w:val="458946E9"/>
    <w:rsid w:val="45901137"/>
    <w:rsid w:val="45915571"/>
    <w:rsid w:val="45A47C0E"/>
    <w:rsid w:val="45C23E41"/>
    <w:rsid w:val="45C51AB3"/>
    <w:rsid w:val="45CC3389"/>
    <w:rsid w:val="460348D1"/>
    <w:rsid w:val="46072EDA"/>
    <w:rsid w:val="461566C0"/>
    <w:rsid w:val="46334815"/>
    <w:rsid w:val="464E39F8"/>
    <w:rsid w:val="46577FD6"/>
    <w:rsid w:val="46647140"/>
    <w:rsid w:val="467001B9"/>
    <w:rsid w:val="46A460B4"/>
    <w:rsid w:val="46B83E36"/>
    <w:rsid w:val="46C500F1"/>
    <w:rsid w:val="46C93D6D"/>
    <w:rsid w:val="46D955A7"/>
    <w:rsid w:val="47133957"/>
    <w:rsid w:val="4732546E"/>
    <w:rsid w:val="474154D2"/>
    <w:rsid w:val="476E64BF"/>
    <w:rsid w:val="477523F0"/>
    <w:rsid w:val="47826FC4"/>
    <w:rsid w:val="47A07E0C"/>
    <w:rsid w:val="47E43D73"/>
    <w:rsid w:val="47E72589"/>
    <w:rsid w:val="47EA5D49"/>
    <w:rsid w:val="480D15C6"/>
    <w:rsid w:val="48337058"/>
    <w:rsid w:val="48380989"/>
    <w:rsid w:val="4870272E"/>
    <w:rsid w:val="48B43D26"/>
    <w:rsid w:val="48B85E47"/>
    <w:rsid w:val="48C77E38"/>
    <w:rsid w:val="48D367DD"/>
    <w:rsid w:val="48F01AB3"/>
    <w:rsid w:val="48F055E1"/>
    <w:rsid w:val="48F57179"/>
    <w:rsid w:val="491F7C74"/>
    <w:rsid w:val="4929069A"/>
    <w:rsid w:val="49470F79"/>
    <w:rsid w:val="49475888"/>
    <w:rsid w:val="495A121A"/>
    <w:rsid w:val="498D2BBA"/>
    <w:rsid w:val="49BF1AFE"/>
    <w:rsid w:val="49DC7715"/>
    <w:rsid w:val="49F421B6"/>
    <w:rsid w:val="4A023139"/>
    <w:rsid w:val="4A071EC2"/>
    <w:rsid w:val="4A743FEF"/>
    <w:rsid w:val="4A76511F"/>
    <w:rsid w:val="4A7B576F"/>
    <w:rsid w:val="4A987CDE"/>
    <w:rsid w:val="4ACB608C"/>
    <w:rsid w:val="4ADA6E16"/>
    <w:rsid w:val="4AE42916"/>
    <w:rsid w:val="4AF561A9"/>
    <w:rsid w:val="4B321EE0"/>
    <w:rsid w:val="4B380023"/>
    <w:rsid w:val="4B5966E5"/>
    <w:rsid w:val="4B5D6832"/>
    <w:rsid w:val="4B6F6C84"/>
    <w:rsid w:val="4B706F82"/>
    <w:rsid w:val="4B8536E4"/>
    <w:rsid w:val="4B8F7333"/>
    <w:rsid w:val="4BB04E7C"/>
    <w:rsid w:val="4BC253CF"/>
    <w:rsid w:val="4BCD39B7"/>
    <w:rsid w:val="4BD632E4"/>
    <w:rsid w:val="4C077083"/>
    <w:rsid w:val="4C1B2975"/>
    <w:rsid w:val="4C1C70B8"/>
    <w:rsid w:val="4C4A0649"/>
    <w:rsid w:val="4C79390D"/>
    <w:rsid w:val="4C7B0D38"/>
    <w:rsid w:val="4C7E5ECA"/>
    <w:rsid w:val="4C876AA5"/>
    <w:rsid w:val="4CAA5AA7"/>
    <w:rsid w:val="4CAE1ABA"/>
    <w:rsid w:val="4CB00843"/>
    <w:rsid w:val="4CC50B32"/>
    <w:rsid w:val="4CFD5C34"/>
    <w:rsid w:val="4D0553D3"/>
    <w:rsid w:val="4D0E00FB"/>
    <w:rsid w:val="4D10359A"/>
    <w:rsid w:val="4D176606"/>
    <w:rsid w:val="4D257EFD"/>
    <w:rsid w:val="4D3331FD"/>
    <w:rsid w:val="4D3B658F"/>
    <w:rsid w:val="4D5749A5"/>
    <w:rsid w:val="4D8758C1"/>
    <w:rsid w:val="4DEC4FB0"/>
    <w:rsid w:val="4DF25C03"/>
    <w:rsid w:val="4E075D8A"/>
    <w:rsid w:val="4E08155A"/>
    <w:rsid w:val="4E1A59EE"/>
    <w:rsid w:val="4E1C1FAE"/>
    <w:rsid w:val="4E546612"/>
    <w:rsid w:val="4E597784"/>
    <w:rsid w:val="4E740A62"/>
    <w:rsid w:val="4EC00FAD"/>
    <w:rsid w:val="4ED94ABC"/>
    <w:rsid w:val="4F0B065C"/>
    <w:rsid w:val="4F3E6BB8"/>
    <w:rsid w:val="4F4C48A4"/>
    <w:rsid w:val="4F55619D"/>
    <w:rsid w:val="4F840E62"/>
    <w:rsid w:val="4F9111A0"/>
    <w:rsid w:val="4F9843DC"/>
    <w:rsid w:val="4F99125A"/>
    <w:rsid w:val="4F9A0054"/>
    <w:rsid w:val="4FBC5A93"/>
    <w:rsid w:val="4FC62A8C"/>
    <w:rsid w:val="4FCC0252"/>
    <w:rsid w:val="4FE20F0D"/>
    <w:rsid w:val="4FE51552"/>
    <w:rsid w:val="50033E4B"/>
    <w:rsid w:val="500E53BA"/>
    <w:rsid w:val="502618E8"/>
    <w:rsid w:val="50275849"/>
    <w:rsid w:val="50504C4B"/>
    <w:rsid w:val="50593094"/>
    <w:rsid w:val="50633A02"/>
    <w:rsid w:val="50650662"/>
    <w:rsid w:val="50836185"/>
    <w:rsid w:val="50861674"/>
    <w:rsid w:val="508C19D3"/>
    <w:rsid w:val="509C6E7C"/>
    <w:rsid w:val="50B14505"/>
    <w:rsid w:val="50C81701"/>
    <w:rsid w:val="50CA7E8A"/>
    <w:rsid w:val="515E76C4"/>
    <w:rsid w:val="5162104E"/>
    <w:rsid w:val="517A638F"/>
    <w:rsid w:val="518B5E73"/>
    <w:rsid w:val="51977067"/>
    <w:rsid w:val="51B1799A"/>
    <w:rsid w:val="51BD1D19"/>
    <w:rsid w:val="51C060F6"/>
    <w:rsid w:val="51C07B1A"/>
    <w:rsid w:val="51CF5F06"/>
    <w:rsid w:val="51F6450F"/>
    <w:rsid w:val="520E350C"/>
    <w:rsid w:val="52110E45"/>
    <w:rsid w:val="525A0016"/>
    <w:rsid w:val="52606EB3"/>
    <w:rsid w:val="52B61649"/>
    <w:rsid w:val="52BE30EA"/>
    <w:rsid w:val="52CA6EA2"/>
    <w:rsid w:val="531E71EE"/>
    <w:rsid w:val="532A5B93"/>
    <w:rsid w:val="535F3A8F"/>
    <w:rsid w:val="53635489"/>
    <w:rsid w:val="539B3C3A"/>
    <w:rsid w:val="53A039CC"/>
    <w:rsid w:val="53A1505A"/>
    <w:rsid w:val="54063E08"/>
    <w:rsid w:val="54145386"/>
    <w:rsid w:val="543437E8"/>
    <w:rsid w:val="548412D3"/>
    <w:rsid w:val="548B08B3"/>
    <w:rsid w:val="54E33008"/>
    <w:rsid w:val="54F73313"/>
    <w:rsid w:val="54F80955"/>
    <w:rsid w:val="55043D58"/>
    <w:rsid w:val="551408A9"/>
    <w:rsid w:val="552115FB"/>
    <w:rsid w:val="552247B0"/>
    <w:rsid w:val="552810B5"/>
    <w:rsid w:val="552D17D9"/>
    <w:rsid w:val="55381463"/>
    <w:rsid w:val="55437EC2"/>
    <w:rsid w:val="555170A7"/>
    <w:rsid w:val="5587536D"/>
    <w:rsid w:val="559B174B"/>
    <w:rsid w:val="55A06354"/>
    <w:rsid w:val="55CE0CF4"/>
    <w:rsid w:val="55D9201E"/>
    <w:rsid w:val="55DB79C3"/>
    <w:rsid w:val="55E57E9B"/>
    <w:rsid w:val="564C10A3"/>
    <w:rsid w:val="56B22A9C"/>
    <w:rsid w:val="57534DA2"/>
    <w:rsid w:val="576A0C54"/>
    <w:rsid w:val="576D2E8E"/>
    <w:rsid w:val="57715B3F"/>
    <w:rsid w:val="57A051DB"/>
    <w:rsid w:val="57A06424"/>
    <w:rsid w:val="57B554F4"/>
    <w:rsid w:val="57B72A76"/>
    <w:rsid w:val="57C32112"/>
    <w:rsid w:val="57C3426C"/>
    <w:rsid w:val="57CE1F93"/>
    <w:rsid w:val="584206A2"/>
    <w:rsid w:val="584A457D"/>
    <w:rsid w:val="58564D34"/>
    <w:rsid w:val="58627B7D"/>
    <w:rsid w:val="58644642"/>
    <w:rsid w:val="588743D1"/>
    <w:rsid w:val="5887701A"/>
    <w:rsid w:val="58B50E3B"/>
    <w:rsid w:val="58FD72CB"/>
    <w:rsid w:val="590460C5"/>
    <w:rsid w:val="591103A6"/>
    <w:rsid w:val="592E0CA5"/>
    <w:rsid w:val="59315084"/>
    <w:rsid w:val="59401C6C"/>
    <w:rsid w:val="59684127"/>
    <w:rsid w:val="59981AA8"/>
    <w:rsid w:val="599B50F5"/>
    <w:rsid w:val="599E2E37"/>
    <w:rsid w:val="59AA5338"/>
    <w:rsid w:val="59C0439F"/>
    <w:rsid w:val="59DE0D30"/>
    <w:rsid w:val="59F7217B"/>
    <w:rsid w:val="5A2B02F3"/>
    <w:rsid w:val="5A425C0E"/>
    <w:rsid w:val="5A4D7D77"/>
    <w:rsid w:val="5A93401E"/>
    <w:rsid w:val="5A9D2BBD"/>
    <w:rsid w:val="5ABE2233"/>
    <w:rsid w:val="5AD42FAA"/>
    <w:rsid w:val="5B1A1B5F"/>
    <w:rsid w:val="5B1F145B"/>
    <w:rsid w:val="5B250E62"/>
    <w:rsid w:val="5B413A7A"/>
    <w:rsid w:val="5B57329D"/>
    <w:rsid w:val="5B615ECA"/>
    <w:rsid w:val="5B6339F0"/>
    <w:rsid w:val="5B7606F0"/>
    <w:rsid w:val="5B7C18B8"/>
    <w:rsid w:val="5B8D37DC"/>
    <w:rsid w:val="5BA65FD3"/>
    <w:rsid w:val="5BB71388"/>
    <w:rsid w:val="5BBB7CD0"/>
    <w:rsid w:val="5BDF5D95"/>
    <w:rsid w:val="5BE60778"/>
    <w:rsid w:val="5BE91A6A"/>
    <w:rsid w:val="5BFE7528"/>
    <w:rsid w:val="5C40484A"/>
    <w:rsid w:val="5C4952DC"/>
    <w:rsid w:val="5C5B6DBD"/>
    <w:rsid w:val="5C5C014F"/>
    <w:rsid w:val="5C6D486F"/>
    <w:rsid w:val="5C855BE8"/>
    <w:rsid w:val="5C8A308B"/>
    <w:rsid w:val="5CEB5945"/>
    <w:rsid w:val="5CF07506"/>
    <w:rsid w:val="5CF11A01"/>
    <w:rsid w:val="5D6121B1"/>
    <w:rsid w:val="5D8D2FA6"/>
    <w:rsid w:val="5DA80769"/>
    <w:rsid w:val="5DFE20F6"/>
    <w:rsid w:val="5E010919"/>
    <w:rsid w:val="5E190643"/>
    <w:rsid w:val="5E1A71EB"/>
    <w:rsid w:val="5E2467F1"/>
    <w:rsid w:val="5E506414"/>
    <w:rsid w:val="5EB212A8"/>
    <w:rsid w:val="5EBC489D"/>
    <w:rsid w:val="5EC24ED2"/>
    <w:rsid w:val="5ECA164D"/>
    <w:rsid w:val="5EFA466C"/>
    <w:rsid w:val="5F013C4C"/>
    <w:rsid w:val="5F1A2B43"/>
    <w:rsid w:val="5F1B7228"/>
    <w:rsid w:val="5F350DB4"/>
    <w:rsid w:val="5F353CE5"/>
    <w:rsid w:val="5F64242D"/>
    <w:rsid w:val="5F8018A3"/>
    <w:rsid w:val="5F8A1DD7"/>
    <w:rsid w:val="5F93061C"/>
    <w:rsid w:val="5FA96C00"/>
    <w:rsid w:val="5FB837BB"/>
    <w:rsid w:val="5FBC4017"/>
    <w:rsid w:val="5FC270E8"/>
    <w:rsid w:val="5FDB152F"/>
    <w:rsid w:val="5FE84E0C"/>
    <w:rsid w:val="5FFA12F2"/>
    <w:rsid w:val="60011A2A"/>
    <w:rsid w:val="6009311E"/>
    <w:rsid w:val="60206354"/>
    <w:rsid w:val="60237BF2"/>
    <w:rsid w:val="607246D5"/>
    <w:rsid w:val="608A5231"/>
    <w:rsid w:val="60A87566"/>
    <w:rsid w:val="60B50DF0"/>
    <w:rsid w:val="60BD4A64"/>
    <w:rsid w:val="60CC405A"/>
    <w:rsid w:val="60D235C8"/>
    <w:rsid w:val="60D25C86"/>
    <w:rsid w:val="60D81D03"/>
    <w:rsid w:val="60E4014E"/>
    <w:rsid w:val="60F65306"/>
    <w:rsid w:val="616A650E"/>
    <w:rsid w:val="61A56CE3"/>
    <w:rsid w:val="61BD7601"/>
    <w:rsid w:val="61C340E8"/>
    <w:rsid w:val="61C40F61"/>
    <w:rsid w:val="61CE010D"/>
    <w:rsid w:val="61D17319"/>
    <w:rsid w:val="61D95F6F"/>
    <w:rsid w:val="61E11B13"/>
    <w:rsid w:val="61E215D8"/>
    <w:rsid w:val="61E5789B"/>
    <w:rsid w:val="61F50F1C"/>
    <w:rsid w:val="6214144E"/>
    <w:rsid w:val="621B3775"/>
    <w:rsid w:val="621E1A66"/>
    <w:rsid w:val="621F5935"/>
    <w:rsid w:val="622F0AD0"/>
    <w:rsid w:val="62307044"/>
    <w:rsid w:val="623205C0"/>
    <w:rsid w:val="62340232"/>
    <w:rsid w:val="62364782"/>
    <w:rsid w:val="62407A7D"/>
    <w:rsid w:val="6246684F"/>
    <w:rsid w:val="62824FE7"/>
    <w:rsid w:val="62B21879"/>
    <w:rsid w:val="62C03E1E"/>
    <w:rsid w:val="62D01D85"/>
    <w:rsid w:val="62E25068"/>
    <w:rsid w:val="62EB6F6B"/>
    <w:rsid w:val="62F27F5B"/>
    <w:rsid w:val="633E223A"/>
    <w:rsid w:val="6347190D"/>
    <w:rsid w:val="6355637E"/>
    <w:rsid w:val="635A1B7D"/>
    <w:rsid w:val="636235E6"/>
    <w:rsid w:val="6394356A"/>
    <w:rsid w:val="63B12184"/>
    <w:rsid w:val="63C61B2C"/>
    <w:rsid w:val="63C630B6"/>
    <w:rsid w:val="63C97964"/>
    <w:rsid w:val="63D062E3"/>
    <w:rsid w:val="63D40BE9"/>
    <w:rsid w:val="63D54E77"/>
    <w:rsid w:val="63F87D92"/>
    <w:rsid w:val="64102431"/>
    <w:rsid w:val="641D75A7"/>
    <w:rsid w:val="642C4A06"/>
    <w:rsid w:val="646A4F87"/>
    <w:rsid w:val="646E32A3"/>
    <w:rsid w:val="646F7D9A"/>
    <w:rsid w:val="64A5243A"/>
    <w:rsid w:val="64A826AD"/>
    <w:rsid w:val="64B20CE1"/>
    <w:rsid w:val="64D66A32"/>
    <w:rsid w:val="64E650D1"/>
    <w:rsid w:val="64F531DE"/>
    <w:rsid w:val="65373578"/>
    <w:rsid w:val="6546685C"/>
    <w:rsid w:val="65895914"/>
    <w:rsid w:val="65C362F9"/>
    <w:rsid w:val="65DA29BA"/>
    <w:rsid w:val="65E83723"/>
    <w:rsid w:val="65F242EE"/>
    <w:rsid w:val="66165402"/>
    <w:rsid w:val="661D6845"/>
    <w:rsid w:val="6635067F"/>
    <w:rsid w:val="66521231"/>
    <w:rsid w:val="6679056C"/>
    <w:rsid w:val="66803B38"/>
    <w:rsid w:val="66D03A26"/>
    <w:rsid w:val="66D67198"/>
    <w:rsid w:val="66FD391F"/>
    <w:rsid w:val="671F124A"/>
    <w:rsid w:val="674D37A6"/>
    <w:rsid w:val="677A33C6"/>
    <w:rsid w:val="677C145B"/>
    <w:rsid w:val="67B30320"/>
    <w:rsid w:val="67E055A1"/>
    <w:rsid w:val="67EE0AE5"/>
    <w:rsid w:val="681F6961"/>
    <w:rsid w:val="6821246E"/>
    <w:rsid w:val="68550B65"/>
    <w:rsid w:val="68610A2F"/>
    <w:rsid w:val="687E00BB"/>
    <w:rsid w:val="68805514"/>
    <w:rsid w:val="6889691D"/>
    <w:rsid w:val="689B5BED"/>
    <w:rsid w:val="689E42BA"/>
    <w:rsid w:val="68E01088"/>
    <w:rsid w:val="68E503E3"/>
    <w:rsid w:val="68F26B04"/>
    <w:rsid w:val="69146B29"/>
    <w:rsid w:val="69316E2F"/>
    <w:rsid w:val="694E2071"/>
    <w:rsid w:val="69504E69"/>
    <w:rsid w:val="69523277"/>
    <w:rsid w:val="69626818"/>
    <w:rsid w:val="69766163"/>
    <w:rsid w:val="697A3B33"/>
    <w:rsid w:val="6991654B"/>
    <w:rsid w:val="69971DA0"/>
    <w:rsid w:val="69A53FC4"/>
    <w:rsid w:val="69AE369B"/>
    <w:rsid w:val="69C77840"/>
    <w:rsid w:val="69C81065"/>
    <w:rsid w:val="69CF7B58"/>
    <w:rsid w:val="69D44760"/>
    <w:rsid w:val="69E716D5"/>
    <w:rsid w:val="6A09670C"/>
    <w:rsid w:val="6A294057"/>
    <w:rsid w:val="6A520EC7"/>
    <w:rsid w:val="6A525991"/>
    <w:rsid w:val="6A5A4F50"/>
    <w:rsid w:val="6A5E41E4"/>
    <w:rsid w:val="6A763739"/>
    <w:rsid w:val="6A8230A3"/>
    <w:rsid w:val="6A8D6CDC"/>
    <w:rsid w:val="6AD77F57"/>
    <w:rsid w:val="6AEB755E"/>
    <w:rsid w:val="6AF87E20"/>
    <w:rsid w:val="6B272C8C"/>
    <w:rsid w:val="6B2A62D8"/>
    <w:rsid w:val="6B2C1D44"/>
    <w:rsid w:val="6B2D150E"/>
    <w:rsid w:val="6B322639"/>
    <w:rsid w:val="6B4F5D3F"/>
    <w:rsid w:val="6B662F6D"/>
    <w:rsid w:val="6B866A9F"/>
    <w:rsid w:val="6BAD2A66"/>
    <w:rsid w:val="6BDE5AD6"/>
    <w:rsid w:val="6BE446D9"/>
    <w:rsid w:val="6BF33551"/>
    <w:rsid w:val="6C042623"/>
    <w:rsid w:val="6C042FCD"/>
    <w:rsid w:val="6C636C38"/>
    <w:rsid w:val="6C7D2605"/>
    <w:rsid w:val="6D383BCB"/>
    <w:rsid w:val="6D4F2026"/>
    <w:rsid w:val="6D5B4931"/>
    <w:rsid w:val="6D71439B"/>
    <w:rsid w:val="6D714693"/>
    <w:rsid w:val="6D851EEC"/>
    <w:rsid w:val="6D9D7236"/>
    <w:rsid w:val="6DAC7479"/>
    <w:rsid w:val="6DB34098"/>
    <w:rsid w:val="6DB545B6"/>
    <w:rsid w:val="6DC748C4"/>
    <w:rsid w:val="6DE02FB4"/>
    <w:rsid w:val="6DFB23EA"/>
    <w:rsid w:val="6E4753F3"/>
    <w:rsid w:val="6E4C08CD"/>
    <w:rsid w:val="6E514CED"/>
    <w:rsid w:val="6E5813AF"/>
    <w:rsid w:val="6E977CDD"/>
    <w:rsid w:val="6E977E5B"/>
    <w:rsid w:val="6EB563D5"/>
    <w:rsid w:val="6ED92677"/>
    <w:rsid w:val="6F1E29AB"/>
    <w:rsid w:val="6F225983"/>
    <w:rsid w:val="6F433BCE"/>
    <w:rsid w:val="6F7D60E1"/>
    <w:rsid w:val="6F833C84"/>
    <w:rsid w:val="6FB22D40"/>
    <w:rsid w:val="6FCE3484"/>
    <w:rsid w:val="6FCE7B7A"/>
    <w:rsid w:val="6FEC1DAE"/>
    <w:rsid w:val="6FFC5590"/>
    <w:rsid w:val="6FFC636C"/>
    <w:rsid w:val="703D6015"/>
    <w:rsid w:val="705773CD"/>
    <w:rsid w:val="706A53C9"/>
    <w:rsid w:val="706D1DD0"/>
    <w:rsid w:val="70856B87"/>
    <w:rsid w:val="708D5594"/>
    <w:rsid w:val="70AC7790"/>
    <w:rsid w:val="70B42D68"/>
    <w:rsid w:val="70B76FC3"/>
    <w:rsid w:val="70C3335B"/>
    <w:rsid w:val="70D527EE"/>
    <w:rsid w:val="71140838"/>
    <w:rsid w:val="71221187"/>
    <w:rsid w:val="712D08D1"/>
    <w:rsid w:val="714D6659"/>
    <w:rsid w:val="715B13A8"/>
    <w:rsid w:val="715B5300"/>
    <w:rsid w:val="7166670A"/>
    <w:rsid w:val="716E5411"/>
    <w:rsid w:val="71B44B4E"/>
    <w:rsid w:val="71D27F8A"/>
    <w:rsid w:val="720A37A0"/>
    <w:rsid w:val="720E0702"/>
    <w:rsid w:val="72387A20"/>
    <w:rsid w:val="724E074F"/>
    <w:rsid w:val="72553024"/>
    <w:rsid w:val="727F30E6"/>
    <w:rsid w:val="728564EA"/>
    <w:rsid w:val="72A5555B"/>
    <w:rsid w:val="72A65B21"/>
    <w:rsid w:val="72D1155E"/>
    <w:rsid w:val="72F323EB"/>
    <w:rsid w:val="73122968"/>
    <w:rsid w:val="731F5D5E"/>
    <w:rsid w:val="73223D39"/>
    <w:rsid w:val="73231B47"/>
    <w:rsid w:val="73351CBE"/>
    <w:rsid w:val="734775F2"/>
    <w:rsid w:val="734F646F"/>
    <w:rsid w:val="73655402"/>
    <w:rsid w:val="73724CC1"/>
    <w:rsid w:val="738A025C"/>
    <w:rsid w:val="739764D5"/>
    <w:rsid w:val="73BF43AC"/>
    <w:rsid w:val="73C37F71"/>
    <w:rsid w:val="73C51AD5"/>
    <w:rsid w:val="73CB5F91"/>
    <w:rsid w:val="740858BB"/>
    <w:rsid w:val="741E11CF"/>
    <w:rsid w:val="741E793C"/>
    <w:rsid w:val="74533F11"/>
    <w:rsid w:val="745E2B51"/>
    <w:rsid w:val="745E3944"/>
    <w:rsid w:val="746315ED"/>
    <w:rsid w:val="74687E72"/>
    <w:rsid w:val="746E2DD8"/>
    <w:rsid w:val="7482314C"/>
    <w:rsid w:val="74CC21AE"/>
    <w:rsid w:val="74D35ED2"/>
    <w:rsid w:val="74D90A92"/>
    <w:rsid w:val="74E20433"/>
    <w:rsid w:val="74FB52B8"/>
    <w:rsid w:val="750D1F96"/>
    <w:rsid w:val="75114065"/>
    <w:rsid w:val="751902BF"/>
    <w:rsid w:val="75297C98"/>
    <w:rsid w:val="75537945"/>
    <w:rsid w:val="755503F6"/>
    <w:rsid w:val="75696518"/>
    <w:rsid w:val="75732004"/>
    <w:rsid w:val="75890BDE"/>
    <w:rsid w:val="758A6119"/>
    <w:rsid w:val="75C31B61"/>
    <w:rsid w:val="75F8032E"/>
    <w:rsid w:val="75F83608"/>
    <w:rsid w:val="760F2C1D"/>
    <w:rsid w:val="76286F0E"/>
    <w:rsid w:val="7635099D"/>
    <w:rsid w:val="763B3A90"/>
    <w:rsid w:val="76772CA8"/>
    <w:rsid w:val="76906942"/>
    <w:rsid w:val="76A35191"/>
    <w:rsid w:val="76D37824"/>
    <w:rsid w:val="76DD1F36"/>
    <w:rsid w:val="76F37D26"/>
    <w:rsid w:val="772D6E8E"/>
    <w:rsid w:val="77403417"/>
    <w:rsid w:val="776350D7"/>
    <w:rsid w:val="77660698"/>
    <w:rsid w:val="77762421"/>
    <w:rsid w:val="77A90002"/>
    <w:rsid w:val="77B56B1F"/>
    <w:rsid w:val="77DB7813"/>
    <w:rsid w:val="780F09F4"/>
    <w:rsid w:val="78211F6B"/>
    <w:rsid w:val="782347DB"/>
    <w:rsid w:val="78236589"/>
    <w:rsid w:val="78453352"/>
    <w:rsid w:val="784D3606"/>
    <w:rsid w:val="7853757A"/>
    <w:rsid w:val="78563689"/>
    <w:rsid w:val="78630497"/>
    <w:rsid w:val="787D32BE"/>
    <w:rsid w:val="788A03B6"/>
    <w:rsid w:val="78A90480"/>
    <w:rsid w:val="78B071A9"/>
    <w:rsid w:val="78C05BFB"/>
    <w:rsid w:val="78CB5C49"/>
    <w:rsid w:val="79442C5B"/>
    <w:rsid w:val="79786DA9"/>
    <w:rsid w:val="797D43BF"/>
    <w:rsid w:val="79837A85"/>
    <w:rsid w:val="79B163B3"/>
    <w:rsid w:val="79BC7EB8"/>
    <w:rsid w:val="79CF4125"/>
    <w:rsid w:val="79DF5D1A"/>
    <w:rsid w:val="79FA798D"/>
    <w:rsid w:val="79FD3A44"/>
    <w:rsid w:val="7A08012D"/>
    <w:rsid w:val="7A0B19CB"/>
    <w:rsid w:val="7A2676BD"/>
    <w:rsid w:val="7A2C1408"/>
    <w:rsid w:val="7A314686"/>
    <w:rsid w:val="7A31714E"/>
    <w:rsid w:val="7A336E66"/>
    <w:rsid w:val="7A364017"/>
    <w:rsid w:val="7A401675"/>
    <w:rsid w:val="7A4D1AA9"/>
    <w:rsid w:val="7A5A025C"/>
    <w:rsid w:val="7A8265E1"/>
    <w:rsid w:val="7AB23BF5"/>
    <w:rsid w:val="7AC34408"/>
    <w:rsid w:val="7AD26045"/>
    <w:rsid w:val="7AD46796"/>
    <w:rsid w:val="7B2F65CA"/>
    <w:rsid w:val="7B4F22A3"/>
    <w:rsid w:val="7B56133C"/>
    <w:rsid w:val="7B686D42"/>
    <w:rsid w:val="7B841746"/>
    <w:rsid w:val="7BB06D85"/>
    <w:rsid w:val="7BB43358"/>
    <w:rsid w:val="7BCE76B2"/>
    <w:rsid w:val="7BD000C6"/>
    <w:rsid w:val="7BD465E1"/>
    <w:rsid w:val="7C0B5C60"/>
    <w:rsid w:val="7C2D6BDC"/>
    <w:rsid w:val="7C573F5C"/>
    <w:rsid w:val="7C6C5AC7"/>
    <w:rsid w:val="7CC6544B"/>
    <w:rsid w:val="7CD41616"/>
    <w:rsid w:val="7D0239FF"/>
    <w:rsid w:val="7D382AD7"/>
    <w:rsid w:val="7D384885"/>
    <w:rsid w:val="7D407BDD"/>
    <w:rsid w:val="7D490A42"/>
    <w:rsid w:val="7D5E40CD"/>
    <w:rsid w:val="7D621EED"/>
    <w:rsid w:val="7D63567A"/>
    <w:rsid w:val="7DB14EB4"/>
    <w:rsid w:val="7DCD56F2"/>
    <w:rsid w:val="7DDC7906"/>
    <w:rsid w:val="7DE06CCB"/>
    <w:rsid w:val="7DF924A2"/>
    <w:rsid w:val="7E1C5F55"/>
    <w:rsid w:val="7E2E028C"/>
    <w:rsid w:val="7E2E3EDA"/>
    <w:rsid w:val="7E4030DF"/>
    <w:rsid w:val="7E66669B"/>
    <w:rsid w:val="7E761F86"/>
    <w:rsid w:val="7E7F1AD5"/>
    <w:rsid w:val="7E933DC7"/>
    <w:rsid w:val="7EAA3560"/>
    <w:rsid w:val="7EBF4D99"/>
    <w:rsid w:val="7F001CE7"/>
    <w:rsid w:val="7F281721"/>
    <w:rsid w:val="7F335FF7"/>
    <w:rsid w:val="7F3F2227"/>
    <w:rsid w:val="7F420AFE"/>
    <w:rsid w:val="7F4C279C"/>
    <w:rsid w:val="7F922F03"/>
    <w:rsid w:val="7F957DA2"/>
    <w:rsid w:val="7FA51D85"/>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qFormat="1"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ocked="1"/>
    <w:lsdException w:qFormat="1"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ocked="1"/>
    <w:lsdException w:qFormat="1" w:uiPriority="0" w:semiHidden="0" w:name="caption" w:locked="1"/>
    <w:lsdException w:unhideWhenUsed="0" w:uiPriority="0" w:semiHidden="0" w:name="table of figures" w:locked="1"/>
    <w:lsdException w:unhideWhenUsed="0" w:uiPriority="0" w:semiHidden="0" w:name="envelope address" w:locked="1"/>
    <w:lsdException w:qFormat="1"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iPriority="99" w:semiHidden="0" w:name="Salutation" w:locked="1"/>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ocked="1"/>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20" w:semiHidden="0" w:name="Emphasis" w:locked="1"/>
    <w:lsdException w:unhideWhenUsed="0" w:uiPriority="0" w:semiHidden="0" w:name="Document Map" w:locked="1"/>
    <w:lsdException w:qFormat="1" w:unhideWhenUsed="0" w:uiPriority="0" w:semiHidden="0" w:name="Plain Text"/>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unhideWhenUsed="0" w:uiPriority="0" w:semiHidden="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locked/>
    <w:uiPriority w:val="99"/>
    <w:pPr>
      <w:numPr>
        <w:ilvl w:val="0"/>
        <w:numId w:val="1"/>
      </w:numPr>
      <w:tabs>
        <w:tab w:val="left" w:pos="715"/>
        <w:tab w:val="clear" w:pos="420"/>
      </w:tabs>
      <w:adjustRightInd/>
      <w:snapToGrid/>
      <w:spacing w:line="360" w:lineRule="auto"/>
      <w:ind w:firstLine="0" w:firstLineChars="0"/>
      <w:jc w:val="center"/>
      <w:outlineLvl w:val="0"/>
    </w:pPr>
    <w:rPr>
      <w:rFonts w:ascii="Times New Roman" w:hAnsi="Times New Roman" w:eastAsia="黑体" w:cs="Times New Roman"/>
      <w:snapToGrid w:val="0"/>
      <w:color w:val="000000"/>
      <w:sz w:val="32"/>
      <w:szCs w:val="30"/>
    </w:rPr>
  </w:style>
  <w:style w:type="paragraph" w:styleId="3">
    <w:name w:val="heading 2"/>
    <w:basedOn w:val="1"/>
    <w:next w:val="1"/>
    <w:link w:val="41"/>
    <w:qFormat/>
    <w:locked/>
    <w:uiPriority w:val="0"/>
    <w:pPr>
      <w:numPr>
        <w:ilvl w:val="1"/>
        <w:numId w:val="1"/>
      </w:numPr>
      <w:tabs>
        <w:tab w:val="left" w:pos="0"/>
        <w:tab w:val="clear" w:pos="420"/>
      </w:tabs>
      <w:adjustRightInd w:val="0"/>
      <w:snapToGrid w:val="0"/>
      <w:ind w:firstLine="0" w:firstLineChars="0"/>
      <w:jc w:val="both"/>
      <w:outlineLvl w:val="1"/>
    </w:pPr>
    <w:rPr>
      <w:rFonts w:ascii="Times New Roman" w:hAnsi="Times New Roman" w:eastAsia="宋体" w:cs="Times New Roman"/>
      <w:b/>
      <w:bCs/>
      <w:color w:val="auto"/>
      <w:sz w:val="24"/>
      <w:szCs w:val="28"/>
    </w:rPr>
  </w:style>
  <w:style w:type="paragraph" w:styleId="4">
    <w:name w:val="heading 3"/>
    <w:basedOn w:val="1"/>
    <w:link w:val="42"/>
    <w:qFormat/>
    <w:locked/>
    <w:uiPriority w:val="0"/>
    <w:pPr>
      <w:keepNext/>
      <w:keepLines/>
      <w:numPr>
        <w:ilvl w:val="2"/>
        <w:numId w:val="1"/>
      </w:numPr>
      <w:tabs>
        <w:tab w:val="left" w:pos="0"/>
        <w:tab w:val="clear" w:pos="420"/>
      </w:tabs>
      <w:spacing w:line="440" w:lineRule="exact"/>
      <w:ind w:firstLine="0" w:firstLineChars="0"/>
      <w:outlineLvl w:val="2"/>
    </w:pPr>
    <w:rPr>
      <w:rFonts w:ascii="Times New Roman" w:hAnsi="Times New Roman" w:eastAsia="宋体"/>
      <w:b/>
      <w:bCs/>
      <w:sz w:val="24"/>
      <w:szCs w:val="32"/>
    </w:rPr>
  </w:style>
  <w:style w:type="paragraph" w:styleId="5">
    <w:name w:val="heading 4"/>
    <w:basedOn w:val="1"/>
    <w:next w:val="1"/>
    <w:qFormat/>
    <w:locked/>
    <w:uiPriority w:val="0"/>
    <w:pPr>
      <w:numPr>
        <w:ilvl w:val="3"/>
        <w:numId w:val="1"/>
      </w:numPr>
      <w:tabs>
        <w:tab w:val="left" w:pos="5400"/>
        <w:tab w:val="clear" w:pos="420"/>
      </w:tabs>
      <w:ind w:firstLine="0" w:firstLineChars="0"/>
      <w:outlineLvl w:val="3"/>
    </w:pPr>
    <w:rPr>
      <w:b/>
      <w:bCs/>
      <w:szCs w:val="28"/>
    </w:rPr>
  </w:style>
  <w:style w:type="paragraph" w:styleId="6">
    <w:name w:val="heading 5"/>
    <w:basedOn w:val="1"/>
    <w:next w:val="1"/>
    <w:unhideWhenUsed/>
    <w:qFormat/>
    <w:locked/>
    <w:uiPriority w:val="0"/>
    <w:pPr>
      <w:keepNext/>
      <w:keepLines/>
      <w:numPr>
        <w:ilvl w:val="4"/>
        <w:numId w:val="1"/>
      </w:numPr>
      <w:tabs>
        <w:tab w:val="left" w:pos="0"/>
      </w:tabs>
      <w:spacing w:before="280" w:after="290" w:line="376" w:lineRule="auto"/>
      <w:ind w:left="1008" w:hanging="1008" w:firstLineChars="0"/>
      <w:outlineLvl w:val="4"/>
    </w:pPr>
    <w:rPr>
      <w:b/>
      <w:bCs/>
      <w:sz w:val="28"/>
      <w:szCs w:val="28"/>
    </w:rPr>
  </w:style>
  <w:style w:type="paragraph" w:styleId="7">
    <w:name w:val="heading 6"/>
    <w:basedOn w:val="1"/>
    <w:next w:val="1"/>
    <w:semiHidden/>
    <w:unhideWhenUsed/>
    <w:qFormat/>
    <w:locked/>
    <w:uiPriority w:val="0"/>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8">
    <w:name w:val="heading 7"/>
    <w:basedOn w:val="1"/>
    <w:next w:val="1"/>
    <w:semiHidden/>
    <w:unhideWhenUsed/>
    <w:qFormat/>
    <w:locked/>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semiHidden/>
    <w:unhideWhenUsed/>
    <w:qFormat/>
    <w:locked/>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semiHidden/>
    <w:unhideWhenUsed/>
    <w:qFormat/>
    <w:locked/>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31">
    <w:name w:val="Default Paragraph Font"/>
    <w:semiHidden/>
    <w:qFormat/>
    <w:uiPriority w:val="0"/>
  </w:style>
  <w:style w:type="table" w:default="1" w:styleId="29">
    <w:name w:val="Normal Table"/>
    <w:semiHidden/>
    <w:qFormat/>
    <w:uiPriority w:val="0"/>
    <w:pPr>
      <w:keepNext w:val="0"/>
      <w:keepLines w:val="0"/>
      <w:widowControl/>
      <w:suppressLineNumbers w:val="0"/>
      <w:spacing w:before="0" w:beforeAutospacing="0" w:after="0" w:afterAutospacing="0"/>
      <w:ind w:left="0" w:right="0"/>
    </w:pPr>
    <w:rPr>
      <w:rFonts w:hint="eastAsia" w:ascii="等线" w:hAnsi="等线" w:eastAsia="等线" w:cs="等线"/>
      <w:kern w:val="2"/>
      <w:sz w:val="21"/>
      <w:szCs w:val="22"/>
    </w:rPr>
    <w:tblPr>
      <w:tblCellMar>
        <w:top w:w="0" w:type="dxa"/>
        <w:left w:w="108" w:type="dxa"/>
        <w:bottom w:w="0" w:type="dxa"/>
        <w:right w:w="108" w:type="dxa"/>
      </w:tblCellMar>
    </w:tblPr>
  </w:style>
  <w:style w:type="paragraph" w:styleId="11">
    <w:name w:val="table of authorities"/>
    <w:basedOn w:val="1"/>
    <w:next w:val="1"/>
    <w:semiHidden/>
    <w:qFormat/>
    <w:locked/>
    <w:uiPriority w:val="0"/>
    <w:pPr>
      <w:ind w:left="420" w:leftChars="200"/>
    </w:pPr>
  </w:style>
  <w:style w:type="paragraph" w:styleId="12">
    <w:name w:val="Note Heading"/>
    <w:basedOn w:val="1"/>
    <w:next w:val="1"/>
    <w:qFormat/>
    <w:uiPriority w:val="0"/>
  </w:style>
  <w:style w:type="paragraph" w:styleId="13">
    <w:name w:val="Normal Indent"/>
    <w:basedOn w:val="1"/>
    <w:next w:val="1"/>
    <w:qFormat/>
    <w:uiPriority w:val="0"/>
    <w:pPr>
      <w:ind w:firstLine="420"/>
    </w:pPr>
  </w:style>
  <w:style w:type="paragraph" w:styleId="14">
    <w:name w:val="caption"/>
    <w:basedOn w:val="15"/>
    <w:next w:val="1"/>
    <w:unhideWhenUsed/>
    <w:qFormat/>
    <w:locked/>
    <w:uiPriority w:val="0"/>
    <w:pPr>
      <w:tabs>
        <w:tab w:val="left" w:pos="715"/>
      </w:tabs>
    </w:pPr>
    <w:rPr>
      <w:rFonts w:eastAsia="宋体"/>
      <w:b/>
      <w:kern w:val="0"/>
      <w:szCs w:val="20"/>
    </w:rPr>
  </w:style>
  <w:style w:type="paragraph" w:customStyle="1" w:styleId="15">
    <w:name w:val="图"/>
    <w:basedOn w:val="1"/>
    <w:qFormat/>
    <w:uiPriority w:val="0"/>
    <w:pPr>
      <w:ind w:firstLine="0" w:firstLineChars="0"/>
      <w:jc w:val="center"/>
    </w:pPr>
    <w:rPr>
      <w:rFonts w:hint="eastAsia" w:eastAsia="仿宋_GB2312"/>
      <w:color w:val="auto"/>
    </w:rPr>
  </w:style>
  <w:style w:type="paragraph" w:styleId="16">
    <w:name w:val="annotation text"/>
    <w:basedOn w:val="1"/>
    <w:qFormat/>
    <w:uiPriority w:val="0"/>
    <w:pPr>
      <w:jc w:val="left"/>
    </w:pPr>
  </w:style>
  <w:style w:type="paragraph" w:styleId="17">
    <w:name w:val="Salutation"/>
    <w:basedOn w:val="1"/>
    <w:next w:val="1"/>
    <w:unhideWhenUsed/>
    <w:qFormat/>
    <w:locked/>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8">
    <w:name w:val="Body Text"/>
    <w:basedOn w:val="1"/>
    <w:next w:val="19"/>
    <w:qFormat/>
    <w:uiPriority w:val="1"/>
    <w:rPr>
      <w:rFonts w:ascii="宋体" w:hAnsi="宋体" w:eastAsia="宋体" w:cs="宋体"/>
      <w:sz w:val="24"/>
      <w:szCs w:val="24"/>
      <w:lang w:val="zh-CN" w:bidi="zh-CN"/>
    </w:rPr>
  </w:style>
  <w:style w:type="paragraph" w:styleId="19">
    <w:name w:val="Plain Text"/>
    <w:basedOn w:val="1"/>
    <w:next w:val="18"/>
    <w:qFormat/>
    <w:uiPriority w:val="0"/>
    <w:rPr>
      <w:rFonts w:ascii="Times New Roman" w:hAnsi="Times New Roman" w:eastAsia="宋体" w:cs="Courier New"/>
      <w:szCs w:val="21"/>
    </w:rPr>
  </w:style>
  <w:style w:type="paragraph" w:styleId="20">
    <w:name w:val="Body Text Indent"/>
    <w:basedOn w:val="1"/>
    <w:next w:val="21"/>
    <w:qFormat/>
    <w:uiPriority w:val="0"/>
    <w:pPr>
      <w:spacing w:after="120"/>
      <w:ind w:left="420" w:leftChars="200"/>
    </w:pPr>
    <w:rPr>
      <w:kern w:val="0"/>
      <w:sz w:val="24"/>
      <w:szCs w:val="20"/>
    </w:rPr>
  </w:style>
  <w:style w:type="paragraph" w:styleId="21">
    <w:name w:val="Body Text First Indent 2"/>
    <w:basedOn w:val="20"/>
    <w:next w:val="22"/>
    <w:qFormat/>
    <w:uiPriority w:val="0"/>
    <w:pPr>
      <w:spacing w:after="120"/>
      <w:ind w:left="420" w:leftChars="200" w:firstLine="210" w:firstLineChars="200"/>
    </w:pPr>
    <w:rPr>
      <w:sz w:val="21"/>
    </w:rPr>
  </w:style>
  <w:style w:type="paragraph" w:styleId="22">
    <w:name w:val="Body Text First Indent"/>
    <w:basedOn w:val="18"/>
    <w:next w:val="1"/>
    <w:qFormat/>
    <w:uiPriority w:val="0"/>
    <w:pPr>
      <w:spacing w:line="480" w:lineRule="auto"/>
      <w:ind w:firstLine="630" w:firstLineChars="225"/>
    </w:pPr>
    <w:rPr>
      <w:rFonts w:ascii="宋体" w:hAnsi="宋体"/>
      <w:sz w:val="28"/>
      <w:szCs w:val="28"/>
      <w:u w:val="single"/>
      <w:lang w:val="en-US" w:eastAsia="zh-CN" w:bidi="ar-SA"/>
    </w:rPr>
  </w:style>
  <w:style w:type="paragraph" w:styleId="23">
    <w:name w:val="index 4"/>
    <w:basedOn w:val="1"/>
    <w:next w:val="1"/>
    <w:qFormat/>
    <w:locked/>
    <w:uiPriority w:val="0"/>
    <w:pPr>
      <w:ind w:left="600" w:leftChars="600"/>
    </w:pPr>
    <w:rPr>
      <w:sz w:val="21"/>
    </w:rPr>
  </w:style>
  <w:style w:type="paragraph" w:styleId="24">
    <w:name w:val="envelope return"/>
    <w:basedOn w:val="1"/>
    <w:qFormat/>
    <w:locked/>
    <w:uiPriority w:val="0"/>
    <w:pPr>
      <w:snapToGrid w:val="0"/>
    </w:pPr>
    <w:rPr>
      <w:rFonts w:ascii="Arial" w:hAnsi="Arial"/>
    </w:rPr>
  </w:style>
  <w:style w:type="paragraph" w:styleId="2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6">
    <w:name w:val="toc 1"/>
    <w:basedOn w:val="1"/>
    <w:next w:val="1"/>
    <w:qFormat/>
    <w:uiPriority w:val="0"/>
  </w:style>
  <w:style w:type="paragraph" w:styleId="27">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8">
    <w:name w:val="Title"/>
    <w:basedOn w:val="1"/>
    <w:next w:val="1"/>
    <w:qFormat/>
    <w:locked/>
    <w:uiPriority w:val="0"/>
    <w:pPr>
      <w:ind w:firstLine="0" w:firstLineChars="0"/>
      <w:jc w:val="center"/>
      <w:outlineLvl w:val="9"/>
    </w:pPr>
    <w:rPr>
      <w:rFonts w:eastAsia="黑体"/>
      <w:bCs/>
      <w:color w:val="auto"/>
      <w:sz w:val="72"/>
      <w:szCs w:val="72"/>
    </w:rPr>
  </w:style>
  <w:style w:type="table" w:styleId="30">
    <w:name w:val="Table Grid"/>
    <w:basedOn w:val="29"/>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locked/>
    <w:uiPriority w:val="0"/>
    <w:rPr>
      <w:b/>
    </w:rPr>
  </w:style>
  <w:style w:type="character" w:styleId="33">
    <w:name w:val="page number"/>
    <w:qFormat/>
    <w:locked/>
    <w:uiPriority w:val="0"/>
  </w:style>
  <w:style w:type="character" w:styleId="34">
    <w:name w:val="Emphasis"/>
    <w:qFormat/>
    <w:locked/>
    <w:uiPriority w:val="20"/>
    <w:rPr>
      <w:i/>
      <w:iCs/>
    </w:rPr>
  </w:style>
  <w:style w:type="character" w:styleId="35">
    <w:name w:val="Hyperlink"/>
    <w:unhideWhenUsed/>
    <w:qFormat/>
    <w:locked/>
    <w:uiPriority w:val="99"/>
    <w:rPr>
      <w:color w:val="0000FF"/>
      <w:u w:val="single"/>
    </w:rPr>
  </w:style>
  <w:style w:type="character" w:styleId="36">
    <w:name w:val="annotation reference"/>
    <w:semiHidden/>
    <w:qFormat/>
    <w:uiPriority w:val="0"/>
    <w:rPr>
      <w:sz w:val="21"/>
    </w:rPr>
  </w:style>
  <w:style w:type="paragraph" w:customStyle="1" w:styleId="37">
    <w:name w:val="附件"/>
    <w:basedOn w:val="1"/>
    <w:next w:val="1"/>
    <w:link w:val="45"/>
    <w:qFormat/>
    <w:uiPriority w:val="0"/>
    <w:pPr>
      <w:widowControl/>
      <w:tabs>
        <w:tab w:val="left" w:pos="715"/>
      </w:tabs>
      <w:adjustRightInd w:val="0"/>
      <w:snapToGrid w:val="0"/>
      <w:ind w:firstLine="0" w:firstLineChars="0"/>
      <w:jc w:val="left"/>
      <w:outlineLvl w:val="0"/>
    </w:pPr>
    <w:rPr>
      <w:rFonts w:ascii="Times New Roman" w:hAnsi="Times New Roman" w:eastAsia="宋体" w:cs="Times New Roman"/>
      <w:b/>
      <w:snapToGrid w:val="0"/>
      <w:color w:val="000000"/>
      <w:kern w:val="0"/>
      <w:sz w:val="24"/>
      <w:szCs w:val="30"/>
      <w:highlight w:val="none"/>
    </w:rPr>
  </w:style>
  <w:style w:type="paragraph" w:customStyle="1" w:styleId="38">
    <w:name w:val="表格字体"/>
    <w:link w:val="46"/>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39">
    <w:name w:val="表格名称"/>
    <w:basedOn w:val="1"/>
    <w:link w:val="43"/>
    <w:qFormat/>
    <w:uiPriority w:val="0"/>
    <w:pPr>
      <w:widowControl/>
      <w:snapToGrid w:val="0"/>
      <w:ind w:firstLine="0" w:firstLineChars="0"/>
      <w:jc w:val="center"/>
    </w:pPr>
    <w:rPr>
      <w:b/>
      <w:kern w:val="0"/>
      <w:szCs w:val="20"/>
    </w:rPr>
  </w:style>
  <w:style w:type="paragraph" w:customStyle="1" w:styleId="40">
    <w:name w:val="大表格式"/>
    <w:basedOn w:val="1"/>
    <w:qFormat/>
    <w:uiPriority w:val="0"/>
    <w:pPr>
      <w:spacing w:line="240" w:lineRule="auto"/>
      <w:ind w:firstLine="0" w:firstLineChars="0"/>
      <w:jc w:val="center"/>
    </w:pPr>
    <w:rPr>
      <w:color w:val="auto"/>
    </w:rPr>
  </w:style>
  <w:style w:type="character" w:customStyle="1" w:styleId="41">
    <w:name w:val="标题 2 Char"/>
    <w:link w:val="3"/>
    <w:qFormat/>
    <w:uiPriority w:val="0"/>
    <w:rPr>
      <w:rFonts w:ascii="Times New Roman" w:hAnsi="Times New Roman" w:eastAsia="宋体" w:cs="Times New Roman"/>
      <w:b/>
      <w:bCs/>
      <w:snapToGrid w:val="0"/>
      <w:color w:val="auto"/>
      <w:kern w:val="2"/>
      <w:sz w:val="24"/>
      <w:szCs w:val="28"/>
      <w:lang w:val="en-US" w:eastAsia="zh-CN" w:bidi="ar-SA"/>
    </w:rPr>
  </w:style>
  <w:style w:type="character" w:customStyle="1" w:styleId="42">
    <w:name w:val="标题 3 Char"/>
    <w:link w:val="4"/>
    <w:qFormat/>
    <w:uiPriority w:val="0"/>
    <w:rPr>
      <w:rFonts w:ascii="Times New Roman" w:hAnsi="Times New Roman" w:eastAsia="宋体"/>
      <w:b/>
      <w:bCs/>
      <w:sz w:val="24"/>
      <w:szCs w:val="32"/>
    </w:rPr>
  </w:style>
  <w:style w:type="character" w:customStyle="1" w:styleId="43">
    <w:name w:val="表格名称 Char"/>
    <w:link w:val="39"/>
    <w:qFormat/>
    <w:uiPriority w:val="0"/>
    <w:rPr>
      <w:b/>
      <w:kern w:val="0"/>
      <w:szCs w:val="20"/>
    </w:rPr>
  </w:style>
  <w:style w:type="paragraph" w:customStyle="1" w:styleId="44">
    <w:name w:val="封面字体"/>
    <w:basedOn w:val="1"/>
    <w:qFormat/>
    <w:uiPriority w:val="0"/>
    <w:pPr>
      <w:widowControl/>
      <w:ind w:firstLine="0" w:firstLineChars="0"/>
      <w:jc w:val="center"/>
    </w:pPr>
    <w:rPr>
      <w:rFonts w:hint="eastAsia"/>
      <w:color w:val="000000"/>
      <w:sz w:val="28"/>
      <w:szCs w:val="20"/>
    </w:rPr>
  </w:style>
  <w:style w:type="character" w:customStyle="1" w:styleId="45">
    <w:name w:val="附件 Char1"/>
    <w:link w:val="37"/>
    <w:qFormat/>
    <w:uiPriority w:val="0"/>
    <w:rPr>
      <w:rFonts w:ascii="Times New Roman" w:hAnsi="Times New Roman" w:eastAsia="宋体" w:cs="Times New Roman"/>
      <w:b/>
      <w:snapToGrid w:val="0"/>
      <w:color w:val="000000"/>
      <w:kern w:val="0"/>
      <w:sz w:val="24"/>
      <w:szCs w:val="30"/>
      <w:highlight w:val="none"/>
    </w:rPr>
  </w:style>
  <w:style w:type="character" w:customStyle="1" w:styleId="46">
    <w:name w:val="表格字体 Char"/>
    <w:link w:val="38"/>
    <w:qFormat/>
    <w:uiPriority w:val="0"/>
    <w:rPr>
      <w:rFonts w:ascii="Times New Roman" w:hAnsi="Times New Roman" w:eastAsia="宋体" w:cs="Times New Roman"/>
      <w:kern w:val="2"/>
      <w:sz w:val="21"/>
      <w:lang w:val="en-US" w:eastAsia="zh-CN" w:bidi="ar-SA"/>
    </w:rPr>
  </w:style>
  <w:style w:type="table" w:customStyle="1" w:styleId="47">
    <w:name w:val="Table Normal"/>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footer" Target="foot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jpeg"/><Relationship Id="rId45" Type="http://schemas.openxmlformats.org/officeDocument/2006/relationships/image" Target="media/image22.png"/><Relationship Id="rId44" Type="http://schemas.openxmlformats.org/officeDocument/2006/relationships/image" Target="file:///C:\Users\Admin\AppData\Local\Temp\ksohtml12936\wps12.png" TargetMode="External"/><Relationship Id="rId43" Type="http://schemas.openxmlformats.org/officeDocument/2006/relationships/image" Target="media/image21.png"/><Relationship Id="rId42" Type="http://schemas.openxmlformats.org/officeDocument/2006/relationships/image" Target="file:///C:\Users\Admin\AppData\Local\Temp\ksohtml12936\wps11.png" TargetMode="External"/><Relationship Id="rId41" Type="http://schemas.openxmlformats.org/officeDocument/2006/relationships/image" Target="media/image20.png"/><Relationship Id="rId40" Type="http://schemas.openxmlformats.org/officeDocument/2006/relationships/image" Target="file:///C:\Users\Admin\AppData\Local\Temp\ksohtml12936\wps10.png" TargetMode="External"/><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file:///C:\Users\Admin\AppData\Local\Temp\ksohtml12936\wps9.png" TargetMode="External"/><Relationship Id="rId37" Type="http://schemas.openxmlformats.org/officeDocument/2006/relationships/image" Target="media/image18.png"/><Relationship Id="rId36" Type="http://schemas.openxmlformats.org/officeDocument/2006/relationships/image" Target="file:///C:\Users\Admin\AppData\Local\Temp\ksohtml12936\wps8.png" TargetMode="External"/><Relationship Id="rId35" Type="http://schemas.openxmlformats.org/officeDocument/2006/relationships/image" Target="media/image17.png"/><Relationship Id="rId34" Type="http://schemas.openxmlformats.org/officeDocument/2006/relationships/image" Target="file:///C:\Users\Admin\AppData\Local\Temp\ksohtml12936\wps7.png" TargetMode="External"/><Relationship Id="rId33" Type="http://schemas.openxmlformats.org/officeDocument/2006/relationships/image" Target="media/image16.png"/><Relationship Id="rId32" Type="http://schemas.openxmlformats.org/officeDocument/2006/relationships/image" Target="file:///C:\Users\Admin\AppData\Local\Temp\ksohtml12936\wps6.png" TargetMode="External"/><Relationship Id="rId31" Type="http://schemas.openxmlformats.org/officeDocument/2006/relationships/image" Target="media/image15.png"/><Relationship Id="rId30" Type="http://schemas.openxmlformats.org/officeDocument/2006/relationships/image" Target="file:///C:\Users\Admin\AppData\Local\Temp\ksohtml12936\wps5.png" TargetMode="External"/><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file:///C:\Users\Admin\AppData\Local\Temp\ksohtml12936\wps4.png" TargetMode="External"/><Relationship Id="rId27" Type="http://schemas.openxmlformats.org/officeDocument/2006/relationships/image" Target="media/image13.png"/><Relationship Id="rId26" Type="http://schemas.openxmlformats.org/officeDocument/2006/relationships/image" Target="file:///C:\Users\Admin\AppData\Local\Temp\ksohtml12936\wps3.png" TargetMode="External"/><Relationship Id="rId25" Type="http://schemas.openxmlformats.org/officeDocument/2006/relationships/image" Target="media/image12.png"/><Relationship Id="rId24" Type="http://schemas.openxmlformats.org/officeDocument/2006/relationships/image" Target="file:///C:\Users\Admin\AppData\Local\Temp\ksohtml12936\wps2.png" TargetMode="External"/><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2.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"/>
    </extobj>
    <extobj name="F360BE8B-6686-4F3D-AEAF-501FE73E4058-2">
      <extobjdata type="F360BE8B-6686-4F3D-AEAF-501FE73E4058" data="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"/>
    </extobj>
    <extobj name="F360BE8B-6686-4F3D-AEAF-501FE73E4058-3">
      <extobjdata type="F360BE8B-6686-4F3D-AEAF-501FE73E4058" data="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102</Pages>
  <Words>58847</Words>
  <Characters>65670</Characters>
  <Lines>208</Lines>
  <Paragraphs>58</Paragraphs>
  <TotalTime>8</TotalTime>
  <ScaleCrop>false</ScaleCrop>
  <LinksUpToDate>false</LinksUpToDate>
  <CharactersWithSpaces>66012</CharactersWithSpaces>
  <Application>WPS Office_12.8.2.19315_F1E327BC-269C-435d-A152-05C5408002CA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cp:lastModifiedBy>
  <cp:lastPrinted>2026-03-03T06:11:00Z</cp:lastPrinted>
  <dcterms:modified xsi:type="dcterms:W3CDTF">2026-03-05T07:25:56Z</dcterms:modified>
  <dc:title>附件2</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ICV">
    <vt:lpwstr>3DEFEECEB2D54F36BEB26E397EBABE39_13</vt:lpwstr>
  </property>
  <property fmtid="{D5CDD505-2E9C-101B-9397-08002B2CF9AE}" pid="4" name="KSOTemplateDocerSaveRecord">
    <vt:lpwstr>eyJoZGlkIjoiODNlNDUyMjRiMmY0MmNmODkxOGQ1NThlOGExMTg1NzQiLCJ1c2VySWQiOiI1MTM5MzQzMDgifQ==</vt:lpwstr>
  </property>
</Properties>
</file>